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DEFF" w14:textId="388FBEC6" w:rsidR="00F85AA3" w:rsidRPr="0064355F" w:rsidRDefault="00F85AA3" w:rsidP="00F85A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9EF66B" w14:textId="01CFC3A1" w:rsidR="00F85AA3" w:rsidRPr="0064355F" w:rsidRDefault="008A6D9C" w:rsidP="008A6D9C">
      <w:pPr>
        <w:pBdr>
          <w:bottom w:val="single" w:sz="4" w:space="1" w:color="auto"/>
        </w:pBdr>
        <w:jc w:val="center"/>
        <w:rPr>
          <w:rFonts w:ascii="Book Antiqua" w:hAnsi="Book Antiqua"/>
          <w:b/>
          <w:bCs/>
          <w:iCs/>
          <w:sz w:val="24"/>
          <w:szCs w:val="24"/>
        </w:rPr>
      </w:pPr>
      <w:bookmarkStart w:id="0" w:name="_Hlk207716291"/>
      <w:r w:rsidRPr="0064355F">
        <w:rPr>
          <w:rFonts w:ascii="Book Antiqua" w:hAnsi="Book Antiqua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18F235" wp14:editId="4E10CF05">
            <wp:simplePos x="0" y="0"/>
            <wp:positionH relativeFrom="column">
              <wp:align>center</wp:align>
            </wp:positionH>
            <wp:positionV relativeFrom="paragraph">
              <wp:posOffset>-1047750</wp:posOffset>
            </wp:positionV>
            <wp:extent cx="890270" cy="942975"/>
            <wp:effectExtent l="1905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OLE_LINK3"/>
      <w:r w:rsidRPr="0064355F">
        <w:rPr>
          <w:rFonts w:ascii="Book Antiqua" w:hAnsi="Book Antiqua"/>
          <w:b/>
          <w:bCs/>
          <w:sz w:val="28"/>
          <w:szCs w:val="28"/>
        </w:rPr>
        <w:t xml:space="preserve">Republika e </w:t>
      </w:r>
      <w:proofErr w:type="spellStart"/>
      <w:r w:rsidRPr="0064355F">
        <w:rPr>
          <w:rFonts w:ascii="Book Antiqua" w:hAnsi="Book Antiqua"/>
          <w:b/>
          <w:bCs/>
          <w:sz w:val="28"/>
          <w:szCs w:val="28"/>
        </w:rPr>
        <w:t>Kosovës</w:t>
      </w:r>
      <w:proofErr w:type="spellEnd"/>
      <w:r w:rsidRPr="0064355F">
        <w:rPr>
          <w:rFonts w:ascii="Book Antiqua" w:hAnsi="Book Antiqua"/>
          <w:b/>
          <w:bCs/>
          <w:sz w:val="24"/>
          <w:szCs w:val="24"/>
        </w:rPr>
        <w:br/>
      </w:r>
      <w:r w:rsidRPr="0064355F">
        <w:rPr>
          <w:rFonts w:ascii="Book Antiqua" w:eastAsia="Batang" w:hAnsi="Book Antiqua"/>
          <w:b/>
          <w:bCs/>
          <w:sz w:val="24"/>
          <w:szCs w:val="24"/>
        </w:rPr>
        <w:t xml:space="preserve"> Republika Kosova-</w:t>
      </w:r>
      <w:proofErr w:type="spellStart"/>
      <w:r w:rsidRPr="0064355F">
        <w:rPr>
          <w:rFonts w:ascii="Book Antiqua" w:hAnsi="Book Antiqua"/>
          <w:b/>
          <w:bCs/>
          <w:sz w:val="24"/>
          <w:szCs w:val="24"/>
        </w:rPr>
        <w:t>Republic</w:t>
      </w:r>
      <w:proofErr w:type="spellEnd"/>
      <w:r w:rsidRPr="0064355F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64355F">
        <w:rPr>
          <w:rFonts w:ascii="Book Antiqua" w:hAnsi="Book Antiqua"/>
          <w:b/>
          <w:bCs/>
          <w:sz w:val="24"/>
          <w:szCs w:val="24"/>
        </w:rPr>
        <w:t>of</w:t>
      </w:r>
      <w:proofErr w:type="spellEnd"/>
      <w:r w:rsidRPr="0064355F">
        <w:rPr>
          <w:rFonts w:ascii="Book Antiqua" w:hAnsi="Book Antiqua"/>
          <w:b/>
          <w:bCs/>
          <w:sz w:val="24"/>
          <w:szCs w:val="24"/>
        </w:rPr>
        <w:t xml:space="preserve"> Kosovo</w:t>
      </w:r>
      <w:bookmarkEnd w:id="1"/>
      <w:r w:rsidRPr="0064355F">
        <w:rPr>
          <w:rFonts w:ascii="Book Antiqua" w:hAnsi="Book Antiqua"/>
          <w:b/>
          <w:bCs/>
          <w:sz w:val="24"/>
          <w:szCs w:val="24"/>
        </w:rPr>
        <w:br/>
      </w:r>
      <w:proofErr w:type="spellStart"/>
      <w:r w:rsidRPr="0064355F">
        <w:rPr>
          <w:rFonts w:ascii="Book Antiqua" w:hAnsi="Book Antiqua"/>
          <w:bCs/>
          <w:i/>
          <w:iCs/>
          <w:sz w:val="24"/>
          <w:szCs w:val="24"/>
        </w:rPr>
        <w:t>Qeveria</w:t>
      </w:r>
      <w:proofErr w:type="spellEnd"/>
      <w:r w:rsidRPr="0064355F">
        <w:rPr>
          <w:rFonts w:ascii="Book Antiqua" w:hAnsi="Book Antiqua"/>
          <w:bCs/>
          <w:i/>
          <w:iCs/>
          <w:sz w:val="24"/>
          <w:szCs w:val="24"/>
        </w:rPr>
        <w:t>-Vlada-</w:t>
      </w:r>
      <w:proofErr w:type="spellStart"/>
      <w:r w:rsidRPr="0064355F">
        <w:rPr>
          <w:rFonts w:ascii="Book Antiqua" w:hAnsi="Book Antiqua"/>
          <w:bCs/>
          <w:i/>
          <w:iCs/>
          <w:sz w:val="24"/>
          <w:szCs w:val="24"/>
        </w:rPr>
        <w:t>Government</w:t>
      </w:r>
      <w:proofErr w:type="spellEnd"/>
      <w:r w:rsidRPr="0064355F">
        <w:rPr>
          <w:rFonts w:ascii="Book Antiqua" w:hAnsi="Book Antiqua"/>
          <w:bCs/>
          <w:i/>
          <w:iCs/>
          <w:sz w:val="24"/>
          <w:szCs w:val="24"/>
        </w:rPr>
        <w:br/>
      </w:r>
      <w:proofErr w:type="spellStart"/>
      <w:r w:rsidRPr="0064355F">
        <w:rPr>
          <w:rFonts w:ascii="Book Antiqua" w:hAnsi="Book Antiqua"/>
          <w:b/>
          <w:bCs/>
          <w:iCs/>
          <w:sz w:val="24"/>
          <w:szCs w:val="24"/>
        </w:rPr>
        <w:t>Ministria</w:t>
      </w:r>
      <w:proofErr w:type="spellEnd"/>
      <w:r w:rsidRPr="0064355F">
        <w:rPr>
          <w:rFonts w:ascii="Book Antiqua" w:hAnsi="Book Antiqua"/>
          <w:b/>
          <w:bCs/>
          <w:iCs/>
          <w:sz w:val="24"/>
          <w:szCs w:val="24"/>
        </w:rPr>
        <w:t xml:space="preserve"> e </w:t>
      </w:r>
      <w:proofErr w:type="spellStart"/>
      <w:r w:rsidRPr="0064355F">
        <w:rPr>
          <w:rFonts w:ascii="Book Antiqua" w:hAnsi="Book Antiqua"/>
          <w:b/>
          <w:bCs/>
          <w:iCs/>
          <w:sz w:val="24"/>
          <w:szCs w:val="24"/>
        </w:rPr>
        <w:t>Ekonomisë</w:t>
      </w:r>
      <w:proofErr w:type="spellEnd"/>
      <w:r w:rsidRPr="0064355F">
        <w:rPr>
          <w:rFonts w:ascii="Book Antiqua" w:hAnsi="Book Antiqua"/>
          <w:b/>
          <w:bCs/>
          <w:iCs/>
          <w:sz w:val="24"/>
          <w:szCs w:val="24"/>
        </w:rPr>
        <w:br/>
      </w:r>
      <w:r w:rsidRPr="0064355F">
        <w:rPr>
          <w:rFonts w:ascii="Book Antiqua" w:hAnsi="Book Antiqua"/>
          <w:b/>
          <w:bCs/>
          <w:iCs/>
          <w:color w:val="000000"/>
          <w:sz w:val="24"/>
          <w:szCs w:val="24"/>
        </w:rPr>
        <w:t xml:space="preserve">Ministarstvo Ekonomije </w:t>
      </w:r>
      <w:r w:rsidRPr="0064355F">
        <w:rPr>
          <w:rFonts w:ascii="Book Antiqua" w:hAnsi="Book Antiqua"/>
          <w:b/>
          <w:bCs/>
          <w:iCs/>
          <w:sz w:val="24"/>
          <w:szCs w:val="24"/>
        </w:rPr>
        <w:t xml:space="preserve">- </w:t>
      </w:r>
      <w:proofErr w:type="spellStart"/>
      <w:r w:rsidRPr="0064355F">
        <w:rPr>
          <w:rFonts w:ascii="Book Antiqua" w:hAnsi="Book Antiqua"/>
          <w:b/>
          <w:bCs/>
          <w:iCs/>
          <w:sz w:val="24"/>
          <w:szCs w:val="24"/>
        </w:rPr>
        <w:t>Ministry</w:t>
      </w:r>
      <w:proofErr w:type="spellEnd"/>
      <w:r w:rsidRPr="0064355F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64355F">
        <w:rPr>
          <w:rFonts w:ascii="Book Antiqua" w:hAnsi="Book Antiqua"/>
          <w:b/>
          <w:bCs/>
          <w:iCs/>
          <w:sz w:val="24"/>
          <w:szCs w:val="24"/>
        </w:rPr>
        <w:t>of</w:t>
      </w:r>
      <w:proofErr w:type="spellEnd"/>
      <w:r w:rsidRPr="0064355F">
        <w:rPr>
          <w:rFonts w:ascii="Book Antiqua" w:hAnsi="Book Antiqua"/>
          <w:b/>
          <w:bCs/>
          <w:iCs/>
          <w:sz w:val="24"/>
          <w:szCs w:val="24"/>
        </w:rPr>
        <w:t xml:space="preserve"> </w:t>
      </w:r>
      <w:proofErr w:type="spellStart"/>
      <w:r w:rsidRPr="0064355F">
        <w:rPr>
          <w:rFonts w:ascii="Book Antiqua" w:hAnsi="Book Antiqua"/>
          <w:b/>
          <w:bCs/>
          <w:iCs/>
          <w:sz w:val="24"/>
          <w:szCs w:val="24"/>
        </w:rPr>
        <w:t>Economy</w:t>
      </w:r>
      <w:proofErr w:type="spellEnd"/>
      <w:r w:rsidR="00F85AA3" w:rsidRPr="0064355F">
        <w:rPr>
          <w:rFonts w:ascii="Book Antiqua" w:hAnsi="Book Antiqua"/>
          <w:b/>
          <w:bCs/>
          <w:iCs/>
          <w:sz w:val="24"/>
          <w:szCs w:val="24"/>
        </w:rPr>
        <w:br/>
      </w:r>
      <w:r w:rsidR="00F85AA3" w:rsidRPr="0064355F">
        <w:rPr>
          <w:rFonts w:ascii="Book Antiqua" w:hAnsi="Book Antiqua"/>
          <w:b/>
          <w:bCs/>
          <w:iCs/>
          <w:color w:val="000000"/>
          <w:sz w:val="24"/>
          <w:szCs w:val="24"/>
        </w:rPr>
        <w:t xml:space="preserve"> </w:t>
      </w:r>
    </w:p>
    <w:bookmarkEnd w:id="0"/>
    <w:p w14:paraId="13604C67" w14:textId="77777777" w:rsidR="00F85AA3" w:rsidRPr="0064355F" w:rsidRDefault="00F85AA3" w:rsidP="00F85AA3">
      <w:pPr>
        <w:tabs>
          <w:tab w:val="left" w:pos="8820"/>
        </w:tabs>
        <w:rPr>
          <w:rFonts w:ascii="Times New Roman" w:hAnsi="Times New Roman" w:cs="Times New Roman"/>
        </w:rPr>
      </w:pPr>
    </w:p>
    <w:p w14:paraId="705FC39D" w14:textId="77777777" w:rsidR="00F85AA3" w:rsidRPr="0064355F" w:rsidRDefault="00F85AA3" w:rsidP="00F85AA3">
      <w:pPr>
        <w:tabs>
          <w:tab w:val="left" w:pos="8820"/>
        </w:tabs>
        <w:rPr>
          <w:rFonts w:ascii="Times New Roman" w:hAnsi="Times New Roman" w:cs="Times New Roman"/>
        </w:rPr>
      </w:pPr>
    </w:p>
    <w:p w14:paraId="24E040B8" w14:textId="77777777" w:rsidR="00F85AA3" w:rsidRPr="0064355F" w:rsidRDefault="00F85AA3" w:rsidP="00F85AA3">
      <w:pPr>
        <w:tabs>
          <w:tab w:val="left" w:pos="8820"/>
        </w:tabs>
        <w:rPr>
          <w:rFonts w:ascii="Times New Roman" w:hAnsi="Times New Roman" w:cs="Times New Roman"/>
        </w:rPr>
      </w:pPr>
    </w:p>
    <w:p w14:paraId="4A1F8EDC" w14:textId="77777777" w:rsidR="00F85AA3" w:rsidRPr="0064355F" w:rsidRDefault="00F85AA3" w:rsidP="00F85AA3">
      <w:pPr>
        <w:tabs>
          <w:tab w:val="left" w:pos="8820"/>
        </w:tabs>
        <w:rPr>
          <w:rFonts w:ascii="Times New Roman" w:hAnsi="Times New Roman" w:cs="Times New Roman"/>
        </w:rPr>
      </w:pPr>
    </w:p>
    <w:p w14:paraId="37B87AB8" w14:textId="2AB3D185" w:rsidR="00F85AA3" w:rsidRPr="0064355F" w:rsidRDefault="00F85AA3" w:rsidP="00F85AA3">
      <w:pPr>
        <w:tabs>
          <w:tab w:val="left" w:pos="8820"/>
        </w:tabs>
        <w:rPr>
          <w:rFonts w:ascii="Times New Roman" w:hAnsi="Times New Roman" w:cs="Times New Roman"/>
        </w:rPr>
      </w:pPr>
    </w:p>
    <w:p w14:paraId="3B48B4CB" w14:textId="77777777" w:rsidR="00F85AA3" w:rsidRPr="0064355F" w:rsidRDefault="00F85AA3" w:rsidP="00F85AA3">
      <w:pPr>
        <w:tabs>
          <w:tab w:val="left" w:pos="8820"/>
        </w:tabs>
        <w:jc w:val="right"/>
        <w:rPr>
          <w:rFonts w:ascii="Times New Roman" w:hAnsi="Times New Roman" w:cs="Times New Roman"/>
        </w:rPr>
      </w:pPr>
    </w:p>
    <w:p w14:paraId="6F4CA251" w14:textId="77777777" w:rsidR="00F85AA3" w:rsidRPr="0064355F" w:rsidRDefault="00F85AA3" w:rsidP="00F85AA3">
      <w:pPr>
        <w:tabs>
          <w:tab w:val="left" w:pos="8820"/>
        </w:tabs>
        <w:jc w:val="right"/>
        <w:rPr>
          <w:rFonts w:ascii="Times New Roman" w:hAnsi="Times New Roman" w:cs="Times New Roman"/>
        </w:rPr>
      </w:pPr>
    </w:p>
    <w:p w14:paraId="6B23523F" w14:textId="77777777" w:rsidR="006A75A8" w:rsidRPr="0064355F" w:rsidRDefault="00F85AA3" w:rsidP="006A75A8">
      <w:pPr>
        <w:tabs>
          <w:tab w:val="left" w:pos="882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55F">
        <w:rPr>
          <w:rFonts w:ascii="Times New Roman" w:hAnsi="Times New Roman" w:cs="Times New Roman"/>
          <w:b/>
          <w:sz w:val="32"/>
          <w:szCs w:val="32"/>
        </w:rPr>
        <w:t xml:space="preserve">IZVEŠTAJ O NAPRETKU ZA PERIOD </w:t>
      </w:r>
    </w:p>
    <w:p w14:paraId="69FBDDB5" w14:textId="369FA9B5" w:rsidR="00F85AA3" w:rsidRPr="0064355F" w:rsidRDefault="00CF2633" w:rsidP="006A75A8">
      <w:pPr>
        <w:tabs>
          <w:tab w:val="left" w:pos="882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55F">
        <w:rPr>
          <w:rFonts w:ascii="Times New Roman" w:hAnsi="Times New Roman" w:cs="Times New Roman"/>
          <w:b/>
          <w:sz w:val="32"/>
          <w:szCs w:val="32"/>
        </w:rPr>
        <w:t xml:space="preserve">JANUAR </w:t>
      </w:r>
      <w:r w:rsidRPr="0064355F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64355F">
        <w:rPr>
          <w:rFonts w:ascii="Times New Roman" w:hAnsi="Times New Roman" w:cs="Times New Roman"/>
          <w:b/>
          <w:sz w:val="32"/>
          <w:szCs w:val="32"/>
        </w:rPr>
        <w:t xml:space="preserve">JUN </w:t>
      </w:r>
      <w:r w:rsidR="004A664A" w:rsidRPr="0064355F">
        <w:rPr>
          <w:rFonts w:ascii="Times New Roman" w:hAnsi="Times New Roman" w:cs="Times New Roman"/>
          <w:b/>
          <w:sz w:val="32"/>
          <w:szCs w:val="32"/>
        </w:rPr>
        <w:t>2025.</w:t>
      </w:r>
    </w:p>
    <w:p w14:paraId="75E437BB" w14:textId="5F3C4134" w:rsidR="00F85AA3" w:rsidRPr="0064355F" w:rsidRDefault="00F85AA3" w:rsidP="008A6D9C">
      <w:pPr>
        <w:tabs>
          <w:tab w:val="left" w:pos="882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55F">
        <w:rPr>
          <w:rFonts w:ascii="Times New Roman" w:hAnsi="Times New Roman" w:cs="Times New Roman"/>
          <w:b/>
          <w:sz w:val="32"/>
          <w:szCs w:val="32"/>
        </w:rPr>
        <w:t>PROGRAM</w:t>
      </w:r>
      <w:r w:rsidR="008A6D9C" w:rsidRPr="0064355F">
        <w:rPr>
          <w:rFonts w:ascii="Times New Roman" w:hAnsi="Times New Roman" w:cs="Times New Roman"/>
          <w:b/>
          <w:sz w:val="32"/>
          <w:szCs w:val="32"/>
        </w:rPr>
        <w:t>A</w:t>
      </w:r>
      <w:r w:rsidRPr="0064355F">
        <w:rPr>
          <w:rFonts w:ascii="Times New Roman" w:hAnsi="Times New Roman" w:cs="Times New Roman"/>
          <w:b/>
          <w:sz w:val="32"/>
          <w:szCs w:val="32"/>
        </w:rPr>
        <w:t xml:space="preserve"> ZA SPROVOĐENJE </w:t>
      </w:r>
      <w:r w:rsidR="008A6D9C" w:rsidRPr="0064355F">
        <w:rPr>
          <w:rFonts w:ascii="Times New Roman" w:hAnsi="Times New Roman" w:cs="Times New Roman"/>
          <w:b/>
          <w:sz w:val="32"/>
          <w:szCs w:val="32"/>
        </w:rPr>
        <w:t xml:space="preserve">STRATEGIJE                 ENERGIJE KOSOVA </w:t>
      </w:r>
      <w:r w:rsidRPr="0064355F">
        <w:rPr>
          <w:rFonts w:ascii="Times New Roman" w:hAnsi="Times New Roman" w:cs="Times New Roman"/>
          <w:b/>
          <w:sz w:val="32"/>
          <w:szCs w:val="32"/>
        </w:rPr>
        <w:t>(</w:t>
      </w:r>
      <w:r w:rsidR="008A6D9C" w:rsidRPr="0064355F">
        <w:rPr>
          <w:rFonts w:ascii="Times New Roman" w:hAnsi="Times New Roman" w:cs="Times New Roman"/>
          <w:b/>
          <w:sz w:val="32"/>
          <w:szCs w:val="32"/>
        </w:rPr>
        <w:t>PSSEK</w:t>
      </w:r>
      <w:r w:rsidRPr="0064355F">
        <w:rPr>
          <w:rFonts w:ascii="Times New Roman" w:hAnsi="Times New Roman" w:cs="Times New Roman"/>
          <w:b/>
          <w:sz w:val="32"/>
          <w:szCs w:val="32"/>
        </w:rPr>
        <w:t>)</w:t>
      </w:r>
      <w:bookmarkStart w:id="2" w:name="_Hlk163166979"/>
      <w:bookmarkEnd w:id="2"/>
    </w:p>
    <w:p w14:paraId="4F3AEB42" w14:textId="11D1B981" w:rsidR="00F85AA3" w:rsidRPr="0064355F" w:rsidRDefault="00207235" w:rsidP="006A75A8">
      <w:pPr>
        <w:tabs>
          <w:tab w:val="left" w:pos="882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355F">
        <w:rPr>
          <w:rFonts w:ascii="Times New Roman" w:hAnsi="Times New Roman" w:cs="Times New Roman"/>
          <w:b/>
          <w:sz w:val="32"/>
          <w:szCs w:val="32"/>
        </w:rPr>
        <w:t xml:space="preserve">                                  ZA PERIOD </w:t>
      </w:r>
      <w:r w:rsidR="007C08D4" w:rsidRPr="0064355F">
        <w:rPr>
          <w:rFonts w:ascii="Times New Roman" w:hAnsi="Times New Roman" w:cs="Times New Roman"/>
          <w:b/>
          <w:sz w:val="32"/>
          <w:szCs w:val="32"/>
        </w:rPr>
        <w:t>2022.</w:t>
      </w:r>
      <w:r w:rsidRPr="006435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6D9C" w:rsidRPr="0064355F">
        <w:rPr>
          <w:rFonts w:ascii="Times New Roman" w:hAnsi="Times New Roman" w:cs="Times New Roman"/>
          <w:bCs/>
          <w:sz w:val="32"/>
          <w:szCs w:val="32"/>
        </w:rPr>
        <w:t>–</w:t>
      </w:r>
      <w:r w:rsidR="00F85AA3" w:rsidRPr="0064355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A664A" w:rsidRPr="0064355F">
        <w:rPr>
          <w:rFonts w:ascii="Times New Roman" w:hAnsi="Times New Roman" w:cs="Times New Roman"/>
          <w:b/>
          <w:sz w:val="32"/>
          <w:szCs w:val="32"/>
        </w:rPr>
        <w:t>2025.</w:t>
      </w:r>
      <w:r w:rsidR="00193BAB" w:rsidRPr="0064355F">
        <w:rPr>
          <w:rFonts w:ascii="Times New Roman" w:hAnsi="Times New Roman" w:cs="Times New Roman"/>
          <w:b/>
          <w:sz w:val="32"/>
          <w:szCs w:val="32"/>
        </w:rPr>
        <w:t xml:space="preserve"> GODINE</w:t>
      </w:r>
    </w:p>
    <w:p w14:paraId="2260133A" w14:textId="77777777" w:rsidR="00F85AA3" w:rsidRPr="0064355F" w:rsidRDefault="00F85AA3" w:rsidP="00F85AA3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CE6026" w14:textId="77777777" w:rsidR="00F85AA3" w:rsidRPr="0064355F" w:rsidRDefault="00F85AA3" w:rsidP="00F85AA3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ABF9B9" w14:textId="77777777" w:rsidR="00C83635" w:rsidRPr="0064355F" w:rsidRDefault="00C83635" w:rsidP="004170F7">
      <w:pPr>
        <w:tabs>
          <w:tab w:val="left" w:pos="8820"/>
        </w:tabs>
        <w:rPr>
          <w:rFonts w:ascii="Times New Roman" w:hAnsi="Times New Roman" w:cs="Times New Roman"/>
          <w:b/>
          <w:sz w:val="32"/>
          <w:szCs w:val="32"/>
        </w:rPr>
      </w:pPr>
    </w:p>
    <w:p w14:paraId="1E6269BC" w14:textId="77777777" w:rsidR="00A5451D" w:rsidRPr="0064355F" w:rsidRDefault="00A5451D" w:rsidP="004170F7">
      <w:pPr>
        <w:tabs>
          <w:tab w:val="left" w:pos="8820"/>
        </w:tabs>
        <w:rPr>
          <w:rFonts w:ascii="Times New Roman" w:hAnsi="Times New Roman" w:cs="Times New Roman"/>
          <w:b/>
          <w:sz w:val="32"/>
          <w:szCs w:val="32"/>
        </w:rPr>
      </w:pPr>
    </w:p>
    <w:p w14:paraId="32C77A32" w14:textId="77777777" w:rsidR="004170F7" w:rsidRPr="0064355F" w:rsidRDefault="004170F7" w:rsidP="004170F7">
      <w:pPr>
        <w:tabs>
          <w:tab w:val="left" w:pos="8820"/>
        </w:tabs>
        <w:rPr>
          <w:rFonts w:ascii="Times New Roman" w:hAnsi="Times New Roman" w:cs="Times New Roman"/>
          <w:b/>
          <w:sz w:val="32"/>
          <w:szCs w:val="32"/>
        </w:rPr>
      </w:pPr>
    </w:p>
    <w:p w14:paraId="2635A4C2" w14:textId="77777777" w:rsidR="004170F7" w:rsidRPr="0064355F" w:rsidRDefault="004170F7" w:rsidP="004170F7">
      <w:pPr>
        <w:tabs>
          <w:tab w:val="left" w:pos="8820"/>
        </w:tabs>
        <w:rPr>
          <w:rFonts w:ascii="Times New Roman" w:hAnsi="Times New Roman" w:cs="Times New Roman"/>
          <w:b/>
          <w:sz w:val="32"/>
          <w:szCs w:val="32"/>
        </w:rPr>
      </w:pPr>
    </w:p>
    <w:p w14:paraId="63C19348" w14:textId="77777777" w:rsidR="00A5451D" w:rsidRPr="0064355F" w:rsidRDefault="00A5451D" w:rsidP="004170F7">
      <w:pPr>
        <w:tabs>
          <w:tab w:val="left" w:pos="8820"/>
        </w:tabs>
        <w:rPr>
          <w:rFonts w:ascii="Times New Roman" w:hAnsi="Times New Roman" w:cs="Times New Roman"/>
          <w:b/>
          <w:sz w:val="32"/>
          <w:szCs w:val="32"/>
        </w:rPr>
      </w:pPr>
    </w:p>
    <w:p w14:paraId="2FAAF3C0" w14:textId="4598B28B" w:rsidR="00562EEF" w:rsidRPr="0064355F" w:rsidRDefault="004170F7" w:rsidP="004170F7">
      <w:pPr>
        <w:tabs>
          <w:tab w:val="left" w:pos="8820"/>
        </w:tabs>
        <w:rPr>
          <w:rFonts w:ascii="Times New Roman" w:hAnsi="Times New Roman" w:cs="Times New Roman"/>
          <w:b/>
          <w:sz w:val="24"/>
          <w:szCs w:val="24"/>
        </w:rPr>
      </w:pPr>
      <w:r w:rsidRPr="006435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Priština, avgust </w:t>
      </w:r>
      <w:r w:rsidR="004A664A" w:rsidRPr="0064355F">
        <w:rPr>
          <w:rFonts w:ascii="Times New Roman" w:hAnsi="Times New Roman" w:cs="Times New Roman"/>
          <w:b/>
          <w:sz w:val="24"/>
          <w:szCs w:val="24"/>
        </w:rPr>
        <w:t>2025.</w:t>
      </w:r>
    </w:p>
    <w:p w14:paraId="27E99C79" w14:textId="77777777" w:rsidR="004170F7" w:rsidRPr="0064355F" w:rsidRDefault="004170F7" w:rsidP="0006187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C50EB" w14:textId="526AF5E1" w:rsidR="00615B6E" w:rsidRPr="0064355F" w:rsidRDefault="00615B6E" w:rsidP="0006187F">
      <w:pPr>
        <w:pStyle w:val="Sadraj1"/>
        <w:tabs>
          <w:tab w:val="left" w:pos="440"/>
          <w:tab w:val="right" w:leader="dot" w:pos="9350"/>
        </w:tabs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val="sr-Latn-RS"/>
        </w:rPr>
        <w:id w:val="179316418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243672B" w14:textId="4BBEB602" w:rsidR="001B19AE" w:rsidRPr="0064355F" w:rsidRDefault="001B19AE" w:rsidP="0006187F">
          <w:pPr>
            <w:pStyle w:val="Naslovsadraja"/>
            <w:rPr>
              <w:rFonts w:ascii="Times New Roman" w:hAnsi="Times New Roman" w:cs="Times New Roman"/>
              <w:color w:val="auto"/>
              <w:szCs w:val="24"/>
              <w:lang w:val="sr-Latn-RS"/>
            </w:rPr>
          </w:pPr>
          <w:r w:rsidRPr="0064355F">
            <w:rPr>
              <w:rFonts w:ascii="Times New Roman" w:hAnsi="Times New Roman" w:cs="Times New Roman"/>
              <w:color w:val="auto"/>
              <w:szCs w:val="24"/>
              <w:lang w:val="sr-Latn-RS"/>
            </w:rPr>
            <w:t>Sadržaj</w:t>
          </w:r>
        </w:p>
        <w:p w14:paraId="04CD6E48" w14:textId="361FCBAD" w:rsidR="001B19AE" w:rsidRPr="0064355F" w:rsidRDefault="001B19AE" w:rsidP="0006187F">
          <w:pPr>
            <w:pStyle w:val="Sadraj1"/>
            <w:tabs>
              <w:tab w:val="left" w:pos="440"/>
              <w:tab w:val="right" w:leader="dot" w:pos="9350"/>
            </w:tabs>
            <w:jc w:val="both"/>
            <w:rPr>
              <w:rFonts w:ascii="Times New Roman" w:eastAsiaTheme="minorEastAsia" w:hAnsi="Times New Roman" w:cs="Times New Roman"/>
              <w:sz w:val="24"/>
              <w:szCs w:val="24"/>
            </w:rPr>
          </w:pPr>
          <w:r w:rsidRPr="0064355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4355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4355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4006572" w:history="1">
            <w:r w:rsidRPr="0064355F">
              <w:rPr>
                <w:rStyle w:val="Hiperveza"/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4355F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="00A47C0A" w:rsidRPr="0064355F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>SKRAĆENICE</w: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_Toc174006572 \h </w:instrTex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7461C7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>3</w: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580C859D" w14:textId="4B27757B" w:rsidR="001B19AE" w:rsidRPr="0064355F" w:rsidRDefault="001B19AE" w:rsidP="0006187F">
          <w:pPr>
            <w:pStyle w:val="Sadraj1"/>
            <w:tabs>
              <w:tab w:val="left" w:pos="440"/>
              <w:tab w:val="right" w:leader="dot" w:pos="9350"/>
            </w:tabs>
            <w:jc w:val="both"/>
            <w:rPr>
              <w:rFonts w:ascii="Times New Roman" w:eastAsiaTheme="minorEastAsia" w:hAnsi="Times New Roman" w:cs="Times New Roman"/>
              <w:sz w:val="24"/>
              <w:szCs w:val="24"/>
            </w:rPr>
          </w:pPr>
          <w:hyperlink w:anchor="_Toc174006573" w:history="1">
            <w:r w:rsidRPr="0064355F">
              <w:rPr>
                <w:rStyle w:val="Hiperveza"/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4355F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="004D1775" w:rsidRPr="0064355F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>OPŠTE INFORMACIJE</w:t>
            </w:r>
            <w:bookmarkStart w:id="3" w:name="_Hlk174652796"/>
            <w:bookmarkEnd w:id="3"/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_Toc174006573 \h </w:instrTex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7461C7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>4</w: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736EC07B" w14:textId="69B66EDC" w:rsidR="001B19AE" w:rsidRPr="0064355F" w:rsidRDefault="001B19AE" w:rsidP="0006187F">
          <w:pPr>
            <w:pStyle w:val="Sadraj2"/>
            <w:ind w:left="0"/>
            <w:jc w:val="both"/>
            <w:rPr>
              <w:rFonts w:ascii="Times New Roman" w:eastAsiaTheme="minorEastAsia" w:hAnsi="Times New Roman" w:cs="Times New Roman"/>
              <w:sz w:val="24"/>
              <w:szCs w:val="24"/>
            </w:rPr>
          </w:pPr>
          <w:hyperlink w:anchor="_Toc174006574" w:history="1">
            <w:r w:rsidRPr="0064355F">
              <w:rPr>
                <w:rStyle w:val="Hiperveza"/>
                <w:rFonts w:ascii="Times New Roman" w:hAnsi="Times New Roman" w:cs="Times New Roman"/>
                <w:b/>
                <w:sz w:val="24"/>
                <w:szCs w:val="24"/>
              </w:rPr>
              <w:t xml:space="preserve">2.1.   </w:t>
            </w:r>
            <w:r w:rsidR="009F5617" w:rsidRPr="0064355F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>OPŠTI</w:t>
            </w:r>
            <w:r w:rsidR="00DD1E72" w:rsidRPr="0064355F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 xml:space="preserve"> NAPREDAK</w: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_Toc174006574 \h </w:instrTex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7461C7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>5</w: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7ADB36D3" w14:textId="5CA0861C" w:rsidR="001B19AE" w:rsidRPr="0064355F" w:rsidRDefault="001B19AE" w:rsidP="0006187F">
          <w:pPr>
            <w:pStyle w:val="Sadraj2"/>
            <w:ind w:left="0"/>
            <w:jc w:val="both"/>
            <w:rPr>
              <w:rFonts w:ascii="Times New Roman" w:eastAsiaTheme="minorEastAsia" w:hAnsi="Times New Roman" w:cs="Times New Roman"/>
              <w:sz w:val="24"/>
              <w:szCs w:val="24"/>
            </w:rPr>
          </w:pPr>
          <w:hyperlink w:anchor="_Toc174006575" w:history="1">
            <w:r w:rsidRPr="0064355F">
              <w:rPr>
                <w:rStyle w:val="Hiperveza"/>
                <w:rFonts w:ascii="Times New Roman" w:hAnsi="Times New Roman" w:cs="Times New Roman"/>
                <w:b/>
                <w:sz w:val="24"/>
                <w:szCs w:val="24"/>
              </w:rPr>
              <w:t xml:space="preserve">2.2.  </w:t>
            </w:r>
            <w:r w:rsidRPr="0064355F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 xml:space="preserve"> PROBLEMI I RIZICI</w: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_Toc174006575 \h </w:instrTex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7461C7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>6</w: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46D33E81" w14:textId="216FEDD1" w:rsidR="001B19AE" w:rsidRPr="0064355F" w:rsidRDefault="001B19AE" w:rsidP="0006187F">
          <w:pPr>
            <w:pStyle w:val="Sadraj2"/>
            <w:ind w:left="0"/>
            <w:jc w:val="both"/>
            <w:rPr>
              <w:rFonts w:ascii="Times New Roman" w:eastAsiaTheme="minorEastAsia" w:hAnsi="Times New Roman" w:cs="Times New Roman"/>
              <w:sz w:val="24"/>
              <w:szCs w:val="24"/>
            </w:rPr>
          </w:pPr>
          <w:hyperlink w:anchor="_Toc174006576" w:history="1">
            <w:r w:rsidRPr="0064355F">
              <w:rPr>
                <w:rStyle w:val="Hiperveza"/>
                <w:rFonts w:ascii="Times New Roman" w:hAnsi="Times New Roman" w:cs="Times New Roman"/>
                <w:b/>
                <w:sz w:val="24"/>
                <w:szCs w:val="24"/>
              </w:rPr>
              <w:t xml:space="preserve">2.3.   </w:t>
            </w:r>
            <w:r w:rsidRPr="0064355F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>IZAZOVI I NEDOSTACI</w: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_Toc174006576 \h </w:instrTex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7461C7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>7</w: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3111AC76" w14:textId="0F8E4D67" w:rsidR="001B19AE" w:rsidRPr="0064355F" w:rsidRDefault="001B19AE" w:rsidP="0006187F">
          <w:pPr>
            <w:pStyle w:val="Sadraj2"/>
            <w:ind w:left="0"/>
            <w:jc w:val="both"/>
            <w:rPr>
              <w:rFonts w:ascii="Times New Roman" w:eastAsiaTheme="minorEastAsia" w:hAnsi="Times New Roman" w:cs="Times New Roman"/>
              <w:sz w:val="24"/>
              <w:szCs w:val="24"/>
            </w:rPr>
          </w:pPr>
          <w:hyperlink w:anchor="_Toc174006577" w:history="1">
            <w:r w:rsidRPr="0064355F">
              <w:rPr>
                <w:rStyle w:val="Hiperveza"/>
                <w:rFonts w:ascii="Times New Roman" w:hAnsi="Times New Roman" w:cs="Times New Roman"/>
                <w:b/>
                <w:sz w:val="24"/>
                <w:szCs w:val="24"/>
              </w:rPr>
              <w:t xml:space="preserve">2.4.    </w:t>
            </w:r>
            <w:r w:rsidRPr="0064355F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 xml:space="preserve">ZAKLJUČCI I PREPORUKE ZA </w:t>
            </w:r>
            <w:r w:rsidR="009F5617" w:rsidRPr="0064355F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>SLEDEĆE</w:t>
            </w:r>
            <w:r w:rsidRPr="0064355F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 xml:space="preserve"> KORAKE</w: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_Toc174006577 \h </w:instrTex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7461C7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>7</w: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0E11FD4B" w14:textId="74D5201A" w:rsidR="001B19AE" w:rsidRPr="0064355F" w:rsidRDefault="00937116" w:rsidP="0006187F">
          <w:pPr>
            <w:pStyle w:val="Sadraj2"/>
            <w:ind w:left="0"/>
            <w:jc w:val="both"/>
            <w:rPr>
              <w:rFonts w:ascii="Times New Roman" w:eastAsiaTheme="minorEastAsia" w:hAnsi="Times New Roman" w:cs="Times New Roman"/>
              <w:sz w:val="24"/>
              <w:szCs w:val="24"/>
            </w:rPr>
          </w:pPr>
          <w:hyperlink w:anchor="_Toc174006578" w:history="1">
            <w:r w:rsidRPr="0064355F">
              <w:rPr>
                <w:rStyle w:val="Hipervez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2.5.    </w:t>
            </w:r>
            <w:r w:rsidR="00DD1E72" w:rsidRPr="0064355F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>SLEDEĆI KORACI</w:t>
            </w:r>
            <w:r w:rsidR="001B19AE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="001B19AE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1B19AE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_Toc174006578 \h </w:instrText>
            </w:r>
            <w:r w:rsidR="001B19AE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="001B19AE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7461C7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>8</w:t>
            </w:r>
            <w:r w:rsidR="001B19AE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632ED23A" w14:textId="6617A4CE" w:rsidR="001B19AE" w:rsidRPr="0064355F" w:rsidRDefault="001B19AE" w:rsidP="0006187F">
          <w:pPr>
            <w:pStyle w:val="Sadraj1"/>
            <w:tabs>
              <w:tab w:val="left" w:pos="440"/>
              <w:tab w:val="right" w:leader="dot" w:pos="9350"/>
            </w:tabs>
            <w:jc w:val="both"/>
            <w:rPr>
              <w:rFonts w:ascii="Times New Roman" w:eastAsiaTheme="minorEastAsia" w:hAnsi="Times New Roman" w:cs="Times New Roman"/>
              <w:sz w:val="24"/>
              <w:szCs w:val="24"/>
            </w:rPr>
          </w:pPr>
          <w:hyperlink w:anchor="_Toc174006579" w:history="1">
            <w:r w:rsidRPr="0064355F">
              <w:rPr>
                <w:rStyle w:val="Hiperveza"/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4355F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="00A07947" w:rsidRPr="0064355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="00DD1E72" w:rsidRPr="0064355F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>DETALJNE INFORMACIJE O SPROVOĐENJU AKTIVNOSTI</w: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_Toc174006579 \h </w:instrTex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7461C7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>8</w: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1643ECD0" w14:textId="21E28AA9" w:rsidR="001B19AE" w:rsidRPr="0064355F" w:rsidRDefault="001B19AE" w:rsidP="0006187F">
          <w:pPr>
            <w:pStyle w:val="Sadraj1"/>
            <w:tabs>
              <w:tab w:val="left" w:pos="440"/>
              <w:tab w:val="right" w:leader="dot" w:pos="9350"/>
            </w:tabs>
            <w:jc w:val="both"/>
            <w:rPr>
              <w:rFonts w:ascii="Times New Roman" w:eastAsiaTheme="minorEastAsia" w:hAnsi="Times New Roman" w:cs="Times New Roman"/>
              <w:sz w:val="24"/>
              <w:szCs w:val="24"/>
            </w:rPr>
          </w:pPr>
          <w:hyperlink w:anchor="_Toc174006580" w:history="1">
            <w:r w:rsidRPr="0064355F">
              <w:rPr>
                <w:rStyle w:val="Hiperveza"/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4355F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="009F5617" w:rsidRPr="0064355F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>PRILOG</w:t>
            </w:r>
            <w:r w:rsidRPr="0064355F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 xml:space="preserve"> - MATRICA IZVEŠTAJA O NAPRETKU ZA PERIOD JANUAR-JUN </w:t>
            </w:r>
            <w:r w:rsidR="004A664A" w:rsidRPr="0064355F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>2025.</w:t>
            </w:r>
            <w:r w:rsidR="008E2703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>.........................................................................................................................</w:t>
            </w:r>
            <w:r w:rsidR="009F5617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>...................</w:t>
            </w:r>
            <w:r w:rsidR="008E2703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>...</w: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_Toc174006580 \h </w:instrTex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7461C7"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t>11</w:t>
            </w:r>
            <w:r w:rsidRPr="0064355F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0ED9AA40" w14:textId="5868939F" w:rsidR="001B19AE" w:rsidRPr="0064355F" w:rsidRDefault="001B19AE" w:rsidP="0006187F">
          <w:pPr>
            <w:jc w:val="both"/>
          </w:pPr>
          <w:r w:rsidRPr="0064355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99FF094" w14:textId="099F49BA" w:rsidR="00C83635" w:rsidRPr="0064355F" w:rsidRDefault="00C83635" w:rsidP="00615B6E">
      <w:pPr>
        <w:pStyle w:val="Paragrafspiska"/>
        <w:spacing w:before="120" w:after="12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DD5EB8" w14:textId="77777777" w:rsidR="00990BEE" w:rsidRPr="0064355F" w:rsidRDefault="00990BEE">
      <w:pPr>
        <w:rPr>
          <w:rFonts w:ascii="Times New Roman" w:hAnsi="Times New Roman" w:cs="Times New Roman"/>
          <w:sz w:val="24"/>
          <w:szCs w:val="24"/>
        </w:rPr>
      </w:pPr>
    </w:p>
    <w:p w14:paraId="42878379" w14:textId="77777777" w:rsidR="00C83635" w:rsidRPr="0064355F" w:rsidRDefault="00C83635"/>
    <w:p w14:paraId="63CB8F7F" w14:textId="77777777" w:rsidR="00C83635" w:rsidRPr="0064355F" w:rsidRDefault="00C83635"/>
    <w:p w14:paraId="134CF379" w14:textId="77777777" w:rsidR="00C83635" w:rsidRPr="0064355F" w:rsidRDefault="00C83635"/>
    <w:p w14:paraId="0A2537DC" w14:textId="77777777" w:rsidR="00C83635" w:rsidRPr="0064355F" w:rsidRDefault="00C83635"/>
    <w:p w14:paraId="50DCB0A9" w14:textId="77777777" w:rsidR="00C83635" w:rsidRPr="0064355F" w:rsidRDefault="00C83635"/>
    <w:p w14:paraId="3D723702" w14:textId="77777777" w:rsidR="00C83635" w:rsidRPr="0064355F" w:rsidRDefault="00C83635"/>
    <w:p w14:paraId="61B52BFB" w14:textId="77777777" w:rsidR="00C83635" w:rsidRPr="0064355F" w:rsidRDefault="00C83635"/>
    <w:p w14:paraId="7E65175E" w14:textId="77777777" w:rsidR="00C83635" w:rsidRPr="0064355F" w:rsidRDefault="00C83635"/>
    <w:p w14:paraId="073E7387" w14:textId="77777777" w:rsidR="00C83635" w:rsidRPr="0064355F" w:rsidRDefault="00C83635"/>
    <w:p w14:paraId="01E2B79F" w14:textId="77777777" w:rsidR="00C83635" w:rsidRPr="0064355F" w:rsidRDefault="00C83635"/>
    <w:p w14:paraId="6891FAF2" w14:textId="77777777" w:rsidR="00C83635" w:rsidRPr="0064355F" w:rsidRDefault="00C83635"/>
    <w:p w14:paraId="435504CF" w14:textId="77777777" w:rsidR="00C83635" w:rsidRPr="0064355F" w:rsidRDefault="00C83635"/>
    <w:p w14:paraId="2FA64C72" w14:textId="77777777" w:rsidR="00C83635" w:rsidRPr="0064355F" w:rsidRDefault="00C83635"/>
    <w:p w14:paraId="18296BF5" w14:textId="77777777" w:rsidR="00357987" w:rsidRPr="0064355F" w:rsidRDefault="00357987"/>
    <w:p w14:paraId="439C1680" w14:textId="3057E49F" w:rsidR="00C83635" w:rsidRPr="0064355F" w:rsidRDefault="00C83635" w:rsidP="001B19AE">
      <w:pPr>
        <w:pStyle w:val="Naslov1"/>
      </w:pPr>
      <w:bookmarkStart w:id="4" w:name="_Toc174005216"/>
      <w:bookmarkStart w:id="5" w:name="_Toc174006572"/>
      <w:r w:rsidRPr="0064355F">
        <w:lastRenderedPageBreak/>
        <w:t>Skraćenice:</w:t>
      </w:r>
      <w:bookmarkEnd w:id="4"/>
      <w:bookmarkEnd w:id="5"/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7440"/>
      </w:tblGrid>
      <w:tr w:rsidR="005C14B5" w:rsidRPr="0064355F" w14:paraId="61B8A75C" w14:textId="77777777" w:rsidTr="00E07D7A">
        <w:trPr>
          <w:trHeight w:val="20"/>
        </w:trPr>
        <w:tc>
          <w:tcPr>
            <w:tcW w:w="1825" w:type="dxa"/>
          </w:tcPr>
          <w:p w14:paraId="56181759" w14:textId="6CD21A1F" w:rsidR="005C14B5" w:rsidRPr="0064355F" w:rsidRDefault="009F5617" w:rsidP="0006187F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EU</w:t>
            </w:r>
          </w:p>
        </w:tc>
        <w:tc>
          <w:tcPr>
            <w:tcW w:w="7440" w:type="dxa"/>
            <w:vAlign w:val="center"/>
          </w:tcPr>
          <w:p w14:paraId="75448BEB" w14:textId="77777777" w:rsidR="005C14B5" w:rsidRPr="0064355F" w:rsidRDefault="005C14B5" w:rsidP="0006187F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Evropska unija </w:t>
            </w:r>
          </w:p>
        </w:tc>
      </w:tr>
      <w:tr w:rsidR="005C14B5" w:rsidRPr="0064355F" w14:paraId="4F110B4F" w14:textId="77777777" w:rsidTr="00E07D7A">
        <w:trPr>
          <w:trHeight w:val="20"/>
        </w:trPr>
        <w:tc>
          <w:tcPr>
            <w:tcW w:w="1825" w:type="dxa"/>
          </w:tcPr>
          <w:p w14:paraId="03F97155" w14:textId="78F19ECA" w:rsidR="005C14B5" w:rsidRPr="0064355F" w:rsidRDefault="009F5617" w:rsidP="0006187F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OIE</w:t>
            </w:r>
          </w:p>
        </w:tc>
        <w:tc>
          <w:tcPr>
            <w:tcW w:w="7440" w:type="dxa"/>
            <w:vAlign w:val="center"/>
          </w:tcPr>
          <w:p w14:paraId="137D757D" w14:textId="77777777" w:rsidR="005C14B5" w:rsidRPr="0064355F" w:rsidRDefault="005C14B5" w:rsidP="0006187F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Obnovljivi izvori energije</w:t>
            </w:r>
          </w:p>
        </w:tc>
      </w:tr>
      <w:tr w:rsidR="005C14B5" w:rsidRPr="0064355F" w14:paraId="301EED3F" w14:textId="77777777" w:rsidTr="00E07D7A">
        <w:trPr>
          <w:trHeight w:val="20"/>
        </w:trPr>
        <w:tc>
          <w:tcPr>
            <w:tcW w:w="1825" w:type="dxa"/>
          </w:tcPr>
          <w:p w14:paraId="5BEBB9CD" w14:textId="7D874328" w:rsidR="005C14B5" w:rsidRPr="0064355F" w:rsidRDefault="0018406C" w:rsidP="0006187F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Segoe UI" w:hAnsi="Times New Roman" w:cs="Times New Roman"/>
                <w:sz w:val="24"/>
                <w:szCs w:val="24"/>
              </w:rPr>
              <w:t>OIE</w:t>
            </w:r>
            <w:r w:rsidR="005C14B5" w:rsidRPr="0064355F">
              <w:rPr>
                <w:rFonts w:ascii="Times New Roman" w:eastAsia="Segoe UI" w:hAnsi="Times New Roman" w:cs="Times New Roman"/>
                <w:sz w:val="24"/>
                <w:szCs w:val="24"/>
              </w:rPr>
              <w:t>-E</w:t>
            </w:r>
          </w:p>
        </w:tc>
        <w:tc>
          <w:tcPr>
            <w:tcW w:w="7440" w:type="dxa"/>
            <w:vAlign w:val="center"/>
          </w:tcPr>
          <w:p w14:paraId="7D43E115" w14:textId="11D5D71C" w:rsidR="005C14B5" w:rsidRPr="0064355F" w:rsidRDefault="005C14B5" w:rsidP="0006187F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Električna energija proizvedena iz obnovljivih izvora</w:t>
            </w:r>
          </w:p>
        </w:tc>
      </w:tr>
      <w:tr w:rsidR="009F55B6" w:rsidRPr="0064355F" w14:paraId="008971BB" w14:textId="77777777" w:rsidTr="00E07D7A">
        <w:trPr>
          <w:trHeight w:val="20"/>
        </w:trPr>
        <w:tc>
          <w:tcPr>
            <w:tcW w:w="1825" w:type="dxa"/>
          </w:tcPr>
          <w:p w14:paraId="2D80653A" w14:textId="670F7692" w:rsidR="009F55B6" w:rsidRPr="0064355F" w:rsidRDefault="009F55B6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CERT</w:t>
            </w:r>
          </w:p>
        </w:tc>
        <w:tc>
          <w:tcPr>
            <w:tcW w:w="7440" w:type="dxa"/>
            <w:vAlign w:val="center"/>
          </w:tcPr>
          <w:p w14:paraId="31B825A8" w14:textId="77777777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MS Mincho" w:hAnsi="Times New Roman" w:cs="Times New Roman"/>
                <w:sz w:val="24"/>
                <w:szCs w:val="24"/>
              </w:rPr>
              <w:t>Tim za hitne slučajeve u zajednici</w:t>
            </w:r>
          </w:p>
        </w:tc>
      </w:tr>
      <w:tr w:rsidR="009F55B6" w:rsidRPr="0064355F" w14:paraId="70DE25D4" w14:textId="77777777" w:rsidTr="00E07D7A">
        <w:trPr>
          <w:trHeight w:val="20"/>
        </w:trPr>
        <w:tc>
          <w:tcPr>
            <w:tcW w:w="1825" w:type="dxa"/>
          </w:tcPr>
          <w:p w14:paraId="33DCC24A" w14:textId="77777777" w:rsidR="009F55B6" w:rsidRPr="0064355F" w:rsidRDefault="009F55B6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440" w:type="dxa"/>
            <w:vAlign w:val="center"/>
          </w:tcPr>
          <w:p w14:paraId="371662EE" w14:textId="77777777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Ugljen-dioksid</w:t>
            </w:r>
          </w:p>
        </w:tc>
      </w:tr>
      <w:tr w:rsidR="009F55B6" w:rsidRPr="0064355F" w14:paraId="7BF94289" w14:textId="77777777" w:rsidTr="00E07D7A">
        <w:trPr>
          <w:trHeight w:val="20"/>
        </w:trPr>
        <w:tc>
          <w:tcPr>
            <w:tcW w:w="1825" w:type="dxa"/>
          </w:tcPr>
          <w:p w14:paraId="155E249D" w14:textId="77777777" w:rsidR="009F55B6" w:rsidRPr="0064355F" w:rsidRDefault="009F55B6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EE</w:t>
            </w:r>
          </w:p>
        </w:tc>
        <w:tc>
          <w:tcPr>
            <w:tcW w:w="7440" w:type="dxa"/>
            <w:vAlign w:val="center"/>
          </w:tcPr>
          <w:p w14:paraId="57AF5268" w14:textId="77777777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Energetska efikasnost</w:t>
            </w:r>
          </w:p>
        </w:tc>
      </w:tr>
      <w:tr w:rsidR="009F55B6" w:rsidRPr="0064355F" w14:paraId="7198BBB4" w14:textId="77777777" w:rsidTr="00E07D7A">
        <w:trPr>
          <w:trHeight w:val="20"/>
        </w:trPr>
        <w:tc>
          <w:tcPr>
            <w:tcW w:w="1825" w:type="dxa"/>
          </w:tcPr>
          <w:p w14:paraId="247A6B0C" w14:textId="77777777" w:rsidR="009F55B6" w:rsidRPr="0064355F" w:rsidRDefault="009F55B6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eastAsia="Segoe UI" w:hAnsi="Times New Roman" w:cs="Times New Roman"/>
                <w:sz w:val="24"/>
                <w:szCs w:val="24"/>
              </w:rPr>
              <w:t>ESCO</w:t>
            </w:r>
          </w:p>
        </w:tc>
        <w:tc>
          <w:tcPr>
            <w:tcW w:w="7440" w:type="dxa"/>
            <w:vAlign w:val="center"/>
          </w:tcPr>
          <w:p w14:paraId="076966C8" w14:textId="5F9BDE39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Kompanija usluge energije  </w:t>
            </w:r>
          </w:p>
        </w:tc>
      </w:tr>
      <w:tr w:rsidR="009F55B6" w:rsidRPr="0064355F" w14:paraId="26DEE265" w14:textId="77777777" w:rsidTr="00E07D7A">
        <w:trPr>
          <w:trHeight w:val="20"/>
        </w:trPr>
        <w:tc>
          <w:tcPr>
            <w:tcW w:w="1825" w:type="dxa"/>
          </w:tcPr>
          <w:p w14:paraId="0B65D950" w14:textId="01131CCA" w:rsidR="009F55B6" w:rsidRPr="0064355F" w:rsidRDefault="009F55B6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Segoe UI" w:hAnsi="Times New Roman" w:cs="Times New Roman"/>
                <w:sz w:val="24"/>
                <w:szCs w:val="24"/>
              </w:rPr>
              <w:t>PUŠSD</w:t>
            </w:r>
          </w:p>
        </w:tc>
        <w:tc>
          <w:tcPr>
            <w:tcW w:w="7440" w:type="dxa"/>
            <w:vAlign w:val="center"/>
          </w:tcPr>
          <w:p w14:paraId="5D4E7B59" w14:textId="77777777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001233"/>
              </w:rPr>
            </w:pPr>
            <w:r w:rsidRPr="0064355F">
              <w:rPr>
                <w:rFonts w:ascii="Times New Roman" w:eastAsia="Segoe UI" w:hAnsi="Times New Roman" w:cs="Times New Roman"/>
                <w:sz w:val="24"/>
                <w:szCs w:val="24"/>
              </w:rPr>
              <w:t>Procena uticaja na životnu sredinu i društvo</w:t>
            </w:r>
          </w:p>
        </w:tc>
      </w:tr>
      <w:tr w:rsidR="009F55B6" w:rsidRPr="0064355F" w14:paraId="45F7702E" w14:textId="77777777" w:rsidTr="00E07D7A">
        <w:trPr>
          <w:trHeight w:val="20"/>
        </w:trPr>
        <w:tc>
          <w:tcPr>
            <w:tcW w:w="1825" w:type="dxa"/>
          </w:tcPr>
          <w:p w14:paraId="4FA00718" w14:textId="347D184F" w:rsidR="009F55B6" w:rsidRPr="0064355F" w:rsidRDefault="009F55B6" w:rsidP="009F55B6">
            <w:pPr>
              <w:tabs>
                <w:tab w:val="left" w:pos="88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>PSES</w:t>
            </w:r>
          </w:p>
        </w:tc>
        <w:tc>
          <w:tcPr>
            <w:tcW w:w="7440" w:type="dxa"/>
          </w:tcPr>
          <w:p w14:paraId="493D0BB8" w14:textId="7C5081AC" w:rsidR="009F55B6" w:rsidRPr="0064355F" w:rsidRDefault="009F55B6" w:rsidP="009F55B6">
            <w:pPr>
              <w:tabs>
                <w:tab w:val="left" w:pos="88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>Program sprovođenja energetske strategije</w:t>
            </w:r>
          </w:p>
        </w:tc>
      </w:tr>
      <w:tr w:rsidR="009F55B6" w:rsidRPr="0064355F" w14:paraId="3B42DA2F" w14:textId="77777777" w:rsidTr="00E07D7A">
        <w:trPr>
          <w:trHeight w:val="20"/>
        </w:trPr>
        <w:tc>
          <w:tcPr>
            <w:tcW w:w="1825" w:type="dxa"/>
          </w:tcPr>
          <w:p w14:paraId="4097627D" w14:textId="02CC7252" w:rsidR="009F55B6" w:rsidRPr="0064355F" w:rsidRDefault="009F55B6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Segoe UI" w:hAnsi="Times New Roman" w:cs="Times New Roman"/>
                <w:sz w:val="24"/>
                <w:szCs w:val="24"/>
              </w:rPr>
              <w:t>FKEE</w:t>
            </w:r>
          </w:p>
        </w:tc>
        <w:tc>
          <w:tcPr>
            <w:tcW w:w="7440" w:type="dxa"/>
            <w:vAlign w:val="center"/>
          </w:tcPr>
          <w:p w14:paraId="0AAA1DB8" w14:textId="5E041D2F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MingLiU-ExtB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 xml:space="preserve">Fond  Kosova za energetsku efikasnost  </w:t>
            </w:r>
          </w:p>
        </w:tc>
      </w:tr>
      <w:tr w:rsidR="009F55B6" w:rsidRPr="0064355F" w14:paraId="4742C59A" w14:textId="77777777" w:rsidTr="00E07D7A">
        <w:trPr>
          <w:trHeight w:val="20"/>
        </w:trPr>
        <w:tc>
          <w:tcPr>
            <w:tcW w:w="1825" w:type="dxa"/>
          </w:tcPr>
          <w:p w14:paraId="0EB91BB6" w14:textId="4B3B82A4" w:rsidR="009F55B6" w:rsidRPr="0064355F" w:rsidRDefault="009F55B6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GSB</w:t>
            </w:r>
          </w:p>
        </w:tc>
        <w:tc>
          <w:tcPr>
            <w:tcW w:w="7440" w:type="dxa"/>
            <w:vAlign w:val="center"/>
          </w:tcPr>
          <w:p w14:paraId="6E68D866" w14:textId="2168F033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Gasovi staklene bašte</w:t>
            </w:r>
          </w:p>
        </w:tc>
      </w:tr>
      <w:tr w:rsidR="009F55B6" w:rsidRPr="0064355F" w14:paraId="706D278A" w14:textId="77777777" w:rsidTr="00E07D7A">
        <w:trPr>
          <w:trHeight w:val="20"/>
        </w:trPr>
        <w:tc>
          <w:tcPr>
            <w:tcW w:w="1825" w:type="dxa"/>
          </w:tcPr>
          <w:p w14:paraId="67A38B38" w14:textId="77777777" w:rsidR="009F55B6" w:rsidRPr="0064355F" w:rsidRDefault="009F55B6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IPF9</w:t>
            </w:r>
          </w:p>
        </w:tc>
        <w:tc>
          <w:tcPr>
            <w:tcW w:w="7440" w:type="dxa"/>
            <w:vAlign w:val="center"/>
          </w:tcPr>
          <w:p w14:paraId="0820E13A" w14:textId="04C76359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Infrastrukturni objekat projekta – Tehnička pomoć 9</w:t>
            </w:r>
          </w:p>
        </w:tc>
      </w:tr>
      <w:tr w:rsidR="009F55B6" w:rsidRPr="0064355F" w14:paraId="08C7134D" w14:textId="77777777" w:rsidTr="00E07D7A">
        <w:trPr>
          <w:trHeight w:val="20"/>
        </w:trPr>
        <w:tc>
          <w:tcPr>
            <w:tcW w:w="1825" w:type="dxa"/>
          </w:tcPr>
          <w:p w14:paraId="2692BF30" w14:textId="7D8A2097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>KEDS</w:t>
            </w:r>
          </w:p>
        </w:tc>
        <w:tc>
          <w:tcPr>
            <w:tcW w:w="7440" w:type="dxa"/>
            <w:vAlign w:val="center"/>
          </w:tcPr>
          <w:p w14:paraId="66BD5732" w14:textId="24AE63F3" w:rsidR="009F55B6" w:rsidRPr="0064355F" w:rsidRDefault="009F55B6" w:rsidP="009F55B6">
            <w:pPr>
              <w:tabs>
                <w:tab w:val="left" w:pos="88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Kosovska kompanija za distribuciju električne energije</w:t>
            </w:r>
          </w:p>
        </w:tc>
      </w:tr>
      <w:tr w:rsidR="009F55B6" w:rsidRPr="0064355F" w14:paraId="5336CA03" w14:textId="77777777" w:rsidTr="00E07D7A">
        <w:trPr>
          <w:trHeight w:val="20"/>
        </w:trPr>
        <w:tc>
          <w:tcPr>
            <w:tcW w:w="1825" w:type="dxa"/>
          </w:tcPr>
          <w:p w14:paraId="583C274B" w14:textId="2A4206F1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>KEK</w:t>
            </w:r>
          </w:p>
        </w:tc>
        <w:tc>
          <w:tcPr>
            <w:tcW w:w="7440" w:type="dxa"/>
          </w:tcPr>
          <w:p w14:paraId="16BC5C8A" w14:textId="49DBBCBA" w:rsidR="009F55B6" w:rsidRPr="0064355F" w:rsidRDefault="009F55B6" w:rsidP="009F55B6">
            <w:pPr>
              <w:tabs>
                <w:tab w:val="left" w:pos="88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>Kosovska energetska kompanija</w:t>
            </w:r>
          </w:p>
        </w:tc>
      </w:tr>
      <w:tr w:rsidR="009F55B6" w:rsidRPr="0064355F" w14:paraId="702615FD" w14:textId="77777777" w:rsidTr="00E07D7A">
        <w:trPr>
          <w:trHeight w:val="20"/>
        </w:trPr>
        <w:tc>
          <w:tcPr>
            <w:tcW w:w="1825" w:type="dxa"/>
          </w:tcPr>
          <w:p w14:paraId="77F0B18C" w14:textId="532B8984" w:rsidR="009F55B6" w:rsidRPr="0064355F" w:rsidRDefault="0019696C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55F">
              <w:rPr>
                <w:rFonts w:ascii="Times New Roman" w:hAnsi="Times New Roman" w:cs="Times New Roman"/>
                <w:sz w:val="24"/>
                <w:szCs w:val="24"/>
              </w:rPr>
              <w:t>KfW</w:t>
            </w:r>
            <w:proofErr w:type="spellEnd"/>
          </w:p>
        </w:tc>
        <w:tc>
          <w:tcPr>
            <w:tcW w:w="7440" w:type="dxa"/>
            <w:vAlign w:val="center"/>
          </w:tcPr>
          <w:p w14:paraId="67D84D9B" w14:textId="5787D852" w:rsidR="009F55B6" w:rsidRPr="0064355F" w:rsidRDefault="0019696C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Times New Roman" w:hAnsi="Times New Roman" w:cs="Times New Roman"/>
                <w:sz w:val="24"/>
                <w:szCs w:val="24"/>
              </w:rPr>
              <w:t>Kreditni institut za obnovu</w:t>
            </w:r>
          </w:p>
        </w:tc>
      </w:tr>
      <w:tr w:rsidR="009F55B6" w:rsidRPr="0064355F" w14:paraId="64B02545" w14:textId="77777777" w:rsidTr="00E07D7A">
        <w:trPr>
          <w:trHeight w:val="20"/>
        </w:trPr>
        <w:tc>
          <w:tcPr>
            <w:tcW w:w="1825" w:type="dxa"/>
            <w:vAlign w:val="center"/>
          </w:tcPr>
          <w:p w14:paraId="00266D38" w14:textId="59555E6E" w:rsidR="009F55B6" w:rsidRPr="0064355F" w:rsidRDefault="004F3B08" w:rsidP="009F55B6">
            <w:pPr>
              <w:tabs>
                <w:tab w:val="left" w:pos="88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 xml:space="preserve">KOSTT </w:t>
            </w:r>
          </w:p>
        </w:tc>
        <w:tc>
          <w:tcPr>
            <w:tcW w:w="7440" w:type="dxa"/>
          </w:tcPr>
          <w:p w14:paraId="5D38BCCE" w14:textId="437836A1" w:rsidR="009F55B6" w:rsidRPr="0064355F" w:rsidRDefault="009F55B6" w:rsidP="009F55B6">
            <w:pPr>
              <w:tabs>
                <w:tab w:val="left" w:pos="88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 xml:space="preserve">Operator </w:t>
            </w:r>
            <w:r w:rsidR="0019696C" w:rsidRPr="0064355F">
              <w:rPr>
                <w:rFonts w:ascii="Times New Roman" w:hAnsi="Times New Roman" w:cs="Times New Roman"/>
                <w:sz w:val="24"/>
                <w:szCs w:val="24"/>
              </w:rPr>
              <w:t xml:space="preserve"> sistema, transmisije i tržišta električne energije Kosova</w:t>
            </w:r>
          </w:p>
        </w:tc>
      </w:tr>
      <w:tr w:rsidR="009F55B6" w:rsidRPr="0064355F" w14:paraId="17572E31" w14:textId="77777777" w:rsidTr="00E07D7A">
        <w:trPr>
          <w:trHeight w:val="20"/>
        </w:trPr>
        <w:tc>
          <w:tcPr>
            <w:tcW w:w="1825" w:type="dxa"/>
          </w:tcPr>
          <w:p w14:paraId="5492A8A6" w14:textId="5AF0A524" w:rsidR="009F55B6" w:rsidRPr="0064355F" w:rsidRDefault="0019696C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Ktoe</w:t>
            </w:r>
            <w:proofErr w:type="spellEnd"/>
          </w:p>
        </w:tc>
        <w:tc>
          <w:tcPr>
            <w:tcW w:w="7440" w:type="dxa"/>
            <w:vAlign w:val="center"/>
          </w:tcPr>
          <w:p w14:paraId="195CC751" w14:textId="6A9AD93C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Kilogram tona ekvivalenta </w:t>
            </w:r>
            <w:r w:rsidR="0019696C"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nafte</w:t>
            </w:r>
          </w:p>
        </w:tc>
      </w:tr>
      <w:tr w:rsidR="009F55B6" w:rsidRPr="0064355F" w14:paraId="3FA5BE5E" w14:textId="77777777" w:rsidTr="00E07D7A">
        <w:trPr>
          <w:trHeight w:val="20"/>
        </w:trPr>
        <w:tc>
          <w:tcPr>
            <w:tcW w:w="1825" w:type="dxa"/>
          </w:tcPr>
          <w:p w14:paraId="0693D762" w14:textId="0CE56A89" w:rsidR="009F55B6" w:rsidRPr="0064355F" w:rsidRDefault="003E27A4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MONTI</w:t>
            </w:r>
          </w:p>
        </w:tc>
        <w:tc>
          <w:tcPr>
            <w:tcW w:w="7440" w:type="dxa"/>
            <w:vAlign w:val="center"/>
          </w:tcPr>
          <w:p w14:paraId="70BA8C50" w14:textId="65FED3BE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 xml:space="preserve">Ministarstvo </w:t>
            </w:r>
            <w:r w:rsidR="003E27A4" w:rsidRPr="0064355F">
              <w:rPr>
                <w:rFonts w:ascii="Times New Roman" w:hAnsi="Times New Roman" w:cs="Times New Roman"/>
                <w:sz w:val="24"/>
                <w:szCs w:val="24"/>
              </w:rPr>
              <w:t>obrazovanja</w:t>
            </w: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>, nauke, tehnologije i inovacija</w:t>
            </w:r>
          </w:p>
        </w:tc>
      </w:tr>
      <w:tr w:rsidR="009F55B6" w:rsidRPr="0064355F" w14:paraId="492F2123" w14:textId="77777777" w:rsidTr="00E07D7A">
        <w:trPr>
          <w:trHeight w:val="20"/>
        </w:trPr>
        <w:tc>
          <w:tcPr>
            <w:tcW w:w="1825" w:type="dxa"/>
          </w:tcPr>
          <w:p w14:paraId="5484E5CD" w14:textId="32314554" w:rsidR="009F55B6" w:rsidRPr="0064355F" w:rsidRDefault="001644E1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MS Mincho" w:hAnsi="Times New Roman" w:cs="Times New Roman"/>
                <w:sz w:val="24"/>
                <w:szCs w:val="24"/>
              </w:rPr>
              <w:t>MCAK</w:t>
            </w:r>
          </w:p>
        </w:tc>
        <w:tc>
          <w:tcPr>
            <w:tcW w:w="7440" w:type="dxa"/>
            <w:vAlign w:val="center"/>
          </w:tcPr>
          <w:p w14:paraId="0970D885" w14:textId="024FEDCE" w:rsidR="009F55B6" w:rsidRPr="0064355F" w:rsidRDefault="003E27A4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>Račun Milenijumskog izazova</w:t>
            </w:r>
            <w:r w:rsidR="009F55B6" w:rsidRPr="0064355F">
              <w:rPr>
                <w:rFonts w:ascii="Times New Roman" w:hAnsi="Times New Roman" w:cs="Times New Roman"/>
                <w:sz w:val="24"/>
                <w:szCs w:val="24"/>
              </w:rPr>
              <w:t>-Kosovo</w:t>
            </w:r>
          </w:p>
        </w:tc>
      </w:tr>
      <w:tr w:rsidR="009F55B6" w:rsidRPr="0064355F" w14:paraId="19C70870" w14:textId="77777777" w:rsidTr="00E07D7A">
        <w:trPr>
          <w:trHeight w:val="20"/>
        </w:trPr>
        <w:tc>
          <w:tcPr>
            <w:tcW w:w="1825" w:type="dxa"/>
          </w:tcPr>
          <w:p w14:paraId="301705BF" w14:textId="77777777" w:rsidR="009F55B6" w:rsidRPr="0064355F" w:rsidRDefault="009F55B6" w:rsidP="009F55B6">
            <w:pPr>
              <w:tabs>
                <w:tab w:val="left" w:pos="88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>MCC</w:t>
            </w:r>
          </w:p>
        </w:tc>
        <w:tc>
          <w:tcPr>
            <w:tcW w:w="7440" w:type="dxa"/>
          </w:tcPr>
          <w:p w14:paraId="7E44358B" w14:textId="6E37BEC1" w:rsidR="009F55B6" w:rsidRPr="0064355F" w:rsidRDefault="003E27A4" w:rsidP="009F55B6">
            <w:pPr>
              <w:tabs>
                <w:tab w:val="left" w:pos="88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 xml:space="preserve">Korporacija </w:t>
            </w:r>
            <w:r w:rsidR="009F55B6" w:rsidRPr="0064355F">
              <w:rPr>
                <w:rFonts w:ascii="Times New Roman" w:hAnsi="Times New Roman" w:cs="Times New Roman"/>
                <w:sz w:val="24"/>
                <w:szCs w:val="24"/>
              </w:rPr>
              <w:t>Milenijumsk</w:t>
            </w: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 xml:space="preserve">og </w:t>
            </w:r>
            <w:r w:rsidR="009F55B6" w:rsidRPr="0064355F">
              <w:rPr>
                <w:rFonts w:ascii="Times New Roman" w:hAnsi="Times New Roman" w:cs="Times New Roman"/>
                <w:sz w:val="24"/>
                <w:szCs w:val="24"/>
              </w:rPr>
              <w:t>izazov</w:t>
            </w: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F55B6" w:rsidRPr="006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5B6" w:rsidRPr="0064355F" w14:paraId="3B56DFFD" w14:textId="77777777" w:rsidTr="00E07D7A">
        <w:trPr>
          <w:trHeight w:val="20"/>
        </w:trPr>
        <w:tc>
          <w:tcPr>
            <w:tcW w:w="1825" w:type="dxa"/>
          </w:tcPr>
          <w:p w14:paraId="039B7CBE" w14:textId="77777777" w:rsidR="009F55B6" w:rsidRPr="0064355F" w:rsidRDefault="009F55B6" w:rsidP="009F55B6">
            <w:pPr>
              <w:tabs>
                <w:tab w:val="right" w:pos="1939"/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440" w:type="dxa"/>
            <w:vAlign w:val="center"/>
          </w:tcPr>
          <w:p w14:paraId="7F0D4682" w14:textId="4948CEA3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Ministarstvo </w:t>
            </w:r>
            <w:r w:rsidR="003E27A4" w:rsidRPr="0064355F">
              <w:rPr>
                <w:rFonts w:ascii="Times New Roman" w:eastAsia="Times New Roman" w:hAnsi="Times New Roman" w:cs="Times New Roman"/>
                <w:sz w:val="24"/>
                <w:szCs w:val="24"/>
              </w:rPr>
              <w:t>ekonomije</w:t>
            </w:r>
          </w:p>
        </w:tc>
      </w:tr>
      <w:tr w:rsidR="009F55B6" w:rsidRPr="0064355F" w14:paraId="419EAB17" w14:textId="77777777" w:rsidTr="00E07D7A">
        <w:trPr>
          <w:trHeight w:val="20"/>
        </w:trPr>
        <w:tc>
          <w:tcPr>
            <w:tcW w:w="1825" w:type="dxa"/>
          </w:tcPr>
          <w:p w14:paraId="0EDBC302" w14:textId="77777777" w:rsidR="009F55B6" w:rsidRPr="0064355F" w:rsidRDefault="009F55B6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Segoe UI" w:hAnsi="Times New Roman" w:cs="Times New Roman"/>
                <w:sz w:val="24"/>
                <w:szCs w:val="24"/>
              </w:rPr>
              <w:t>MFK</w:t>
            </w:r>
          </w:p>
        </w:tc>
        <w:tc>
          <w:tcPr>
            <w:tcW w:w="7440" w:type="dxa"/>
            <w:vAlign w:val="center"/>
          </w:tcPr>
          <w:p w14:paraId="1FD4CBE4" w14:textId="77777777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001233"/>
              </w:rPr>
            </w:pPr>
            <w:r w:rsidRPr="0064355F">
              <w:rPr>
                <w:rFonts w:ascii="Times New Roman" w:eastAsia="MS Mincho" w:hAnsi="Times New Roman" w:cs="Times New Roman"/>
                <w:sz w:val="24"/>
                <w:szCs w:val="24"/>
              </w:rPr>
              <w:t>Milenijumska fondacija na Kosovu</w:t>
            </w:r>
          </w:p>
        </w:tc>
      </w:tr>
      <w:tr w:rsidR="009F55B6" w:rsidRPr="0064355F" w14:paraId="374EE382" w14:textId="77777777" w:rsidTr="00E07D7A">
        <w:trPr>
          <w:trHeight w:val="20"/>
        </w:trPr>
        <w:tc>
          <w:tcPr>
            <w:tcW w:w="1825" w:type="dxa"/>
          </w:tcPr>
          <w:p w14:paraId="7F167335" w14:textId="53A5C45F" w:rsidR="009F55B6" w:rsidRPr="0064355F" w:rsidRDefault="009F55B6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MF</w:t>
            </w:r>
            <w:r w:rsidR="001644E1"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440" w:type="dxa"/>
            <w:vAlign w:val="center"/>
          </w:tcPr>
          <w:p w14:paraId="1B4EC100" w14:textId="77777777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 xml:space="preserve">Ministarstvo finansija, rada i transfera </w:t>
            </w:r>
          </w:p>
        </w:tc>
      </w:tr>
      <w:tr w:rsidR="009F55B6" w:rsidRPr="0064355F" w14:paraId="4FDC317C" w14:textId="77777777" w:rsidTr="00E07D7A">
        <w:trPr>
          <w:trHeight w:val="20"/>
        </w:trPr>
        <w:tc>
          <w:tcPr>
            <w:tcW w:w="1825" w:type="dxa"/>
          </w:tcPr>
          <w:p w14:paraId="687AC924" w14:textId="2A7F2107" w:rsidR="009F55B6" w:rsidRPr="0064355F" w:rsidRDefault="001644E1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Segoe UI" w:hAnsi="Times New Roman" w:cs="Times New Roman"/>
                <w:sz w:val="24"/>
                <w:szCs w:val="24"/>
              </w:rPr>
              <w:t>MŽSPPI</w:t>
            </w:r>
          </w:p>
        </w:tc>
        <w:tc>
          <w:tcPr>
            <w:tcW w:w="7440" w:type="dxa"/>
            <w:vAlign w:val="center"/>
          </w:tcPr>
          <w:p w14:paraId="49835EE4" w14:textId="7DBB5E09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001233"/>
              </w:rPr>
            </w:pPr>
            <w:r w:rsidRPr="0064355F">
              <w:rPr>
                <w:rFonts w:ascii="Times New Roman" w:eastAsia="Segoe UI" w:hAnsi="Times New Roman" w:cs="Times New Roman"/>
                <w:sz w:val="24"/>
                <w:szCs w:val="24"/>
              </w:rPr>
              <w:t>Ministarstvo životne sredine, prostornog planiranja i infrastrukture</w:t>
            </w:r>
          </w:p>
        </w:tc>
      </w:tr>
      <w:tr w:rsidR="009F55B6" w:rsidRPr="0064355F" w14:paraId="41E12B64" w14:textId="77777777" w:rsidTr="00E07D7A">
        <w:trPr>
          <w:trHeight w:val="20"/>
        </w:trPr>
        <w:tc>
          <w:tcPr>
            <w:tcW w:w="1825" w:type="dxa"/>
          </w:tcPr>
          <w:p w14:paraId="4D634806" w14:textId="77777777" w:rsidR="009F55B6" w:rsidRPr="0064355F" w:rsidRDefault="009F55B6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MW</w:t>
            </w:r>
          </w:p>
        </w:tc>
        <w:tc>
          <w:tcPr>
            <w:tcW w:w="7440" w:type="dxa"/>
            <w:vAlign w:val="center"/>
          </w:tcPr>
          <w:p w14:paraId="74CEF02F" w14:textId="2E8F90A1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Mega Vat</w:t>
            </w:r>
          </w:p>
        </w:tc>
      </w:tr>
      <w:tr w:rsidR="009F55B6" w:rsidRPr="0064355F" w14:paraId="787BDB0A" w14:textId="77777777" w:rsidTr="00E07D7A">
        <w:trPr>
          <w:trHeight w:val="20"/>
        </w:trPr>
        <w:tc>
          <w:tcPr>
            <w:tcW w:w="1825" w:type="dxa"/>
          </w:tcPr>
          <w:p w14:paraId="764A7FF4" w14:textId="3441FC0D" w:rsidR="009F55B6" w:rsidRPr="0064355F" w:rsidRDefault="001644E1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MWt</w:t>
            </w:r>
            <w:proofErr w:type="spellEnd"/>
          </w:p>
        </w:tc>
        <w:tc>
          <w:tcPr>
            <w:tcW w:w="7440" w:type="dxa"/>
            <w:vAlign w:val="center"/>
          </w:tcPr>
          <w:p w14:paraId="231BB1AC" w14:textId="6F6778CC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Mega V Termalna</w:t>
            </w:r>
          </w:p>
        </w:tc>
      </w:tr>
      <w:tr w:rsidR="009F55B6" w:rsidRPr="0064355F" w14:paraId="5CB4047C" w14:textId="77777777" w:rsidTr="00E07D7A">
        <w:trPr>
          <w:trHeight w:val="20"/>
        </w:trPr>
        <w:tc>
          <w:tcPr>
            <w:tcW w:w="1825" w:type="dxa"/>
          </w:tcPr>
          <w:p w14:paraId="428EFA61" w14:textId="77777777" w:rsidR="009F55B6" w:rsidRPr="0064355F" w:rsidRDefault="009F55B6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NOx</w:t>
            </w:r>
            <w:proofErr w:type="spellEnd"/>
          </w:p>
        </w:tc>
        <w:tc>
          <w:tcPr>
            <w:tcW w:w="7440" w:type="dxa"/>
            <w:vAlign w:val="center"/>
          </w:tcPr>
          <w:p w14:paraId="02283CE0" w14:textId="77777777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Azotni oksidi </w:t>
            </w:r>
          </w:p>
        </w:tc>
      </w:tr>
      <w:tr w:rsidR="009F55B6" w:rsidRPr="0064355F" w14:paraId="51CCA6B3" w14:textId="77777777" w:rsidTr="00E07D7A">
        <w:trPr>
          <w:trHeight w:val="20"/>
        </w:trPr>
        <w:tc>
          <w:tcPr>
            <w:tcW w:w="1825" w:type="dxa"/>
          </w:tcPr>
          <w:p w14:paraId="011D0236" w14:textId="19E47B80" w:rsidR="009F55B6" w:rsidRPr="0064355F" w:rsidRDefault="001644E1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MS Mincho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7440" w:type="dxa"/>
            <w:vAlign w:val="center"/>
          </w:tcPr>
          <w:p w14:paraId="50EA9115" w14:textId="77777777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MS Mincho" w:hAnsi="Times New Roman" w:cs="Times New Roman"/>
                <w:sz w:val="24"/>
                <w:szCs w:val="24"/>
              </w:rPr>
              <w:t>Centralno grejanje</w:t>
            </w:r>
          </w:p>
        </w:tc>
      </w:tr>
      <w:tr w:rsidR="009F55B6" w:rsidRPr="0064355F" w14:paraId="06F3839B" w14:textId="77777777" w:rsidTr="00E07D7A">
        <w:trPr>
          <w:trHeight w:val="20"/>
        </w:trPr>
        <w:tc>
          <w:tcPr>
            <w:tcW w:w="1825" w:type="dxa"/>
          </w:tcPr>
          <w:p w14:paraId="3323FEB0" w14:textId="3C05C03A" w:rsidR="009F55B6" w:rsidRPr="0064355F" w:rsidRDefault="001644E1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OSD</w:t>
            </w:r>
          </w:p>
        </w:tc>
        <w:tc>
          <w:tcPr>
            <w:tcW w:w="7440" w:type="dxa"/>
            <w:vAlign w:val="center"/>
          </w:tcPr>
          <w:p w14:paraId="06EE81BA" w14:textId="2EEE3AF5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Operatori sistema</w:t>
            </w:r>
            <w:r w:rsidR="003E27A4"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distribucije</w:t>
            </w:r>
          </w:p>
        </w:tc>
      </w:tr>
      <w:tr w:rsidR="009F55B6" w:rsidRPr="0064355F" w14:paraId="6F2990C1" w14:textId="77777777" w:rsidTr="00E07D7A">
        <w:trPr>
          <w:trHeight w:val="20"/>
        </w:trPr>
        <w:tc>
          <w:tcPr>
            <w:tcW w:w="1825" w:type="dxa"/>
          </w:tcPr>
          <w:p w14:paraId="470C8C47" w14:textId="7CC2FA55" w:rsidR="009F55B6" w:rsidRPr="0064355F" w:rsidRDefault="009F55B6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r w:rsidR="001644E1"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440" w:type="dxa"/>
            <w:vAlign w:val="center"/>
          </w:tcPr>
          <w:p w14:paraId="476E57C2" w14:textId="1ACBB8E2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Operatori </w:t>
            </w:r>
            <w:r w:rsidR="003E27A4"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sistema </w:t>
            </w: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prenos</w:t>
            </w:r>
            <w:r w:rsidR="003E27A4"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644E1" w:rsidRPr="0064355F" w14:paraId="6706A1BB" w14:textId="77777777" w:rsidTr="00E07D7A">
        <w:trPr>
          <w:trHeight w:val="20"/>
        </w:trPr>
        <w:tc>
          <w:tcPr>
            <w:tcW w:w="1825" w:type="dxa"/>
          </w:tcPr>
          <w:p w14:paraId="28A32FCE" w14:textId="7A520175" w:rsidR="001644E1" w:rsidRPr="0064355F" w:rsidRDefault="001644E1" w:rsidP="001644E1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>SAIDI</w:t>
            </w:r>
          </w:p>
        </w:tc>
        <w:tc>
          <w:tcPr>
            <w:tcW w:w="7440" w:type="dxa"/>
            <w:vAlign w:val="center"/>
          </w:tcPr>
          <w:p w14:paraId="176DB6B3" w14:textId="77777777" w:rsidR="001644E1" w:rsidRPr="0064355F" w:rsidRDefault="001644E1" w:rsidP="001644E1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>Indeks prosečnog trajanja prekida sistema</w:t>
            </w:r>
          </w:p>
        </w:tc>
      </w:tr>
      <w:tr w:rsidR="001644E1" w:rsidRPr="0064355F" w14:paraId="321EA29E" w14:textId="77777777" w:rsidTr="00E07D7A">
        <w:trPr>
          <w:trHeight w:val="20"/>
        </w:trPr>
        <w:tc>
          <w:tcPr>
            <w:tcW w:w="1825" w:type="dxa"/>
          </w:tcPr>
          <w:p w14:paraId="04775F53" w14:textId="51BD206E" w:rsidR="001644E1" w:rsidRPr="0064355F" w:rsidRDefault="001644E1" w:rsidP="001644E1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Segoe UI" w:hAnsi="Times New Roman" w:cs="Times New Roman"/>
                <w:sz w:val="24"/>
                <w:szCs w:val="24"/>
              </w:rPr>
              <w:t>SAIFI</w:t>
            </w:r>
          </w:p>
        </w:tc>
        <w:tc>
          <w:tcPr>
            <w:tcW w:w="7440" w:type="dxa"/>
            <w:vAlign w:val="center"/>
          </w:tcPr>
          <w:p w14:paraId="7290A534" w14:textId="77777777" w:rsidR="001644E1" w:rsidRPr="0064355F" w:rsidRDefault="001644E1" w:rsidP="001644E1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Prosečan indeks frekvencije prekida sistema</w:t>
            </w:r>
          </w:p>
        </w:tc>
      </w:tr>
      <w:tr w:rsidR="001644E1" w:rsidRPr="0064355F" w14:paraId="086D8D06" w14:textId="77777777" w:rsidTr="00E07D7A">
        <w:trPr>
          <w:trHeight w:val="20"/>
        </w:trPr>
        <w:tc>
          <w:tcPr>
            <w:tcW w:w="1825" w:type="dxa"/>
          </w:tcPr>
          <w:p w14:paraId="5C51626F" w14:textId="00278D46" w:rsidR="001644E1" w:rsidRPr="0064355F" w:rsidRDefault="001644E1" w:rsidP="001644E1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SCADA</w:t>
            </w:r>
          </w:p>
        </w:tc>
        <w:tc>
          <w:tcPr>
            <w:tcW w:w="7440" w:type="dxa"/>
            <w:vAlign w:val="center"/>
          </w:tcPr>
          <w:p w14:paraId="393A30C3" w14:textId="77777777" w:rsidR="001644E1" w:rsidRPr="0064355F" w:rsidRDefault="001644E1" w:rsidP="001644E1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Nadzorna kontrola i pronalaženje podataka</w:t>
            </w:r>
          </w:p>
        </w:tc>
      </w:tr>
      <w:tr w:rsidR="001644E1" w:rsidRPr="0064355F" w14:paraId="32F5F50E" w14:textId="77777777" w:rsidTr="00E07D7A">
        <w:trPr>
          <w:trHeight w:val="20"/>
        </w:trPr>
        <w:tc>
          <w:tcPr>
            <w:tcW w:w="1825" w:type="dxa"/>
          </w:tcPr>
          <w:p w14:paraId="6DC7CD09" w14:textId="69E28F71" w:rsidR="001644E1" w:rsidRPr="0064355F" w:rsidRDefault="001644E1" w:rsidP="001644E1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6435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440" w:type="dxa"/>
            <w:vAlign w:val="center"/>
          </w:tcPr>
          <w:p w14:paraId="2511B268" w14:textId="77777777" w:rsidR="001644E1" w:rsidRPr="0064355F" w:rsidRDefault="001644E1" w:rsidP="001644E1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Sumpor dioksid  </w:t>
            </w:r>
          </w:p>
        </w:tc>
      </w:tr>
      <w:tr w:rsidR="009F55B6" w:rsidRPr="0064355F" w14:paraId="619410C1" w14:textId="77777777" w:rsidTr="00E07D7A">
        <w:trPr>
          <w:trHeight w:val="20"/>
        </w:trPr>
        <w:tc>
          <w:tcPr>
            <w:tcW w:w="1825" w:type="dxa"/>
          </w:tcPr>
          <w:p w14:paraId="20C6F98C" w14:textId="15074D8D" w:rsidR="009F55B6" w:rsidRPr="0064355F" w:rsidRDefault="009F55B6" w:rsidP="009F55B6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ETS </w:t>
            </w:r>
            <w:r w:rsidR="001644E1" w:rsidRPr="0064355F">
              <w:rPr>
                <w:rFonts w:ascii="Times New Roman" w:eastAsia="Calibri" w:hAnsi="Times New Roman" w:cs="Times New Roman"/>
                <w:sz w:val="24"/>
                <w:szCs w:val="24"/>
              </w:rPr>
              <w:t>EU</w:t>
            </w:r>
          </w:p>
        </w:tc>
        <w:tc>
          <w:tcPr>
            <w:tcW w:w="7440" w:type="dxa"/>
            <w:vAlign w:val="center"/>
          </w:tcPr>
          <w:p w14:paraId="0C603313" w14:textId="77777777" w:rsidR="009F55B6" w:rsidRPr="0064355F" w:rsidRDefault="009F55B6" w:rsidP="009F55B6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Sistem trgovanja emisijama Evropske unije</w:t>
            </w:r>
          </w:p>
        </w:tc>
      </w:tr>
      <w:tr w:rsidR="007C750B" w:rsidRPr="0064355F" w14:paraId="7EB96D65" w14:textId="77777777" w:rsidTr="00E07D7A">
        <w:trPr>
          <w:trHeight w:val="20"/>
        </w:trPr>
        <w:tc>
          <w:tcPr>
            <w:tcW w:w="1825" w:type="dxa"/>
          </w:tcPr>
          <w:p w14:paraId="0853A671" w14:textId="47B0C041" w:rsidR="007C750B" w:rsidRPr="0064355F" w:rsidRDefault="007C750B" w:rsidP="007C750B">
            <w:pPr>
              <w:tabs>
                <w:tab w:val="left" w:pos="1591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Segoe UI" w:hAnsi="Times New Roman" w:cs="Times New Roman"/>
                <w:sz w:val="24"/>
                <w:szCs w:val="24"/>
              </w:rPr>
              <w:t>WBIF</w:t>
            </w:r>
          </w:p>
        </w:tc>
        <w:tc>
          <w:tcPr>
            <w:tcW w:w="7440" w:type="dxa"/>
            <w:vAlign w:val="center"/>
          </w:tcPr>
          <w:p w14:paraId="0C24E6DD" w14:textId="77777777" w:rsidR="007C750B" w:rsidRPr="0064355F" w:rsidRDefault="007C750B" w:rsidP="007C750B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>Investicioni okvir za Zapadni Balkan</w:t>
            </w:r>
          </w:p>
        </w:tc>
      </w:tr>
      <w:tr w:rsidR="007C750B" w:rsidRPr="0064355F" w14:paraId="0C967751" w14:textId="77777777" w:rsidTr="00E07D7A">
        <w:trPr>
          <w:trHeight w:val="20"/>
        </w:trPr>
        <w:tc>
          <w:tcPr>
            <w:tcW w:w="1825" w:type="dxa"/>
          </w:tcPr>
          <w:p w14:paraId="2AA6B5FA" w14:textId="384571FE" w:rsidR="007C750B" w:rsidRPr="0064355F" w:rsidRDefault="007C750B" w:rsidP="007C750B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hAnsi="Times New Roman" w:cs="Times New Roman"/>
                <w:sz w:val="24"/>
                <w:szCs w:val="24"/>
              </w:rPr>
              <w:t>RUE</w:t>
            </w:r>
          </w:p>
        </w:tc>
        <w:tc>
          <w:tcPr>
            <w:tcW w:w="7440" w:type="dxa"/>
            <w:vAlign w:val="center"/>
          </w:tcPr>
          <w:p w14:paraId="589FFC14" w14:textId="165C985C" w:rsidR="007C750B" w:rsidRPr="0064355F" w:rsidRDefault="007C750B" w:rsidP="007C750B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5F">
              <w:rPr>
                <w:rFonts w:ascii="Times New Roman" w:eastAsia="Times New Roman" w:hAnsi="Times New Roman" w:cs="Times New Roman"/>
                <w:sz w:val="24"/>
                <w:szCs w:val="24"/>
              </w:rPr>
              <w:t>Regulatori ured za energiju</w:t>
            </w:r>
          </w:p>
        </w:tc>
      </w:tr>
    </w:tbl>
    <w:p w14:paraId="429B569F" w14:textId="28962BAE" w:rsidR="00C43A7C" w:rsidRPr="0064355F" w:rsidRDefault="00C43A7C" w:rsidP="000618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668D6" w14:textId="24A3E08E" w:rsidR="00C43A7C" w:rsidRPr="0064355F" w:rsidRDefault="00C43A7C">
      <w:pPr>
        <w:rPr>
          <w:rFonts w:ascii="Times New Roman" w:hAnsi="Times New Roman" w:cs="Times New Roman"/>
          <w:sz w:val="24"/>
          <w:szCs w:val="24"/>
        </w:rPr>
      </w:pPr>
    </w:p>
    <w:p w14:paraId="3DEA78E2" w14:textId="77777777" w:rsidR="00C43A7C" w:rsidRPr="0064355F" w:rsidRDefault="00C43A7C">
      <w:pPr>
        <w:rPr>
          <w:rFonts w:ascii="Times New Roman" w:hAnsi="Times New Roman" w:cs="Times New Roman"/>
          <w:sz w:val="24"/>
          <w:szCs w:val="24"/>
        </w:rPr>
      </w:pPr>
    </w:p>
    <w:p w14:paraId="09BF21A0" w14:textId="7861401B" w:rsidR="00F13E8D" w:rsidRPr="0064355F" w:rsidRDefault="00FC417F" w:rsidP="006A75A8">
      <w:pPr>
        <w:pStyle w:val="Naslov1"/>
        <w:numPr>
          <w:ilvl w:val="0"/>
          <w:numId w:val="0"/>
        </w:numPr>
        <w:ind w:left="432"/>
        <w:jc w:val="left"/>
      </w:pPr>
      <w:bookmarkStart w:id="6" w:name="_Toc174005217"/>
      <w:bookmarkStart w:id="7" w:name="_Toc174006573"/>
      <w:r w:rsidRPr="0064355F">
        <w:lastRenderedPageBreak/>
        <w:t xml:space="preserve">2. OPŠTE INFORMACIJE </w:t>
      </w:r>
      <w:bookmarkEnd w:id="6"/>
      <w:bookmarkEnd w:id="7"/>
    </w:p>
    <w:p w14:paraId="6AA597DD" w14:textId="77777777" w:rsidR="00042ABD" w:rsidRPr="0064355F" w:rsidRDefault="00042ABD" w:rsidP="00042ABD">
      <w:pPr>
        <w:rPr>
          <w:lang w:eastAsia="sq-AL"/>
        </w:rPr>
      </w:pPr>
    </w:p>
    <w:p w14:paraId="7846286A" w14:textId="1218595C" w:rsidR="00042ABD" w:rsidRPr="0064355F" w:rsidRDefault="00042ABD" w:rsidP="00042AB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Ministarstvo </w:t>
      </w:r>
      <w:r w:rsidR="002C2455" w:rsidRPr="0064355F">
        <w:rPr>
          <w:rFonts w:ascii="Times New Roman" w:hAnsi="Times New Roman" w:cs="Times New Roman"/>
          <w:sz w:val="24"/>
          <w:szCs w:val="24"/>
        </w:rPr>
        <w:t>ekonomije</w:t>
      </w:r>
      <w:r w:rsidRPr="0064355F">
        <w:rPr>
          <w:rFonts w:ascii="Times New Roman" w:hAnsi="Times New Roman" w:cs="Times New Roman"/>
          <w:sz w:val="24"/>
          <w:szCs w:val="24"/>
        </w:rPr>
        <w:t xml:space="preserve"> (ME) izradilo je Program </w:t>
      </w:r>
      <w:r w:rsidR="002C2455" w:rsidRPr="0064355F">
        <w:rPr>
          <w:rFonts w:ascii="Times New Roman" w:hAnsi="Times New Roman" w:cs="Times New Roman"/>
          <w:sz w:val="24"/>
          <w:szCs w:val="24"/>
        </w:rPr>
        <w:t>sp</w:t>
      </w:r>
      <w:r w:rsidR="0064355F">
        <w:rPr>
          <w:rFonts w:ascii="Times New Roman" w:hAnsi="Times New Roman" w:cs="Times New Roman"/>
          <w:sz w:val="24"/>
          <w:szCs w:val="24"/>
        </w:rPr>
        <w:t>r</w:t>
      </w:r>
      <w:r w:rsidR="002C2455" w:rsidRPr="0064355F">
        <w:rPr>
          <w:rFonts w:ascii="Times New Roman" w:hAnsi="Times New Roman" w:cs="Times New Roman"/>
          <w:sz w:val="24"/>
          <w:szCs w:val="24"/>
        </w:rPr>
        <w:t>ovođenja</w:t>
      </w:r>
      <w:r w:rsidRPr="0064355F">
        <w:rPr>
          <w:rFonts w:ascii="Times New Roman" w:hAnsi="Times New Roman" w:cs="Times New Roman"/>
          <w:sz w:val="24"/>
          <w:szCs w:val="24"/>
        </w:rPr>
        <w:t xml:space="preserve"> </w:t>
      </w:r>
      <w:r w:rsidR="002C2455" w:rsidRPr="0064355F">
        <w:rPr>
          <w:rFonts w:ascii="Times New Roman" w:hAnsi="Times New Roman" w:cs="Times New Roman"/>
          <w:sz w:val="24"/>
          <w:szCs w:val="24"/>
        </w:rPr>
        <w:t>e</w:t>
      </w:r>
      <w:r w:rsidRPr="0064355F">
        <w:rPr>
          <w:rFonts w:ascii="Times New Roman" w:hAnsi="Times New Roman" w:cs="Times New Roman"/>
          <w:sz w:val="24"/>
          <w:szCs w:val="24"/>
        </w:rPr>
        <w:t>nergetske strategije Kosova (</w:t>
      </w:r>
      <w:r w:rsidR="002C2455" w:rsidRPr="0064355F">
        <w:rPr>
          <w:rFonts w:ascii="Times New Roman" w:hAnsi="Times New Roman" w:cs="Times New Roman"/>
          <w:sz w:val="24"/>
          <w:szCs w:val="24"/>
        </w:rPr>
        <w:t>PSESK</w:t>
      </w:r>
      <w:r w:rsidRPr="0064355F">
        <w:rPr>
          <w:rFonts w:ascii="Times New Roman" w:hAnsi="Times New Roman" w:cs="Times New Roman"/>
          <w:sz w:val="24"/>
          <w:szCs w:val="24"/>
        </w:rPr>
        <w:t xml:space="preserve">) za period </w:t>
      </w:r>
      <w:r w:rsidR="007E6C13" w:rsidRPr="0064355F">
        <w:rPr>
          <w:rFonts w:ascii="Times New Roman" w:hAnsi="Times New Roman" w:cs="Times New Roman"/>
          <w:sz w:val="24"/>
          <w:szCs w:val="24"/>
        </w:rPr>
        <w:t>2022.</w:t>
      </w:r>
      <w:r w:rsidRPr="0064355F">
        <w:rPr>
          <w:rFonts w:ascii="Times New Roman" w:hAnsi="Times New Roman" w:cs="Times New Roman"/>
          <w:sz w:val="24"/>
          <w:szCs w:val="24"/>
        </w:rPr>
        <w:t>-</w:t>
      </w:r>
      <w:r w:rsidR="007E6C13" w:rsidRPr="0064355F">
        <w:rPr>
          <w:rFonts w:ascii="Times New Roman" w:hAnsi="Times New Roman" w:cs="Times New Roman"/>
          <w:sz w:val="24"/>
          <w:szCs w:val="24"/>
        </w:rPr>
        <w:t>2025.</w:t>
      </w:r>
      <w:r w:rsidRPr="0064355F">
        <w:rPr>
          <w:rFonts w:ascii="Times New Roman" w:hAnsi="Times New Roman" w:cs="Times New Roman"/>
          <w:sz w:val="24"/>
          <w:szCs w:val="24"/>
        </w:rPr>
        <w:t xml:space="preserve">, koji je 5. septembra </w:t>
      </w:r>
      <w:r w:rsidR="00DD1A39" w:rsidRPr="0064355F">
        <w:rPr>
          <w:rFonts w:ascii="Times New Roman" w:hAnsi="Times New Roman" w:cs="Times New Roman"/>
          <w:sz w:val="24"/>
          <w:szCs w:val="24"/>
        </w:rPr>
        <w:t xml:space="preserve">2023. </w:t>
      </w:r>
      <w:r w:rsidR="0064355F">
        <w:rPr>
          <w:rFonts w:ascii="Times New Roman" w:hAnsi="Times New Roman" w:cs="Times New Roman"/>
          <w:sz w:val="24"/>
          <w:szCs w:val="24"/>
        </w:rPr>
        <w:t>g</w:t>
      </w:r>
      <w:r w:rsidR="00D84D10" w:rsidRPr="0064355F">
        <w:rPr>
          <w:rFonts w:ascii="Times New Roman" w:hAnsi="Times New Roman" w:cs="Times New Roman"/>
          <w:sz w:val="24"/>
          <w:szCs w:val="24"/>
        </w:rPr>
        <w:t>odin</w:t>
      </w:r>
      <w:r w:rsidR="0064355F">
        <w:rPr>
          <w:rFonts w:ascii="Times New Roman" w:hAnsi="Times New Roman" w:cs="Times New Roman"/>
          <w:sz w:val="24"/>
          <w:szCs w:val="24"/>
        </w:rPr>
        <w:t>e</w:t>
      </w:r>
      <w:r w:rsidRPr="0064355F">
        <w:rPr>
          <w:rFonts w:ascii="Times New Roman" w:hAnsi="Times New Roman" w:cs="Times New Roman"/>
          <w:sz w:val="24"/>
          <w:szCs w:val="24"/>
        </w:rPr>
        <w:t xml:space="preserve"> </w:t>
      </w:r>
      <w:r w:rsidR="00047440" w:rsidRPr="0064355F">
        <w:rPr>
          <w:rFonts w:ascii="Times New Roman" w:hAnsi="Times New Roman" w:cs="Times New Roman"/>
          <w:sz w:val="24"/>
          <w:szCs w:val="24"/>
        </w:rPr>
        <w:t>usvojila</w:t>
      </w:r>
      <w:r w:rsidRPr="0064355F">
        <w:rPr>
          <w:rFonts w:ascii="Times New Roman" w:hAnsi="Times New Roman" w:cs="Times New Roman"/>
          <w:sz w:val="24"/>
          <w:szCs w:val="24"/>
        </w:rPr>
        <w:t xml:space="preserve"> Vlada Republike Kosovo (</w:t>
      </w:r>
      <w:r w:rsidR="00047440" w:rsidRPr="0064355F">
        <w:rPr>
          <w:rFonts w:ascii="Times New Roman" w:hAnsi="Times New Roman" w:cs="Times New Roman"/>
          <w:sz w:val="24"/>
          <w:szCs w:val="24"/>
        </w:rPr>
        <w:t>VRK</w:t>
      </w:r>
      <w:r w:rsidRPr="0064355F">
        <w:rPr>
          <w:rFonts w:ascii="Times New Roman" w:hAnsi="Times New Roman" w:cs="Times New Roman"/>
          <w:sz w:val="24"/>
          <w:szCs w:val="24"/>
        </w:rPr>
        <w:t>).</w:t>
      </w:r>
    </w:p>
    <w:p w14:paraId="36897474" w14:textId="3E7F4FA4" w:rsidR="00042ABD" w:rsidRPr="0064355F" w:rsidRDefault="00042ABD" w:rsidP="00042ABD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Na osnovu člana 7</w:t>
      </w:r>
      <w:r w:rsidR="00370002" w:rsidRPr="0064355F">
        <w:rPr>
          <w:rFonts w:ascii="Times New Roman" w:hAnsi="Times New Roman" w:cs="Times New Roman"/>
          <w:sz w:val="24"/>
          <w:szCs w:val="24"/>
        </w:rPr>
        <w:t>.</w:t>
      </w:r>
      <w:r w:rsidRPr="0064355F">
        <w:rPr>
          <w:rFonts w:ascii="Times New Roman" w:hAnsi="Times New Roman" w:cs="Times New Roman"/>
          <w:sz w:val="24"/>
          <w:szCs w:val="24"/>
        </w:rPr>
        <w:t>, tačka 7</w:t>
      </w:r>
      <w:r w:rsidR="00370002" w:rsidRPr="0064355F">
        <w:rPr>
          <w:rFonts w:ascii="Times New Roman" w:hAnsi="Times New Roman" w:cs="Times New Roman"/>
          <w:sz w:val="24"/>
          <w:szCs w:val="24"/>
        </w:rPr>
        <w:t>.</w:t>
      </w:r>
      <w:r w:rsidRPr="0064355F">
        <w:rPr>
          <w:rFonts w:ascii="Times New Roman" w:hAnsi="Times New Roman" w:cs="Times New Roman"/>
          <w:sz w:val="24"/>
          <w:szCs w:val="24"/>
        </w:rPr>
        <w:t xml:space="preserve"> Zakona br. 05/L-081 o energetici, Ministarstvo </w:t>
      </w:r>
      <w:r w:rsidR="00254A04" w:rsidRPr="0064355F">
        <w:rPr>
          <w:rFonts w:ascii="Times New Roman" w:hAnsi="Times New Roman" w:cs="Times New Roman"/>
          <w:sz w:val="24"/>
          <w:szCs w:val="24"/>
        </w:rPr>
        <w:t>ekonomije</w:t>
      </w:r>
      <w:r w:rsidRPr="0064355F">
        <w:rPr>
          <w:rFonts w:ascii="Times New Roman" w:hAnsi="Times New Roman" w:cs="Times New Roman"/>
          <w:sz w:val="24"/>
          <w:szCs w:val="24"/>
        </w:rPr>
        <w:t xml:space="preserve"> (ME) ima zakonsku obavezu da prati sprovođenje Energetske strategije Kosova. Stoga je Ministarstvo izradilo šestomesečni izveštaj za period januar-jun </w:t>
      </w:r>
      <w:r w:rsidR="004A664A" w:rsidRPr="0064355F">
        <w:rPr>
          <w:rFonts w:ascii="Times New Roman" w:hAnsi="Times New Roman" w:cs="Times New Roman"/>
          <w:sz w:val="24"/>
          <w:szCs w:val="24"/>
        </w:rPr>
        <w:t>2025.</w:t>
      </w:r>
      <w:r w:rsidRPr="0064355F">
        <w:rPr>
          <w:rFonts w:ascii="Times New Roman" w:hAnsi="Times New Roman" w:cs="Times New Roman"/>
          <w:sz w:val="24"/>
          <w:szCs w:val="24"/>
        </w:rPr>
        <w:t xml:space="preserve"> </w:t>
      </w:r>
      <w:r w:rsidR="0064355F">
        <w:rPr>
          <w:rFonts w:ascii="Times New Roman" w:hAnsi="Times New Roman" w:cs="Times New Roman"/>
          <w:sz w:val="24"/>
          <w:szCs w:val="24"/>
        </w:rPr>
        <w:t>godine</w:t>
      </w:r>
      <w:r w:rsidRPr="0064355F">
        <w:rPr>
          <w:rFonts w:ascii="Times New Roman" w:hAnsi="Times New Roman" w:cs="Times New Roman"/>
          <w:sz w:val="24"/>
          <w:szCs w:val="24"/>
        </w:rPr>
        <w:t xml:space="preserve">, o napretku u sprovođenju Programa </w:t>
      </w:r>
      <w:r w:rsidR="00254A04" w:rsidRPr="0064355F">
        <w:rPr>
          <w:rFonts w:ascii="Times New Roman" w:hAnsi="Times New Roman" w:cs="Times New Roman"/>
          <w:sz w:val="24"/>
          <w:szCs w:val="24"/>
        </w:rPr>
        <w:t>sprovođenja</w:t>
      </w:r>
      <w:r w:rsidRPr="0064355F">
        <w:rPr>
          <w:rFonts w:ascii="Times New Roman" w:hAnsi="Times New Roman" w:cs="Times New Roman"/>
          <w:sz w:val="24"/>
          <w:szCs w:val="24"/>
        </w:rPr>
        <w:t xml:space="preserve"> </w:t>
      </w:r>
      <w:r w:rsidR="00254A04" w:rsidRPr="0064355F">
        <w:rPr>
          <w:rFonts w:ascii="Times New Roman" w:hAnsi="Times New Roman" w:cs="Times New Roman"/>
          <w:sz w:val="24"/>
          <w:szCs w:val="24"/>
        </w:rPr>
        <w:t>e</w:t>
      </w:r>
      <w:r w:rsidRPr="0064355F">
        <w:rPr>
          <w:rFonts w:ascii="Times New Roman" w:hAnsi="Times New Roman" w:cs="Times New Roman"/>
          <w:sz w:val="24"/>
          <w:szCs w:val="24"/>
        </w:rPr>
        <w:t>nergetske strategije Kosova (</w:t>
      </w:r>
      <w:r w:rsidR="00254A04" w:rsidRPr="0064355F">
        <w:rPr>
          <w:rFonts w:ascii="Times New Roman" w:hAnsi="Times New Roman" w:cs="Times New Roman"/>
          <w:sz w:val="24"/>
          <w:szCs w:val="24"/>
        </w:rPr>
        <w:t>PSESK</w:t>
      </w:r>
      <w:r w:rsidRPr="0064355F">
        <w:rPr>
          <w:rFonts w:ascii="Times New Roman" w:hAnsi="Times New Roman" w:cs="Times New Roman"/>
          <w:sz w:val="24"/>
          <w:szCs w:val="24"/>
        </w:rPr>
        <w:t xml:space="preserve">) za period </w:t>
      </w:r>
      <w:r w:rsidR="007E6C13" w:rsidRPr="0064355F">
        <w:rPr>
          <w:rFonts w:ascii="Times New Roman" w:hAnsi="Times New Roman" w:cs="Times New Roman"/>
          <w:sz w:val="24"/>
          <w:szCs w:val="24"/>
        </w:rPr>
        <w:t>2022.</w:t>
      </w:r>
      <w:r w:rsidRPr="0064355F">
        <w:rPr>
          <w:rFonts w:ascii="Times New Roman" w:hAnsi="Times New Roman" w:cs="Times New Roman"/>
          <w:sz w:val="24"/>
          <w:szCs w:val="24"/>
        </w:rPr>
        <w:t>-</w:t>
      </w:r>
      <w:r w:rsidR="004A664A" w:rsidRPr="0064355F">
        <w:rPr>
          <w:rFonts w:ascii="Times New Roman" w:hAnsi="Times New Roman" w:cs="Times New Roman"/>
          <w:sz w:val="24"/>
          <w:szCs w:val="24"/>
        </w:rPr>
        <w:t>2025.</w:t>
      </w:r>
      <w:r w:rsidRPr="0064355F">
        <w:rPr>
          <w:rFonts w:ascii="Times New Roman" w:hAnsi="Times New Roman" w:cs="Times New Roman"/>
          <w:sz w:val="24"/>
          <w:szCs w:val="24"/>
        </w:rPr>
        <w:t xml:space="preserve"> </w:t>
      </w:r>
      <w:r w:rsidR="0064355F">
        <w:rPr>
          <w:rFonts w:ascii="Times New Roman" w:hAnsi="Times New Roman" w:cs="Times New Roman"/>
          <w:sz w:val="24"/>
          <w:szCs w:val="24"/>
        </w:rPr>
        <w:t>godine</w:t>
      </w:r>
      <w:r w:rsidRPr="0064355F">
        <w:rPr>
          <w:rFonts w:ascii="Times New Roman" w:hAnsi="Times New Roman" w:cs="Times New Roman"/>
          <w:sz w:val="24"/>
          <w:szCs w:val="24"/>
        </w:rPr>
        <w:t xml:space="preserve">, kao i o nivou sprovođenja Energetske strategije Kosova za period </w:t>
      </w:r>
      <w:r w:rsidR="007E6C13" w:rsidRPr="0064355F">
        <w:rPr>
          <w:rFonts w:ascii="Times New Roman" w:hAnsi="Times New Roman" w:cs="Times New Roman"/>
          <w:sz w:val="24"/>
          <w:szCs w:val="24"/>
        </w:rPr>
        <w:t>2022.</w:t>
      </w:r>
      <w:r w:rsidRPr="0064355F">
        <w:rPr>
          <w:rFonts w:ascii="Times New Roman" w:hAnsi="Times New Roman" w:cs="Times New Roman"/>
          <w:sz w:val="24"/>
          <w:szCs w:val="24"/>
        </w:rPr>
        <w:t>-</w:t>
      </w:r>
      <w:r w:rsidR="008345A7" w:rsidRPr="0064355F">
        <w:rPr>
          <w:rFonts w:ascii="Times New Roman" w:hAnsi="Times New Roman" w:cs="Times New Roman"/>
          <w:sz w:val="24"/>
          <w:szCs w:val="24"/>
        </w:rPr>
        <w:t>2031.</w:t>
      </w:r>
      <w:r w:rsidRPr="0064355F">
        <w:rPr>
          <w:rFonts w:ascii="Times New Roman" w:hAnsi="Times New Roman" w:cs="Times New Roman"/>
          <w:sz w:val="24"/>
          <w:szCs w:val="24"/>
        </w:rPr>
        <w:t xml:space="preserve"> </w:t>
      </w:r>
      <w:r w:rsidR="0064355F">
        <w:rPr>
          <w:rFonts w:ascii="Times New Roman" w:hAnsi="Times New Roman" w:cs="Times New Roman"/>
          <w:sz w:val="24"/>
          <w:szCs w:val="24"/>
        </w:rPr>
        <w:t>godine</w:t>
      </w:r>
      <w:r w:rsidRPr="0064355F">
        <w:rPr>
          <w:rFonts w:ascii="Times New Roman" w:hAnsi="Times New Roman" w:cs="Times New Roman"/>
          <w:sz w:val="24"/>
          <w:szCs w:val="24"/>
        </w:rPr>
        <w:t>, u skladu sa Uredbom (</w:t>
      </w:r>
      <w:r w:rsidR="00FB02A0" w:rsidRPr="0064355F">
        <w:rPr>
          <w:rFonts w:ascii="Times New Roman" w:hAnsi="Times New Roman" w:cs="Times New Roman"/>
          <w:sz w:val="24"/>
          <w:szCs w:val="24"/>
        </w:rPr>
        <w:t>VRK</w:t>
      </w:r>
      <w:r w:rsidRPr="0064355F">
        <w:rPr>
          <w:rFonts w:ascii="Times New Roman" w:hAnsi="Times New Roman" w:cs="Times New Roman"/>
          <w:sz w:val="24"/>
          <w:szCs w:val="24"/>
        </w:rPr>
        <w:t>) br. 17/</w:t>
      </w:r>
      <w:r w:rsidR="007E6C13" w:rsidRPr="0064355F">
        <w:rPr>
          <w:rFonts w:ascii="Times New Roman" w:hAnsi="Times New Roman" w:cs="Times New Roman"/>
          <w:sz w:val="24"/>
          <w:szCs w:val="24"/>
        </w:rPr>
        <w:t>2024.</w:t>
      </w:r>
      <w:r w:rsidRPr="0064355F">
        <w:rPr>
          <w:rFonts w:ascii="Times New Roman" w:hAnsi="Times New Roman" w:cs="Times New Roman"/>
          <w:sz w:val="24"/>
          <w:szCs w:val="24"/>
        </w:rPr>
        <w:t xml:space="preserve"> o radu Vlade Republike Kosovo i Priručnikom za planiranje,  izrad</w:t>
      </w:r>
      <w:r w:rsidR="00FB02A0" w:rsidRPr="0064355F">
        <w:rPr>
          <w:rFonts w:ascii="Times New Roman" w:hAnsi="Times New Roman" w:cs="Times New Roman"/>
          <w:sz w:val="24"/>
          <w:szCs w:val="24"/>
        </w:rPr>
        <w:t>u</w:t>
      </w:r>
      <w:r w:rsidRPr="0064355F">
        <w:rPr>
          <w:rFonts w:ascii="Times New Roman" w:hAnsi="Times New Roman" w:cs="Times New Roman"/>
          <w:sz w:val="24"/>
          <w:szCs w:val="24"/>
        </w:rPr>
        <w:t xml:space="preserve"> i praćenje strateških dokumenata i njihovih akcionih planova.</w:t>
      </w:r>
    </w:p>
    <w:p w14:paraId="5245490D" w14:textId="0B0A4C4D" w:rsidR="00042ABD" w:rsidRPr="0064355F" w:rsidRDefault="001C153A" w:rsidP="00042ABD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Izveštaj o napretku u </w:t>
      </w:r>
      <w:r w:rsidR="00FB02A0" w:rsidRPr="0064355F">
        <w:rPr>
          <w:rFonts w:ascii="Times New Roman" w:hAnsi="Times New Roman" w:cs="Times New Roman"/>
          <w:sz w:val="24"/>
          <w:szCs w:val="24"/>
        </w:rPr>
        <w:t>sprovođenju</w:t>
      </w:r>
      <w:r w:rsidRPr="0064355F">
        <w:rPr>
          <w:rFonts w:ascii="Times New Roman" w:hAnsi="Times New Roman" w:cs="Times New Roman"/>
          <w:sz w:val="24"/>
          <w:szCs w:val="24"/>
        </w:rPr>
        <w:t xml:space="preserve"> energetske strategije za period januar-jun </w:t>
      </w:r>
      <w:r w:rsidR="004A664A" w:rsidRPr="0064355F">
        <w:rPr>
          <w:rFonts w:ascii="Times New Roman" w:hAnsi="Times New Roman" w:cs="Times New Roman"/>
          <w:sz w:val="24"/>
          <w:szCs w:val="24"/>
        </w:rPr>
        <w:t>2025.</w:t>
      </w:r>
      <w:r w:rsidRPr="0064355F">
        <w:rPr>
          <w:rFonts w:ascii="Times New Roman" w:hAnsi="Times New Roman" w:cs="Times New Roman"/>
          <w:sz w:val="24"/>
          <w:szCs w:val="24"/>
        </w:rPr>
        <w:t xml:space="preserve"> </w:t>
      </w:r>
      <w:r w:rsidR="0064355F">
        <w:rPr>
          <w:rFonts w:ascii="Times New Roman" w:hAnsi="Times New Roman" w:cs="Times New Roman"/>
          <w:sz w:val="24"/>
          <w:szCs w:val="24"/>
        </w:rPr>
        <w:t>godine</w:t>
      </w:r>
      <w:r w:rsidRPr="0064355F">
        <w:rPr>
          <w:rFonts w:ascii="Times New Roman" w:hAnsi="Times New Roman" w:cs="Times New Roman"/>
          <w:sz w:val="24"/>
          <w:szCs w:val="24"/>
        </w:rPr>
        <w:t xml:space="preserve"> izrađen je na osnovu sprovođenja aktivnosti navedenih u Programu </w:t>
      </w:r>
      <w:r w:rsidR="00FB02A0" w:rsidRPr="0064355F">
        <w:rPr>
          <w:rFonts w:ascii="Times New Roman" w:hAnsi="Times New Roman" w:cs="Times New Roman"/>
          <w:sz w:val="24"/>
          <w:szCs w:val="24"/>
        </w:rPr>
        <w:t>sprovođenja e</w:t>
      </w:r>
      <w:r w:rsidRPr="0064355F">
        <w:rPr>
          <w:rFonts w:ascii="Times New Roman" w:hAnsi="Times New Roman" w:cs="Times New Roman"/>
          <w:sz w:val="24"/>
          <w:szCs w:val="24"/>
        </w:rPr>
        <w:t>nergetske strategije Kosova (</w:t>
      </w:r>
      <w:r w:rsidR="00FB02A0" w:rsidRPr="0064355F">
        <w:rPr>
          <w:rFonts w:ascii="Times New Roman" w:hAnsi="Times New Roman" w:cs="Times New Roman"/>
          <w:sz w:val="24"/>
          <w:szCs w:val="24"/>
        </w:rPr>
        <w:t>PSESK</w:t>
      </w:r>
      <w:r w:rsidRPr="0064355F">
        <w:rPr>
          <w:rFonts w:ascii="Times New Roman" w:hAnsi="Times New Roman" w:cs="Times New Roman"/>
          <w:sz w:val="24"/>
          <w:szCs w:val="24"/>
        </w:rPr>
        <w:t xml:space="preserve">) za period </w:t>
      </w:r>
      <w:r w:rsidR="007E6C13" w:rsidRPr="0064355F">
        <w:rPr>
          <w:rFonts w:ascii="Times New Roman" w:hAnsi="Times New Roman" w:cs="Times New Roman"/>
          <w:sz w:val="24"/>
          <w:szCs w:val="24"/>
        </w:rPr>
        <w:t>2022.</w:t>
      </w:r>
      <w:r w:rsidRPr="0064355F">
        <w:rPr>
          <w:rFonts w:ascii="Times New Roman" w:hAnsi="Times New Roman" w:cs="Times New Roman"/>
          <w:sz w:val="24"/>
          <w:szCs w:val="24"/>
        </w:rPr>
        <w:t>-</w:t>
      </w:r>
      <w:r w:rsidR="004A664A" w:rsidRPr="0064355F">
        <w:rPr>
          <w:rFonts w:ascii="Times New Roman" w:hAnsi="Times New Roman" w:cs="Times New Roman"/>
          <w:sz w:val="24"/>
          <w:szCs w:val="24"/>
        </w:rPr>
        <w:t>2025.</w:t>
      </w:r>
      <w:r w:rsidRPr="0064355F">
        <w:rPr>
          <w:rFonts w:ascii="Times New Roman" w:hAnsi="Times New Roman" w:cs="Times New Roman"/>
          <w:sz w:val="24"/>
          <w:szCs w:val="24"/>
        </w:rPr>
        <w:t xml:space="preserve"> </w:t>
      </w:r>
      <w:r w:rsidR="00DD1A39" w:rsidRPr="0064355F">
        <w:rPr>
          <w:rFonts w:ascii="Times New Roman" w:hAnsi="Times New Roman" w:cs="Times New Roman"/>
          <w:sz w:val="24"/>
          <w:szCs w:val="24"/>
        </w:rPr>
        <w:t>godine</w:t>
      </w:r>
      <w:r w:rsidR="006A5188" w:rsidRPr="0064355F">
        <w:rPr>
          <w:rFonts w:ascii="Times New Roman" w:hAnsi="Times New Roman" w:cs="Times New Roman"/>
          <w:sz w:val="24"/>
          <w:szCs w:val="24"/>
        </w:rPr>
        <w:t>.</w:t>
      </w:r>
      <w:r w:rsidRPr="00643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0596E" w14:textId="1DA50DDF" w:rsidR="00042ABD" w:rsidRPr="0064355F" w:rsidRDefault="00042ABD" w:rsidP="00042ABD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Program </w:t>
      </w:r>
      <w:r w:rsidR="00FB02A0" w:rsidRPr="0064355F">
        <w:rPr>
          <w:rFonts w:ascii="Times New Roman" w:hAnsi="Times New Roman" w:cs="Times New Roman"/>
          <w:sz w:val="24"/>
          <w:szCs w:val="24"/>
        </w:rPr>
        <w:t>sprovođenja e</w:t>
      </w:r>
      <w:r w:rsidRPr="0064355F">
        <w:rPr>
          <w:rFonts w:ascii="Times New Roman" w:hAnsi="Times New Roman" w:cs="Times New Roman"/>
          <w:sz w:val="24"/>
          <w:szCs w:val="24"/>
        </w:rPr>
        <w:t>nergetske strategije Kosova (PS</w:t>
      </w:r>
      <w:r w:rsidR="00FB02A0" w:rsidRPr="0064355F">
        <w:rPr>
          <w:rFonts w:ascii="Times New Roman" w:hAnsi="Times New Roman" w:cs="Times New Roman"/>
          <w:sz w:val="24"/>
          <w:szCs w:val="24"/>
        </w:rPr>
        <w:t>ESK</w:t>
      </w:r>
      <w:r w:rsidRPr="0064355F">
        <w:rPr>
          <w:rFonts w:ascii="Times New Roman" w:hAnsi="Times New Roman" w:cs="Times New Roman"/>
          <w:sz w:val="24"/>
          <w:szCs w:val="24"/>
        </w:rPr>
        <w:t xml:space="preserve">) za period </w:t>
      </w:r>
      <w:r w:rsidR="007E6C13" w:rsidRPr="0064355F">
        <w:rPr>
          <w:rFonts w:ascii="Times New Roman" w:hAnsi="Times New Roman" w:cs="Times New Roman"/>
          <w:sz w:val="24"/>
          <w:szCs w:val="24"/>
        </w:rPr>
        <w:t>2022.</w:t>
      </w:r>
      <w:r w:rsidRPr="0064355F">
        <w:rPr>
          <w:rFonts w:ascii="Times New Roman" w:hAnsi="Times New Roman" w:cs="Times New Roman"/>
          <w:sz w:val="24"/>
          <w:szCs w:val="24"/>
        </w:rPr>
        <w:t>-</w:t>
      </w:r>
      <w:r w:rsidR="004A664A" w:rsidRPr="0064355F">
        <w:rPr>
          <w:rFonts w:ascii="Times New Roman" w:hAnsi="Times New Roman" w:cs="Times New Roman"/>
          <w:sz w:val="24"/>
          <w:szCs w:val="24"/>
        </w:rPr>
        <w:t>2025.</w:t>
      </w:r>
      <w:r w:rsidRPr="0064355F">
        <w:rPr>
          <w:rFonts w:ascii="Times New Roman" w:hAnsi="Times New Roman" w:cs="Times New Roman"/>
          <w:sz w:val="24"/>
          <w:szCs w:val="24"/>
        </w:rPr>
        <w:t xml:space="preserve"> obuhvata listu od pet (5) strateških ciljeva, petnaest (15) specifičnih ciljeva i devedeset (90) aktivnosti koje su predviđene za razvoj energetskog sektora. </w:t>
      </w:r>
    </w:p>
    <w:p w14:paraId="5943A567" w14:textId="2832DAE4" w:rsidR="00042ABD" w:rsidRPr="0064355F" w:rsidRDefault="00042ABD" w:rsidP="00042ABD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Izveštaj o napretku ima za cilj da identifikuje stopu </w:t>
      </w:r>
      <w:r w:rsidR="00FB02A0" w:rsidRPr="0064355F">
        <w:rPr>
          <w:rFonts w:ascii="Times New Roman" w:hAnsi="Times New Roman" w:cs="Times New Roman"/>
          <w:sz w:val="24"/>
          <w:szCs w:val="24"/>
        </w:rPr>
        <w:t>realizacije</w:t>
      </w:r>
      <w:r w:rsidRPr="0064355F">
        <w:rPr>
          <w:rFonts w:ascii="Times New Roman" w:hAnsi="Times New Roman" w:cs="Times New Roman"/>
          <w:sz w:val="24"/>
          <w:szCs w:val="24"/>
        </w:rPr>
        <w:t xml:space="preserve"> projekata/aktivnosti Programa </w:t>
      </w:r>
      <w:r w:rsidR="00FB02A0" w:rsidRPr="0064355F">
        <w:rPr>
          <w:rFonts w:ascii="Times New Roman" w:hAnsi="Times New Roman" w:cs="Times New Roman"/>
          <w:sz w:val="24"/>
          <w:szCs w:val="24"/>
        </w:rPr>
        <w:t>sprovođenja e</w:t>
      </w:r>
      <w:r w:rsidRPr="0064355F">
        <w:rPr>
          <w:rFonts w:ascii="Times New Roman" w:hAnsi="Times New Roman" w:cs="Times New Roman"/>
          <w:sz w:val="24"/>
          <w:szCs w:val="24"/>
        </w:rPr>
        <w:t>nergetske strategije Kosova (</w:t>
      </w:r>
      <w:r w:rsidR="00FB02A0" w:rsidRPr="0064355F">
        <w:rPr>
          <w:rFonts w:ascii="Times New Roman" w:hAnsi="Times New Roman" w:cs="Times New Roman"/>
          <w:sz w:val="24"/>
          <w:szCs w:val="24"/>
        </w:rPr>
        <w:t>PSESK</w:t>
      </w:r>
      <w:r w:rsidRPr="0064355F">
        <w:rPr>
          <w:rFonts w:ascii="Times New Roman" w:hAnsi="Times New Roman" w:cs="Times New Roman"/>
          <w:sz w:val="24"/>
          <w:szCs w:val="24"/>
        </w:rPr>
        <w:t xml:space="preserve">) za period januar-jun </w:t>
      </w:r>
      <w:r w:rsidR="004A664A" w:rsidRPr="0064355F">
        <w:rPr>
          <w:rFonts w:ascii="Times New Roman" w:hAnsi="Times New Roman" w:cs="Times New Roman"/>
          <w:sz w:val="24"/>
          <w:szCs w:val="24"/>
        </w:rPr>
        <w:t>2025.</w:t>
      </w:r>
      <w:r w:rsidR="0064355F">
        <w:rPr>
          <w:rFonts w:ascii="Times New Roman" w:hAnsi="Times New Roman" w:cs="Times New Roman"/>
          <w:sz w:val="24"/>
          <w:szCs w:val="24"/>
        </w:rPr>
        <w:t>g</w:t>
      </w:r>
      <w:r w:rsidR="00D84D10" w:rsidRPr="0064355F">
        <w:rPr>
          <w:rFonts w:ascii="Times New Roman" w:hAnsi="Times New Roman" w:cs="Times New Roman"/>
          <w:sz w:val="24"/>
          <w:szCs w:val="24"/>
        </w:rPr>
        <w:t>odin</w:t>
      </w:r>
      <w:r w:rsidR="0064355F">
        <w:rPr>
          <w:rFonts w:ascii="Times New Roman" w:hAnsi="Times New Roman" w:cs="Times New Roman"/>
          <w:sz w:val="24"/>
          <w:szCs w:val="24"/>
        </w:rPr>
        <w:t>e</w:t>
      </w:r>
      <w:r w:rsidRPr="0064355F">
        <w:rPr>
          <w:rFonts w:ascii="Times New Roman" w:hAnsi="Times New Roman" w:cs="Times New Roman"/>
          <w:sz w:val="24"/>
          <w:szCs w:val="24"/>
        </w:rPr>
        <w:t xml:space="preserve">, kao i da identifikuje izazove i predloži preporuke za donošenje odluka od strane nadležnih </w:t>
      </w:r>
      <w:r w:rsidR="00FB02A0" w:rsidRPr="0064355F">
        <w:rPr>
          <w:rFonts w:ascii="Times New Roman" w:hAnsi="Times New Roman" w:cs="Times New Roman"/>
          <w:sz w:val="24"/>
          <w:szCs w:val="24"/>
        </w:rPr>
        <w:t>autoriteta</w:t>
      </w:r>
      <w:r w:rsidRPr="0064355F">
        <w:rPr>
          <w:rFonts w:ascii="Times New Roman" w:hAnsi="Times New Roman" w:cs="Times New Roman"/>
          <w:sz w:val="24"/>
          <w:szCs w:val="24"/>
        </w:rPr>
        <w:t>.</w:t>
      </w:r>
    </w:p>
    <w:p w14:paraId="4D3438B4" w14:textId="77777777" w:rsidR="00042ABD" w:rsidRPr="0064355F" w:rsidRDefault="00042ABD" w:rsidP="00042A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F">
        <w:rPr>
          <w:rFonts w:ascii="Times New Roman" w:hAnsi="Times New Roman" w:cs="Times New Roman"/>
          <w:b/>
          <w:bCs/>
          <w:sz w:val="24"/>
          <w:szCs w:val="24"/>
        </w:rPr>
        <w:t>Strateški ciljevi su:</w:t>
      </w:r>
    </w:p>
    <w:p w14:paraId="67702B01" w14:textId="77777777" w:rsidR="00042ABD" w:rsidRPr="0064355F" w:rsidRDefault="00042ABD" w:rsidP="0004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Cilj 1: Poboljšati pouzdanost sistema;</w:t>
      </w:r>
    </w:p>
    <w:p w14:paraId="552EA87E" w14:textId="77777777" w:rsidR="00042ABD" w:rsidRPr="0064355F" w:rsidRDefault="00042ABD" w:rsidP="0004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Cilj 2: </w:t>
      </w:r>
      <w:proofErr w:type="spellStart"/>
      <w:r w:rsidRPr="0064355F">
        <w:rPr>
          <w:rFonts w:ascii="Times New Roman" w:hAnsi="Times New Roman" w:cs="Times New Roman"/>
          <w:sz w:val="24"/>
          <w:szCs w:val="24"/>
        </w:rPr>
        <w:t>Dekarbonizacija</w:t>
      </w:r>
      <w:proofErr w:type="spellEnd"/>
      <w:r w:rsidRPr="0064355F">
        <w:rPr>
          <w:rFonts w:ascii="Times New Roman" w:hAnsi="Times New Roman" w:cs="Times New Roman"/>
          <w:sz w:val="24"/>
          <w:szCs w:val="24"/>
        </w:rPr>
        <w:t xml:space="preserve"> i promocija obnovljivih izvora energije;</w:t>
      </w:r>
    </w:p>
    <w:p w14:paraId="7A02CF86" w14:textId="77777777" w:rsidR="00042ABD" w:rsidRPr="0064355F" w:rsidRDefault="00042ABD" w:rsidP="0004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Cilj 3: Povećanje energetske efikasnosti (EE);</w:t>
      </w:r>
    </w:p>
    <w:p w14:paraId="58E03B25" w14:textId="77777777" w:rsidR="00042ABD" w:rsidRPr="0064355F" w:rsidRDefault="00042ABD" w:rsidP="0004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Cilj 4: Jačanje regionalne saradnje i funkcionisanja tržišta;</w:t>
      </w:r>
    </w:p>
    <w:p w14:paraId="2D49D0D6" w14:textId="6280B5BE" w:rsidR="00042ABD" w:rsidRPr="0064355F" w:rsidRDefault="00042ABD" w:rsidP="0004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Cilj 5: Zaštit</w:t>
      </w:r>
      <w:r w:rsidR="00FB02A0" w:rsidRPr="0064355F">
        <w:rPr>
          <w:rFonts w:ascii="Times New Roman" w:hAnsi="Times New Roman" w:cs="Times New Roman"/>
          <w:sz w:val="24"/>
          <w:szCs w:val="24"/>
        </w:rPr>
        <w:t>a</w:t>
      </w:r>
      <w:r w:rsidRPr="0064355F">
        <w:rPr>
          <w:rFonts w:ascii="Times New Roman" w:hAnsi="Times New Roman" w:cs="Times New Roman"/>
          <w:sz w:val="24"/>
          <w:szCs w:val="24"/>
        </w:rPr>
        <w:t xml:space="preserve"> i osnaži</w:t>
      </w:r>
      <w:r w:rsidR="00FB02A0" w:rsidRPr="0064355F">
        <w:rPr>
          <w:rFonts w:ascii="Times New Roman" w:hAnsi="Times New Roman" w:cs="Times New Roman"/>
          <w:sz w:val="24"/>
          <w:szCs w:val="24"/>
        </w:rPr>
        <w:t xml:space="preserve">vanje </w:t>
      </w:r>
      <w:r w:rsidRPr="0064355F">
        <w:rPr>
          <w:rFonts w:ascii="Times New Roman" w:hAnsi="Times New Roman" w:cs="Times New Roman"/>
          <w:sz w:val="24"/>
          <w:szCs w:val="24"/>
        </w:rPr>
        <w:t>potrošač</w:t>
      </w:r>
      <w:r w:rsidR="00FB02A0" w:rsidRPr="0064355F">
        <w:rPr>
          <w:rFonts w:ascii="Times New Roman" w:hAnsi="Times New Roman" w:cs="Times New Roman"/>
          <w:sz w:val="24"/>
          <w:szCs w:val="24"/>
        </w:rPr>
        <w:t>a</w:t>
      </w:r>
      <w:r w:rsidRPr="0064355F">
        <w:rPr>
          <w:rFonts w:ascii="Times New Roman" w:hAnsi="Times New Roman" w:cs="Times New Roman"/>
          <w:sz w:val="24"/>
          <w:szCs w:val="24"/>
        </w:rPr>
        <w:t>.</w:t>
      </w:r>
    </w:p>
    <w:p w14:paraId="6DBFF5D0" w14:textId="77777777" w:rsidR="00042ABD" w:rsidRPr="0064355F" w:rsidRDefault="00042ABD" w:rsidP="00042ABD">
      <w:pPr>
        <w:rPr>
          <w:lang w:eastAsia="sq-AL"/>
        </w:rPr>
      </w:pPr>
    </w:p>
    <w:p w14:paraId="3F7D95B2" w14:textId="77777777" w:rsidR="00042ABD" w:rsidRPr="0064355F" w:rsidRDefault="00042ABD" w:rsidP="00042ABD">
      <w:pPr>
        <w:rPr>
          <w:lang w:eastAsia="sq-AL"/>
        </w:rPr>
      </w:pPr>
    </w:p>
    <w:p w14:paraId="4FE49E5C" w14:textId="77777777" w:rsidR="00042ABD" w:rsidRPr="0064355F" w:rsidRDefault="00042ABD" w:rsidP="00042ABD">
      <w:pPr>
        <w:rPr>
          <w:lang w:eastAsia="sq-AL"/>
        </w:rPr>
      </w:pPr>
    </w:p>
    <w:p w14:paraId="109C2151" w14:textId="77777777" w:rsidR="00042ABD" w:rsidRPr="0064355F" w:rsidRDefault="00042ABD" w:rsidP="00042ABD">
      <w:pPr>
        <w:rPr>
          <w:lang w:eastAsia="sq-AL"/>
        </w:rPr>
      </w:pPr>
    </w:p>
    <w:p w14:paraId="50B6D77F" w14:textId="77777777" w:rsidR="00042ABD" w:rsidRPr="0064355F" w:rsidRDefault="00042ABD" w:rsidP="00042ABD">
      <w:pPr>
        <w:rPr>
          <w:lang w:eastAsia="sq-AL"/>
        </w:rPr>
      </w:pPr>
    </w:p>
    <w:p w14:paraId="11761063" w14:textId="77777777" w:rsidR="00042ABD" w:rsidRPr="0064355F" w:rsidRDefault="00042ABD" w:rsidP="00042ABD">
      <w:pPr>
        <w:rPr>
          <w:lang w:eastAsia="sq-AL"/>
        </w:rPr>
      </w:pPr>
    </w:p>
    <w:p w14:paraId="795F52FE" w14:textId="77777777" w:rsidR="00042ABD" w:rsidRPr="0064355F" w:rsidRDefault="00042ABD" w:rsidP="00042ABD">
      <w:pPr>
        <w:rPr>
          <w:lang w:eastAsia="sq-AL"/>
        </w:rPr>
      </w:pPr>
    </w:p>
    <w:p w14:paraId="6125CD92" w14:textId="22F684C6" w:rsidR="008727EC" w:rsidRPr="0064355F" w:rsidRDefault="00AA27DA" w:rsidP="00A865A4">
      <w:pPr>
        <w:pStyle w:val="Naslov2"/>
        <w:numPr>
          <w:ilvl w:val="0"/>
          <w:numId w:val="0"/>
        </w:numPr>
        <w:ind w:left="360"/>
        <w:rPr>
          <w:sz w:val="28"/>
          <w:szCs w:val="24"/>
        </w:rPr>
      </w:pPr>
      <w:bookmarkStart w:id="8" w:name="_Toc174005218"/>
      <w:bookmarkStart w:id="9" w:name="_Toc174006574"/>
      <w:r w:rsidRPr="0064355F">
        <w:rPr>
          <w:b w:val="0"/>
          <w:szCs w:val="24"/>
        </w:rPr>
        <w:lastRenderedPageBreak/>
        <w:t xml:space="preserve">     </w:t>
      </w:r>
      <w:r w:rsidR="00C43A7C" w:rsidRPr="0064355F">
        <w:rPr>
          <w:szCs w:val="24"/>
        </w:rPr>
        <w:t>2.1</w:t>
      </w:r>
      <w:r w:rsidR="00C43A7C" w:rsidRPr="0064355F">
        <w:rPr>
          <w:sz w:val="28"/>
          <w:szCs w:val="24"/>
        </w:rPr>
        <w:t xml:space="preserve">. </w:t>
      </w:r>
      <w:r w:rsidR="004046CF" w:rsidRPr="0064355F">
        <w:rPr>
          <w:sz w:val="28"/>
          <w:szCs w:val="24"/>
        </w:rPr>
        <w:t>OPŠTI</w:t>
      </w:r>
      <w:r w:rsidR="00C43A7C" w:rsidRPr="0064355F">
        <w:rPr>
          <w:sz w:val="28"/>
          <w:szCs w:val="24"/>
        </w:rPr>
        <w:t xml:space="preserve"> NAPREDAK</w:t>
      </w:r>
      <w:bookmarkEnd w:id="8"/>
      <w:bookmarkEnd w:id="9"/>
    </w:p>
    <w:p w14:paraId="1C314F66" w14:textId="77777777" w:rsidR="00222349" w:rsidRPr="0064355F" w:rsidRDefault="00222349" w:rsidP="00222349">
      <w:pPr>
        <w:rPr>
          <w:lang w:eastAsia="sq-AL"/>
        </w:rPr>
      </w:pPr>
    </w:p>
    <w:p w14:paraId="2E55F424" w14:textId="7975BE9A" w:rsidR="00BD0CEC" w:rsidRPr="0064355F" w:rsidRDefault="00C93E1E" w:rsidP="008B4B61">
      <w:pPr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Program </w:t>
      </w:r>
      <w:r w:rsidR="00F85C31" w:rsidRPr="0064355F">
        <w:rPr>
          <w:rFonts w:ascii="Times New Roman" w:hAnsi="Times New Roman" w:cs="Times New Roman"/>
          <w:sz w:val="24"/>
          <w:szCs w:val="24"/>
          <w:lang w:eastAsia="sq-AL"/>
        </w:rPr>
        <w:t>sprovođenja e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>nergetske strategije Kosova (</w:t>
      </w:r>
      <w:r w:rsidR="00F85C31" w:rsidRPr="0064355F">
        <w:rPr>
          <w:rFonts w:ascii="Times New Roman" w:hAnsi="Times New Roman" w:cs="Times New Roman"/>
          <w:sz w:val="24"/>
          <w:szCs w:val="24"/>
          <w:lang w:eastAsia="sq-AL"/>
        </w:rPr>
        <w:t>PSESK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) za period </w:t>
      </w:r>
      <w:r w:rsidR="007E6C13" w:rsidRPr="0064355F">
        <w:rPr>
          <w:rFonts w:ascii="Times New Roman" w:hAnsi="Times New Roman" w:cs="Times New Roman"/>
          <w:sz w:val="24"/>
          <w:szCs w:val="24"/>
          <w:lang w:eastAsia="sq-AL"/>
        </w:rPr>
        <w:t>2022.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>-</w:t>
      </w:r>
      <w:r w:rsidR="004A664A" w:rsidRPr="0064355F">
        <w:rPr>
          <w:rFonts w:ascii="Times New Roman" w:hAnsi="Times New Roman" w:cs="Times New Roman"/>
          <w:sz w:val="24"/>
          <w:szCs w:val="24"/>
          <w:lang w:eastAsia="sq-AL"/>
        </w:rPr>
        <w:t>2025.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za </w:t>
      </w:r>
      <w:r w:rsidR="004A664A" w:rsidRPr="0064355F">
        <w:rPr>
          <w:rFonts w:ascii="Times New Roman" w:hAnsi="Times New Roman" w:cs="Times New Roman"/>
          <w:sz w:val="24"/>
          <w:szCs w:val="24"/>
          <w:lang w:eastAsia="sq-AL"/>
        </w:rPr>
        <w:t>2025.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godinu predviđen je da završi ukupno </w:t>
      </w:r>
      <w:bookmarkStart w:id="10" w:name="_Hlk174657395"/>
      <w:bookmarkEnd w:id="10"/>
      <w:r w:rsidR="00A242FA" w:rsidRPr="0064355F">
        <w:rPr>
          <w:rFonts w:ascii="Times New Roman" w:eastAsia="Times New Roman" w:hAnsi="Times New Roman" w:cs="Times New Roman"/>
          <w:color w:val="202122"/>
          <w:sz w:val="24"/>
          <w:szCs w:val="24"/>
        </w:rPr>
        <w:t>trideset</w:t>
      </w:r>
      <w:r w:rsidR="009E616C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(30) aktivnosti, ali postoji i </w:t>
      </w:r>
      <w:r w:rsidR="00816953" w:rsidRPr="0064355F">
        <w:rPr>
          <w:rFonts w:ascii="Times New Roman" w:eastAsia="Times New Roman" w:hAnsi="Times New Roman" w:cs="Times New Roman"/>
          <w:color w:val="202122"/>
          <w:sz w:val="24"/>
          <w:szCs w:val="24"/>
        </w:rPr>
        <w:t>dvadeset šest</w:t>
      </w:r>
      <w:r w:rsidR="00184079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(26) drugih aktivnosti koje su prenesene iz </w:t>
      </w:r>
      <w:r w:rsidR="00DD1A39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2023. </w:t>
      </w:r>
      <w:r w:rsidR="00184079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i </w:t>
      </w:r>
      <w:r w:rsidR="00D84D10" w:rsidRPr="0064355F">
        <w:rPr>
          <w:rFonts w:ascii="Times New Roman" w:hAnsi="Times New Roman" w:cs="Times New Roman"/>
          <w:sz w:val="24"/>
          <w:szCs w:val="24"/>
          <w:lang w:eastAsia="sq-AL"/>
        </w:rPr>
        <w:t>2024.</w:t>
      </w:r>
      <w:r w:rsidR="00184079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r w:rsidR="00DD1A39" w:rsidRPr="0064355F">
        <w:rPr>
          <w:rFonts w:ascii="Times New Roman" w:hAnsi="Times New Roman" w:cs="Times New Roman"/>
          <w:sz w:val="24"/>
          <w:szCs w:val="24"/>
          <w:lang w:eastAsia="sq-AL"/>
        </w:rPr>
        <w:t>godine</w:t>
      </w:r>
      <w:r w:rsidR="006A5188" w:rsidRPr="0064355F">
        <w:rPr>
          <w:rFonts w:ascii="Times New Roman" w:hAnsi="Times New Roman" w:cs="Times New Roman"/>
          <w:sz w:val="24"/>
          <w:szCs w:val="24"/>
          <w:lang w:eastAsia="sq-AL"/>
        </w:rPr>
        <w:t>.</w:t>
      </w:r>
      <w:r w:rsidR="00184079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Od </w:t>
      </w:r>
      <w:r w:rsidR="00DD1A39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2023. </w:t>
      </w:r>
      <w:r w:rsidR="00D84D10" w:rsidRPr="0064355F">
        <w:rPr>
          <w:rFonts w:ascii="Times New Roman" w:hAnsi="Times New Roman" w:cs="Times New Roman"/>
          <w:sz w:val="24"/>
          <w:szCs w:val="24"/>
          <w:lang w:eastAsia="sq-AL"/>
        </w:rPr>
        <w:t>Godina</w:t>
      </w:r>
      <w:r w:rsidR="00184079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preneseno je ukupno jedanaest (11) aktivnosti, dok je od </w:t>
      </w:r>
      <w:r w:rsidR="00D84D10" w:rsidRPr="0064355F">
        <w:rPr>
          <w:rFonts w:ascii="Times New Roman" w:hAnsi="Times New Roman" w:cs="Times New Roman"/>
          <w:sz w:val="24"/>
          <w:szCs w:val="24"/>
          <w:lang w:eastAsia="sq-AL"/>
        </w:rPr>
        <w:t>2024.</w:t>
      </w:r>
      <w:r w:rsidR="00184079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r w:rsidR="00D84D10" w:rsidRPr="0064355F">
        <w:rPr>
          <w:rFonts w:ascii="Times New Roman" w:hAnsi="Times New Roman" w:cs="Times New Roman"/>
          <w:sz w:val="24"/>
          <w:szCs w:val="24"/>
          <w:lang w:eastAsia="sq-AL"/>
        </w:rPr>
        <w:t>Godina</w:t>
      </w:r>
      <w:r w:rsidR="00184079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preneseno petnaest (15) aktivnosti.  Od ukupno </w:t>
      </w:r>
      <w:r w:rsidR="00A242FA" w:rsidRPr="0064355F">
        <w:rPr>
          <w:rFonts w:ascii="Times New Roman" w:eastAsia="Times New Roman" w:hAnsi="Times New Roman" w:cs="Times New Roman"/>
          <w:color w:val="202122"/>
          <w:sz w:val="24"/>
          <w:szCs w:val="24"/>
        </w:rPr>
        <w:t>pedeset šest</w:t>
      </w:r>
      <w:r w:rsidR="000C199E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(56) aktivnosti u prvih šest (6) meseci </w:t>
      </w:r>
      <w:r w:rsidR="0064355F">
        <w:rPr>
          <w:rFonts w:ascii="Times New Roman" w:hAnsi="Times New Roman" w:cs="Times New Roman"/>
          <w:sz w:val="24"/>
          <w:szCs w:val="24"/>
          <w:lang w:eastAsia="sq-AL"/>
        </w:rPr>
        <w:t>2025. godine</w:t>
      </w:r>
      <w:r w:rsidR="000C199E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, samo </w:t>
      </w:r>
      <w:r w:rsidR="00BC3B19" w:rsidRPr="0064355F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četrdeset (40) </w:t>
      </w:r>
      <w:r w:rsidR="000071F2" w:rsidRPr="0064355F">
        <w:rPr>
          <w:rFonts w:ascii="Times New Roman" w:hAnsi="Times New Roman" w:cs="Times New Roman"/>
          <w:sz w:val="24"/>
          <w:szCs w:val="24"/>
          <w:lang w:eastAsia="sq-AL"/>
        </w:rPr>
        <w:t>od njih je napredovalo, dok šesnaest (16) aktivnosti nije napredovalo.</w:t>
      </w:r>
    </w:p>
    <w:p w14:paraId="2029FBC3" w14:textId="0857C724" w:rsidR="001D0266" w:rsidRPr="0064355F" w:rsidRDefault="008B4B61" w:rsidP="008B4B61">
      <w:pPr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Cilj jedan (1) </w:t>
      </w:r>
      <w:r w:rsidR="00F85C31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PSESK-a 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je </w:t>
      </w:r>
      <w:r w:rsidR="00F85C31" w:rsidRPr="0064355F">
        <w:rPr>
          <w:rFonts w:ascii="Times New Roman" w:hAnsi="Times New Roman" w:cs="Times New Roman"/>
          <w:sz w:val="24"/>
          <w:szCs w:val="24"/>
          <w:lang w:eastAsia="sq-AL"/>
        </w:rPr>
        <w:t>realizovan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r w:rsidR="00041597" w:rsidRPr="0064355F">
        <w:rPr>
          <w:rFonts w:ascii="Times New Roman" w:eastAsia="Times New Roman" w:hAnsi="Times New Roman" w:cs="Times New Roman"/>
          <w:sz w:val="24"/>
          <w:szCs w:val="24"/>
        </w:rPr>
        <w:t>trideset devet</w:t>
      </w:r>
      <w:r w:rsidR="00076573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odsto (39%) u periodu januar-jun </w:t>
      </w:r>
      <w:r w:rsidR="004A664A" w:rsidRPr="0064355F">
        <w:rPr>
          <w:rFonts w:ascii="Times New Roman" w:hAnsi="Times New Roman" w:cs="Times New Roman"/>
          <w:sz w:val="24"/>
          <w:szCs w:val="24"/>
          <w:lang w:eastAsia="sq-AL"/>
        </w:rPr>
        <w:t>2025.</w:t>
      </w:r>
      <w:r w:rsidR="00076573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, cilj dva (2) </w:t>
      </w:r>
      <w:r w:rsidR="00076573" w:rsidRPr="0064355F">
        <w:rPr>
          <w:rFonts w:ascii="Times New Roman" w:eastAsia="Times New Roman" w:hAnsi="Times New Roman" w:cs="Times New Roman"/>
          <w:sz w:val="24"/>
          <w:szCs w:val="24"/>
        </w:rPr>
        <w:t xml:space="preserve">trideset osam </w:t>
      </w:r>
      <w:r w:rsidR="00041597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odsto (38%), cilj tri (3) </w:t>
      </w:r>
      <w:r w:rsidR="00485C90" w:rsidRPr="0064355F">
        <w:rPr>
          <w:rFonts w:ascii="Times New Roman" w:eastAsia="Times New Roman" w:hAnsi="Times New Roman" w:cs="Times New Roman"/>
          <w:sz w:val="24"/>
          <w:szCs w:val="24"/>
        </w:rPr>
        <w:t>četrdeset devet</w:t>
      </w:r>
      <w:r w:rsidR="00076573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odsto (49%), cilj četiri (4) </w:t>
      </w:r>
      <w:r w:rsidR="00076573" w:rsidRPr="0064355F">
        <w:rPr>
          <w:rFonts w:ascii="Times New Roman" w:eastAsia="Times New Roman" w:hAnsi="Times New Roman" w:cs="Times New Roman"/>
          <w:sz w:val="24"/>
          <w:szCs w:val="24"/>
        </w:rPr>
        <w:t>dvadeset jedan</w:t>
      </w:r>
      <w:r w:rsidR="00076573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r w:rsidR="00F85C31" w:rsidRPr="0064355F">
        <w:rPr>
          <w:rFonts w:ascii="Times New Roman" w:hAnsi="Times New Roman" w:cs="Times New Roman"/>
          <w:sz w:val="24"/>
          <w:szCs w:val="24"/>
          <w:lang w:eastAsia="sq-AL"/>
        </w:rPr>
        <w:t>odsto</w:t>
      </w:r>
      <w:r w:rsidR="00076573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 (21%) i cilj pet (5) je postignut </w:t>
      </w:r>
      <w:r w:rsidR="00076573" w:rsidRPr="0064355F">
        <w:rPr>
          <w:rFonts w:ascii="Times New Roman" w:eastAsia="Times New Roman" w:hAnsi="Times New Roman" w:cs="Times New Roman"/>
          <w:sz w:val="24"/>
          <w:szCs w:val="24"/>
        </w:rPr>
        <w:t>osamdeset</w:t>
      </w:r>
      <w:r w:rsidR="00076573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odsto (80%).</w:t>
      </w:r>
    </w:p>
    <w:p w14:paraId="78D852E4" w14:textId="2D7CDD6D" w:rsidR="008B4B61" w:rsidRPr="0064355F" w:rsidRDefault="00FD0FFC" w:rsidP="008B4B61">
      <w:pPr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Dostignuća u </w:t>
      </w:r>
      <w:r w:rsidR="00F85C31" w:rsidRPr="0064355F">
        <w:rPr>
          <w:rFonts w:ascii="Times New Roman" w:hAnsi="Times New Roman" w:cs="Times New Roman"/>
          <w:sz w:val="24"/>
          <w:szCs w:val="24"/>
          <w:lang w:eastAsia="sq-AL"/>
        </w:rPr>
        <w:t>realizovanju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ciljeva u tabelarnoj i grafičkoj formi prikazana su u nastavku:</w:t>
      </w:r>
    </w:p>
    <w:p w14:paraId="33F061AB" w14:textId="75124522" w:rsidR="003104D8" w:rsidRPr="0064355F" w:rsidRDefault="00FD0FFC" w:rsidP="003104D8">
      <w:pPr>
        <w:jc w:val="center"/>
        <w:rPr>
          <w:rFonts w:ascii="Times New Roman" w:hAnsi="Times New Roman" w:cs="Times New Roman"/>
          <w:sz w:val="24"/>
          <w:szCs w:val="24"/>
          <w:lang w:eastAsia="sq-AL"/>
        </w:rPr>
      </w:pPr>
      <w:r w:rsidRPr="0064355F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 xml:space="preserve">Tabela 1. 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Procenat </w:t>
      </w:r>
      <w:r w:rsidR="00F85C31" w:rsidRPr="0064355F">
        <w:rPr>
          <w:rFonts w:ascii="Times New Roman" w:hAnsi="Times New Roman" w:cs="Times New Roman"/>
          <w:sz w:val="24"/>
          <w:szCs w:val="24"/>
          <w:lang w:eastAsia="sq-AL"/>
        </w:rPr>
        <w:t>realizovanja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ciljeva januar - jun </w:t>
      </w:r>
      <w:r w:rsidR="004A664A" w:rsidRPr="0064355F">
        <w:rPr>
          <w:rFonts w:ascii="Times New Roman" w:hAnsi="Times New Roman" w:cs="Times New Roman"/>
          <w:sz w:val="24"/>
          <w:szCs w:val="24"/>
          <w:lang w:eastAsia="sq-AL"/>
        </w:rPr>
        <w:t>2025.</w:t>
      </w:r>
    </w:p>
    <w:tbl>
      <w:tblPr>
        <w:tblW w:w="5590" w:type="dxa"/>
        <w:jc w:val="center"/>
        <w:tblLook w:val="04A0" w:firstRow="1" w:lastRow="0" w:firstColumn="1" w:lastColumn="0" w:noHBand="0" w:noVBand="1"/>
      </w:tblPr>
      <w:tblGrid>
        <w:gridCol w:w="3300"/>
        <w:gridCol w:w="2290"/>
      </w:tblGrid>
      <w:tr w:rsidR="00D2025C" w:rsidRPr="0064355F" w14:paraId="72FFAEE4" w14:textId="77777777" w:rsidTr="00A865A4">
        <w:trPr>
          <w:trHeight w:val="439"/>
          <w:jc w:val="center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8501D" w14:textId="77777777" w:rsidR="00D2025C" w:rsidRPr="0064355F" w:rsidRDefault="00D2025C" w:rsidP="00D20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355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AEA921" w14:textId="6E774D1D" w:rsidR="00F85C31" w:rsidRPr="0064355F" w:rsidRDefault="00F85C31" w:rsidP="00D2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j</w:t>
            </w:r>
            <w:r w:rsidR="00E66A19"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anuar 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–</w:t>
            </w:r>
            <w:r w:rsidR="00E66A19"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jun</w:t>
            </w:r>
          </w:p>
          <w:p w14:paraId="4DF60A8D" w14:textId="021E0EE4" w:rsidR="00D2025C" w:rsidRPr="0064355F" w:rsidRDefault="00E66A19" w:rsidP="00D2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4A664A"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2025.</w:t>
            </w:r>
          </w:p>
        </w:tc>
      </w:tr>
      <w:tr w:rsidR="00D2025C" w:rsidRPr="0064355F" w14:paraId="0D025D2D" w14:textId="77777777" w:rsidTr="00A865A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561B4" w14:textId="77777777" w:rsidR="00D2025C" w:rsidRPr="0064355F" w:rsidRDefault="00D2025C" w:rsidP="00D2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24"/>
              </w:rPr>
              <w:t>Cilj 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E2206A" w14:textId="2FA2976F" w:rsidR="00D2025C" w:rsidRPr="0064355F" w:rsidRDefault="00041597" w:rsidP="00D2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24"/>
              </w:rPr>
              <w:t>39%</w:t>
            </w:r>
          </w:p>
        </w:tc>
      </w:tr>
      <w:tr w:rsidR="00D2025C" w:rsidRPr="0064355F" w14:paraId="5D010391" w14:textId="77777777" w:rsidTr="00A865A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D3295" w14:textId="77777777" w:rsidR="00D2025C" w:rsidRPr="0064355F" w:rsidRDefault="00D2025C" w:rsidP="00D2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24"/>
              </w:rPr>
              <w:t>Cilj 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4A508D" w14:textId="066FC2AB" w:rsidR="00D2025C" w:rsidRPr="0064355F" w:rsidRDefault="00D2025C" w:rsidP="00D2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24"/>
              </w:rPr>
              <w:t>38%</w:t>
            </w:r>
          </w:p>
        </w:tc>
      </w:tr>
      <w:tr w:rsidR="00D2025C" w:rsidRPr="0064355F" w14:paraId="0C379EA4" w14:textId="77777777" w:rsidTr="00A865A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2C36C" w14:textId="77777777" w:rsidR="00D2025C" w:rsidRPr="0064355F" w:rsidRDefault="00D2025C" w:rsidP="00D2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24"/>
              </w:rPr>
              <w:t>Cilj 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3FAF5F" w14:textId="2F977C71" w:rsidR="00D2025C" w:rsidRPr="0064355F" w:rsidRDefault="00041597" w:rsidP="00D2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24"/>
              </w:rPr>
              <w:t>49%</w:t>
            </w:r>
          </w:p>
        </w:tc>
      </w:tr>
      <w:tr w:rsidR="00D2025C" w:rsidRPr="0064355F" w14:paraId="051F0D5E" w14:textId="77777777" w:rsidTr="00A865A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DA5DC" w14:textId="77777777" w:rsidR="00D2025C" w:rsidRPr="0064355F" w:rsidRDefault="00D2025C" w:rsidP="00D2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24"/>
              </w:rPr>
              <w:t>Cilj 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60D02D" w14:textId="1EB133C7" w:rsidR="00D2025C" w:rsidRPr="0064355F" w:rsidRDefault="00D2025C" w:rsidP="00D2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24"/>
              </w:rPr>
              <w:t>21%</w:t>
            </w:r>
          </w:p>
        </w:tc>
      </w:tr>
      <w:tr w:rsidR="00D2025C" w:rsidRPr="0064355F" w14:paraId="0A065BF3" w14:textId="77777777" w:rsidTr="00A865A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07969" w14:textId="77777777" w:rsidR="00D2025C" w:rsidRPr="0064355F" w:rsidRDefault="00D2025C" w:rsidP="00D2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24"/>
              </w:rPr>
              <w:t>Cilj 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4E75B5" w14:textId="22DBDF7D" w:rsidR="00D2025C" w:rsidRPr="0064355F" w:rsidRDefault="00041597" w:rsidP="00D2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24"/>
              </w:rPr>
              <w:t>80%</w:t>
            </w:r>
          </w:p>
        </w:tc>
      </w:tr>
      <w:tr w:rsidR="00D2025C" w:rsidRPr="0064355F" w14:paraId="7E703DA2" w14:textId="77777777" w:rsidTr="00A865A4">
        <w:trPr>
          <w:trHeight w:val="404"/>
          <w:jc w:val="center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1023FC9" w14:textId="786DF43C" w:rsidR="00D2025C" w:rsidRPr="0064355F" w:rsidRDefault="00065C70" w:rsidP="00D2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Ukupn</w:t>
            </w:r>
            <w:r w:rsidR="00F85C31"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o sprovođenje c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iljeva 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55D8F0" w14:textId="0372E7F2" w:rsidR="00D2025C" w:rsidRPr="0064355F" w:rsidRDefault="00041597" w:rsidP="00D2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45%</w:t>
            </w:r>
          </w:p>
        </w:tc>
      </w:tr>
    </w:tbl>
    <w:p w14:paraId="4ED8DD3D" w14:textId="77777777" w:rsidR="00222349" w:rsidRPr="0064355F" w:rsidRDefault="00222349" w:rsidP="00F13E8D">
      <w:pPr>
        <w:rPr>
          <w:rFonts w:ascii="Times New Roman" w:hAnsi="Times New Roman" w:cs="Times New Roman"/>
          <w:sz w:val="24"/>
          <w:szCs w:val="24"/>
          <w:lang w:eastAsia="sq-AL"/>
        </w:rPr>
      </w:pPr>
    </w:p>
    <w:p w14:paraId="49E7A064" w14:textId="3B8C4B50" w:rsidR="00225C96" w:rsidRPr="0064355F" w:rsidRDefault="00AA27DA" w:rsidP="00041597">
      <w:pPr>
        <w:rPr>
          <w:rFonts w:ascii="Times New Roman" w:hAnsi="Times New Roman" w:cs="Times New Roman"/>
          <w:sz w:val="24"/>
          <w:lang w:eastAsia="sq-AL"/>
        </w:rPr>
      </w:pPr>
      <w:r w:rsidRPr="0064355F">
        <w:rPr>
          <w:rFonts w:ascii="Times New Roman" w:hAnsi="Times New Roman" w:cs="Times New Roman"/>
          <w:b/>
          <w:bCs/>
          <w:sz w:val="24"/>
          <w:lang w:eastAsia="sq-AL"/>
        </w:rPr>
        <w:t xml:space="preserve"> Slika 1.</w:t>
      </w:r>
      <w:r w:rsidR="00922CA9" w:rsidRPr="0064355F">
        <w:rPr>
          <w:rFonts w:ascii="Times New Roman" w:hAnsi="Times New Roman" w:cs="Times New Roman"/>
          <w:sz w:val="24"/>
          <w:lang w:eastAsia="sq-AL"/>
        </w:rPr>
        <w:t xml:space="preserve"> Procenat </w:t>
      </w:r>
      <w:r w:rsidR="006716FE" w:rsidRPr="0064355F">
        <w:rPr>
          <w:rFonts w:ascii="Times New Roman" w:hAnsi="Times New Roman" w:cs="Times New Roman"/>
          <w:sz w:val="24"/>
          <w:lang w:eastAsia="sq-AL"/>
        </w:rPr>
        <w:t>realizovanja</w:t>
      </w:r>
      <w:r w:rsidR="00922CA9" w:rsidRPr="0064355F">
        <w:rPr>
          <w:rFonts w:ascii="Times New Roman" w:hAnsi="Times New Roman" w:cs="Times New Roman"/>
          <w:sz w:val="24"/>
          <w:lang w:eastAsia="sq-AL"/>
        </w:rPr>
        <w:t xml:space="preserve"> ciljeva januar - jun </w:t>
      </w:r>
      <w:r w:rsidR="004A664A" w:rsidRPr="0064355F">
        <w:rPr>
          <w:rFonts w:ascii="Times New Roman" w:hAnsi="Times New Roman" w:cs="Times New Roman"/>
          <w:sz w:val="24"/>
          <w:lang w:eastAsia="sq-AL"/>
        </w:rPr>
        <w:t>2025.</w:t>
      </w:r>
    </w:p>
    <w:p w14:paraId="7BB1BB28" w14:textId="00A1BAC5" w:rsidR="00225C96" w:rsidRPr="0064355F" w:rsidRDefault="00622D66" w:rsidP="001B192A">
      <w:pPr>
        <w:jc w:val="center"/>
        <w:rPr>
          <w:rFonts w:ascii="Times New Roman" w:hAnsi="Times New Roman" w:cs="Times New Roman"/>
          <w:sz w:val="24"/>
          <w:szCs w:val="24"/>
          <w:lang w:eastAsia="sq-AL"/>
        </w:rPr>
      </w:pPr>
      <w:r w:rsidRPr="0064355F">
        <w:drawing>
          <wp:inline distT="0" distB="0" distL="0" distR="0" wp14:anchorId="5786DB27" wp14:editId="7EDCB9D1">
            <wp:extent cx="4479290" cy="2383604"/>
            <wp:effectExtent l="0" t="0" r="16510" b="1714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061D64C" w14:textId="5B3853DA" w:rsidR="00BA5E89" w:rsidRPr="0064355F" w:rsidRDefault="003104D8" w:rsidP="00BA5E89">
      <w:pPr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Ukupno </w:t>
      </w:r>
      <w:r w:rsidR="00CE2B42" w:rsidRPr="0064355F">
        <w:rPr>
          <w:rFonts w:ascii="Times New Roman" w:hAnsi="Times New Roman" w:cs="Times New Roman"/>
          <w:sz w:val="24"/>
          <w:szCs w:val="24"/>
          <w:lang w:eastAsia="sq-AL"/>
        </w:rPr>
        <w:t>realizovanje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ciljeva za period januar-jun </w:t>
      </w:r>
      <w:r w:rsidR="004A664A" w:rsidRPr="0064355F">
        <w:rPr>
          <w:rFonts w:ascii="Times New Roman" w:hAnsi="Times New Roman" w:cs="Times New Roman"/>
          <w:sz w:val="24"/>
          <w:szCs w:val="24"/>
          <w:lang w:eastAsia="sq-AL"/>
        </w:rPr>
        <w:t>2025.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r w:rsidR="0064355F">
        <w:rPr>
          <w:rFonts w:ascii="Times New Roman" w:hAnsi="Times New Roman" w:cs="Times New Roman"/>
          <w:sz w:val="24"/>
          <w:szCs w:val="24"/>
          <w:lang w:eastAsia="sq-AL"/>
        </w:rPr>
        <w:t>g</w:t>
      </w:r>
      <w:r w:rsidR="00D84D10" w:rsidRPr="0064355F">
        <w:rPr>
          <w:rFonts w:ascii="Times New Roman" w:hAnsi="Times New Roman" w:cs="Times New Roman"/>
          <w:sz w:val="24"/>
          <w:szCs w:val="24"/>
          <w:lang w:eastAsia="sq-AL"/>
        </w:rPr>
        <w:t>odin</w:t>
      </w:r>
      <w:r w:rsidR="0064355F">
        <w:rPr>
          <w:rFonts w:ascii="Times New Roman" w:hAnsi="Times New Roman" w:cs="Times New Roman"/>
          <w:sz w:val="24"/>
          <w:szCs w:val="24"/>
          <w:lang w:eastAsia="sq-AL"/>
        </w:rPr>
        <w:t>e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iznosi </w:t>
      </w:r>
      <w:r w:rsidR="0018099A" w:rsidRPr="0064355F">
        <w:rPr>
          <w:rFonts w:ascii="Times New Roman" w:eastAsia="Times New Roman" w:hAnsi="Times New Roman" w:cs="Times New Roman"/>
          <w:sz w:val="24"/>
          <w:szCs w:val="24"/>
        </w:rPr>
        <w:t xml:space="preserve">četrdeset pet odsto </w:t>
      </w:r>
      <w:r w:rsidR="00BA5E89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(45%).</w:t>
      </w:r>
    </w:p>
    <w:p w14:paraId="2FED37EF" w14:textId="5B689D62" w:rsidR="001D0266" w:rsidRPr="0064355F" w:rsidRDefault="00BA5E89" w:rsidP="003104D8">
      <w:pPr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64355F">
        <w:rPr>
          <w:rFonts w:ascii="Times New Roman" w:hAnsi="Times New Roman" w:cs="Times New Roman"/>
          <w:sz w:val="24"/>
          <w:szCs w:val="24"/>
          <w:lang w:eastAsia="sq-AL"/>
        </w:rPr>
        <w:lastRenderedPageBreak/>
        <w:t xml:space="preserve">Za period januar - jun </w:t>
      </w:r>
      <w:r w:rsidR="0064355F">
        <w:rPr>
          <w:rFonts w:ascii="Times New Roman" w:hAnsi="Times New Roman" w:cs="Times New Roman"/>
          <w:sz w:val="24"/>
          <w:szCs w:val="24"/>
          <w:lang w:eastAsia="sq-AL"/>
        </w:rPr>
        <w:t>2025. godine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u potpunosti su realizovane samo tri (3) aktivnosti ili pet </w:t>
      </w:r>
      <w:r w:rsidR="00CE2B42" w:rsidRPr="0064355F">
        <w:rPr>
          <w:rFonts w:ascii="Times New Roman" w:hAnsi="Times New Roman" w:cs="Times New Roman"/>
          <w:sz w:val="24"/>
          <w:szCs w:val="24"/>
          <w:lang w:eastAsia="sq-AL"/>
        </w:rPr>
        <w:t>zapeta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trideset šest odsto (5,36%), delimično je realizovano </w:t>
      </w:r>
      <w:r w:rsidRPr="0064355F">
        <w:rPr>
          <w:rFonts w:ascii="Times New Roman" w:eastAsia="Times New Roman" w:hAnsi="Times New Roman" w:cs="Times New Roman"/>
          <w:sz w:val="24"/>
          <w:szCs w:val="24"/>
        </w:rPr>
        <w:t>ukupno trideset sedam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(37) aktivnosti ili </w:t>
      </w:r>
      <w:r w:rsidR="00A865A4" w:rsidRPr="0064355F">
        <w:rPr>
          <w:rFonts w:ascii="Times New Roman" w:eastAsia="Times New Roman" w:hAnsi="Times New Roman" w:cs="Times New Roman"/>
          <w:sz w:val="24"/>
          <w:szCs w:val="24"/>
        </w:rPr>
        <w:t xml:space="preserve">šezdeset šest </w:t>
      </w:r>
      <w:r w:rsidR="00CE2B42" w:rsidRPr="0064355F">
        <w:rPr>
          <w:rFonts w:ascii="Times New Roman" w:eastAsia="Times New Roman" w:hAnsi="Times New Roman" w:cs="Times New Roman"/>
          <w:sz w:val="24"/>
          <w:szCs w:val="24"/>
        </w:rPr>
        <w:t>zapeta</w:t>
      </w:r>
      <w:r w:rsidR="00A865A4" w:rsidRPr="0064355F">
        <w:rPr>
          <w:rFonts w:ascii="Times New Roman" w:eastAsia="Times New Roman" w:hAnsi="Times New Roman" w:cs="Times New Roman"/>
          <w:sz w:val="24"/>
          <w:szCs w:val="24"/>
        </w:rPr>
        <w:t xml:space="preserve"> nula sedam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odsto (66,07%), dok su aktivnosti koje nisu realizovane </w:t>
      </w:r>
      <w:r w:rsidR="00A865A4" w:rsidRPr="0064355F">
        <w:rPr>
          <w:rFonts w:ascii="Times New Roman" w:eastAsia="Times New Roman" w:hAnsi="Times New Roman" w:cs="Times New Roman"/>
          <w:sz w:val="24"/>
          <w:szCs w:val="24"/>
        </w:rPr>
        <w:t>šesnaest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(16) ili dvadeset osam </w:t>
      </w:r>
      <w:r w:rsidR="00CE2B42" w:rsidRPr="0064355F">
        <w:rPr>
          <w:rFonts w:ascii="Times New Roman" w:hAnsi="Times New Roman" w:cs="Times New Roman"/>
          <w:sz w:val="24"/>
          <w:szCs w:val="24"/>
          <w:lang w:eastAsia="sq-AL"/>
        </w:rPr>
        <w:t>zapeta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pedeset sedam </w:t>
      </w:r>
      <w:r w:rsidRPr="0064355F">
        <w:rPr>
          <w:rFonts w:ascii="Times New Roman" w:eastAsia="Times New Roman" w:hAnsi="Times New Roman" w:cs="Times New Roman"/>
          <w:sz w:val="24"/>
          <w:szCs w:val="24"/>
        </w:rPr>
        <w:t>odsto (</w:t>
      </w:r>
      <w:r w:rsidR="00A865A4" w:rsidRPr="0064355F">
        <w:rPr>
          <w:rFonts w:ascii="Times New Roman" w:hAnsi="Times New Roman" w:cs="Times New Roman"/>
          <w:sz w:val="24"/>
          <w:szCs w:val="24"/>
          <w:lang w:eastAsia="sq-AL"/>
        </w:rPr>
        <w:t>28,57%) delimično realizovano.</w:t>
      </w:r>
    </w:p>
    <w:p w14:paraId="00B3D8CB" w14:textId="51DC4CF2" w:rsidR="00C96F6A" w:rsidRPr="0064355F" w:rsidRDefault="00C96F6A" w:rsidP="00F13E8D">
      <w:pPr>
        <w:rPr>
          <w:rFonts w:ascii="Times New Roman" w:hAnsi="Times New Roman" w:cs="Times New Roman"/>
          <w:sz w:val="24"/>
          <w:szCs w:val="24"/>
          <w:lang w:eastAsia="sq-AL"/>
        </w:rPr>
      </w:pPr>
      <w:r w:rsidRPr="0064355F">
        <w:rPr>
          <w:rFonts w:ascii="Times New Roman" w:hAnsi="Times New Roman" w:cs="Times New Roman"/>
          <w:sz w:val="24"/>
          <w:szCs w:val="24"/>
          <w:lang w:eastAsia="sq-AL"/>
        </w:rPr>
        <w:t>U nastavku, gore navedeni podaci su takođe prikazani u grafičkom obliku:</w:t>
      </w:r>
    </w:p>
    <w:p w14:paraId="35021431" w14:textId="7A7F3E1F" w:rsidR="00C96F6A" w:rsidRPr="0064355F" w:rsidRDefault="00063FCB" w:rsidP="00590AD4">
      <w:pPr>
        <w:jc w:val="center"/>
        <w:rPr>
          <w:rFonts w:ascii="Times New Roman" w:hAnsi="Times New Roman" w:cs="Times New Roman"/>
          <w:sz w:val="24"/>
          <w:szCs w:val="24"/>
          <w:lang w:eastAsia="sq-AL"/>
        </w:rPr>
      </w:pPr>
      <w:r w:rsidRPr="0064355F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>Slika 2.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 Procenat </w:t>
      </w:r>
      <w:r w:rsidR="00CE2B42"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realizovanja </w:t>
      </w:r>
      <w:r w:rsidRPr="0064355F">
        <w:rPr>
          <w:rFonts w:ascii="Times New Roman" w:hAnsi="Times New Roman" w:cs="Times New Roman"/>
          <w:sz w:val="24"/>
          <w:szCs w:val="24"/>
          <w:lang w:eastAsia="sq-AL"/>
        </w:rPr>
        <w:t xml:space="preserve">aktivnosti za period januar - jun </w:t>
      </w:r>
      <w:r w:rsidR="004A664A" w:rsidRPr="0064355F">
        <w:rPr>
          <w:rFonts w:ascii="Times New Roman" w:hAnsi="Times New Roman" w:cs="Times New Roman"/>
          <w:sz w:val="24"/>
          <w:szCs w:val="24"/>
          <w:lang w:eastAsia="sq-AL"/>
        </w:rPr>
        <w:t>2025.</w:t>
      </w:r>
    </w:p>
    <w:p w14:paraId="41105784" w14:textId="08DB290C" w:rsidR="00A865A4" w:rsidRPr="0064355F" w:rsidRDefault="00622D66" w:rsidP="00590AD4">
      <w:pPr>
        <w:jc w:val="center"/>
        <w:rPr>
          <w:rFonts w:ascii="Times New Roman" w:hAnsi="Times New Roman" w:cs="Times New Roman"/>
          <w:lang w:eastAsia="sq-AL"/>
        </w:rPr>
      </w:pPr>
      <w:r w:rsidRPr="0064355F">
        <w:drawing>
          <wp:inline distT="0" distB="0" distL="0" distR="0" wp14:anchorId="5AC26D27" wp14:editId="1326D82B">
            <wp:extent cx="4448710" cy="2465798"/>
            <wp:effectExtent l="0" t="0" r="9525" b="107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D24F70" w14:textId="77777777" w:rsidR="00B47B47" w:rsidRPr="0064355F" w:rsidRDefault="00B47B47" w:rsidP="00E81C1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6257DD" w14:textId="2FF959C8" w:rsidR="00173E64" w:rsidRPr="0064355F" w:rsidRDefault="00173E64" w:rsidP="00E81C1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Cilj sa najboljom </w:t>
      </w:r>
      <w:r w:rsidR="00CC29F4" w:rsidRPr="0064355F">
        <w:rPr>
          <w:rFonts w:ascii="Times New Roman" w:hAnsi="Times New Roman" w:cs="Times New Roman"/>
          <w:sz w:val="24"/>
          <w:szCs w:val="24"/>
        </w:rPr>
        <w:t>realizovanju</w:t>
      </w:r>
      <w:r w:rsidRPr="0064355F">
        <w:rPr>
          <w:rFonts w:ascii="Times New Roman" w:hAnsi="Times New Roman" w:cs="Times New Roman"/>
          <w:sz w:val="24"/>
          <w:szCs w:val="24"/>
        </w:rPr>
        <w:t xml:space="preserve"> za period januar-jun </w:t>
      </w:r>
      <w:r w:rsidR="0064355F">
        <w:rPr>
          <w:rFonts w:ascii="Times New Roman" w:hAnsi="Times New Roman" w:cs="Times New Roman"/>
          <w:sz w:val="24"/>
          <w:szCs w:val="24"/>
        </w:rPr>
        <w:t>2025. godine</w:t>
      </w:r>
      <w:r w:rsidRPr="0064355F">
        <w:rPr>
          <w:rFonts w:ascii="Times New Roman" w:hAnsi="Times New Roman" w:cs="Times New Roman"/>
          <w:sz w:val="24"/>
          <w:szCs w:val="24"/>
        </w:rPr>
        <w:t xml:space="preserve"> je peti cilj (5), odnosno zaštita i osnaživanje potrošača, dok je cilj koji je imao najmanju izvodljivost za ovaj period četvrti cilj (4), odnosno jačanje regionalne saradnje i funkcionisanja tržišta. </w:t>
      </w:r>
    </w:p>
    <w:p w14:paraId="1A335083" w14:textId="77777777" w:rsidR="001B192A" w:rsidRPr="0064355F" w:rsidRDefault="001B192A" w:rsidP="00E81C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3177C" w14:textId="7C0272C2" w:rsidR="00F13E8D" w:rsidRPr="0064355F" w:rsidRDefault="00C43A7C" w:rsidP="001B19AE">
      <w:pPr>
        <w:pStyle w:val="Naslov2"/>
        <w:numPr>
          <w:ilvl w:val="0"/>
          <w:numId w:val="0"/>
        </w:numPr>
        <w:ind w:left="576"/>
        <w:rPr>
          <w:sz w:val="28"/>
        </w:rPr>
      </w:pPr>
      <w:bookmarkStart w:id="11" w:name="_Toc174006575"/>
      <w:r w:rsidRPr="0064355F">
        <w:t>2.2</w:t>
      </w:r>
      <w:r w:rsidRPr="0064355F">
        <w:rPr>
          <w:sz w:val="28"/>
        </w:rPr>
        <w:t>. PROBLEMI I RIZICI</w:t>
      </w:r>
      <w:bookmarkEnd w:id="11"/>
    </w:p>
    <w:p w14:paraId="04F97C15" w14:textId="77777777" w:rsidR="00486DC1" w:rsidRPr="0064355F" w:rsidRDefault="00486DC1" w:rsidP="00486DC1">
      <w:pPr>
        <w:rPr>
          <w:lang w:eastAsia="sq-AL"/>
        </w:rPr>
      </w:pPr>
    </w:p>
    <w:p w14:paraId="464F431D" w14:textId="2979AEA9" w:rsidR="00586724" w:rsidRPr="0064355F" w:rsidRDefault="00586724" w:rsidP="00586724">
      <w:pPr>
        <w:jc w:val="both"/>
        <w:rPr>
          <w:rFonts w:ascii="Times New Roman" w:hAnsi="Times New Roman" w:cs="Times New Roman"/>
          <w:sz w:val="24"/>
          <w:lang w:eastAsia="sq-AL"/>
        </w:rPr>
      </w:pPr>
      <w:r w:rsidRPr="0064355F">
        <w:rPr>
          <w:rFonts w:ascii="Times New Roman" w:hAnsi="Times New Roman" w:cs="Times New Roman"/>
          <w:sz w:val="24"/>
          <w:lang w:eastAsia="sq-AL"/>
        </w:rPr>
        <w:t>Ov</w:t>
      </w:r>
      <w:r w:rsidR="00F14118" w:rsidRPr="0064355F">
        <w:rPr>
          <w:rFonts w:ascii="Times New Roman" w:hAnsi="Times New Roman" w:cs="Times New Roman"/>
          <w:sz w:val="24"/>
          <w:lang w:eastAsia="sq-AL"/>
        </w:rPr>
        <w:t xml:space="preserve">o praćenje </w:t>
      </w:r>
      <w:r w:rsidRPr="0064355F">
        <w:rPr>
          <w:rFonts w:ascii="Times New Roman" w:hAnsi="Times New Roman" w:cs="Times New Roman"/>
          <w:sz w:val="24"/>
          <w:lang w:eastAsia="sq-AL"/>
        </w:rPr>
        <w:t>je obavljen u saradnji sa nadležnim institucijama u kojima su identifikovani rizici koji će se u narednim godinama rešavati konkretnim merama. Ministarstvo ekonomije (ME) će nastaviti da sarađuje i koordinira sa relevantnim institucijama i ključnim preduzećima energetskog sektora u rešavanju svih rizika sa kojima se i dalje suočavaju.</w:t>
      </w:r>
    </w:p>
    <w:p w14:paraId="6E6B2848" w14:textId="7CDA6A5E" w:rsidR="004A7C51" w:rsidRPr="0064355F" w:rsidRDefault="004A7C51" w:rsidP="00586724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Tokom praćenja sprovođenja </w:t>
      </w:r>
      <w:r w:rsidR="00853E11" w:rsidRPr="0064355F">
        <w:rPr>
          <w:rFonts w:ascii="Times New Roman" w:hAnsi="Times New Roman" w:cs="Times New Roman"/>
          <w:sz w:val="24"/>
          <w:szCs w:val="24"/>
        </w:rPr>
        <w:t xml:space="preserve">Programa sprovođenja energetske strategije Kosova (PSESK) </w:t>
      </w:r>
      <w:r w:rsidRPr="0064355F">
        <w:rPr>
          <w:rFonts w:ascii="Times New Roman" w:hAnsi="Times New Roman" w:cs="Times New Roman"/>
          <w:sz w:val="24"/>
          <w:szCs w:val="24"/>
        </w:rPr>
        <w:t xml:space="preserve">za period januar-jun </w:t>
      </w:r>
      <w:r w:rsidR="0064355F">
        <w:rPr>
          <w:rFonts w:ascii="Times New Roman" w:hAnsi="Times New Roman" w:cs="Times New Roman"/>
          <w:sz w:val="24"/>
          <w:szCs w:val="24"/>
        </w:rPr>
        <w:t>2025. godine</w:t>
      </w:r>
      <w:r w:rsidRPr="0064355F">
        <w:rPr>
          <w:rFonts w:ascii="Times New Roman" w:hAnsi="Times New Roman" w:cs="Times New Roman"/>
          <w:sz w:val="24"/>
          <w:szCs w:val="24"/>
        </w:rPr>
        <w:t>, naišlo se na više rizika vezanih za institucionalne kapacitete, finansijske kapacitete, regulatorno okruženje, partnerstvo i angažovanje drugih institucija, kao i druge spoljne faktore koji su se pojavili tokom sprovođenja aktivnosti, a koji utiču na sprovođenje strateškog dokumenta.</w:t>
      </w:r>
    </w:p>
    <w:p w14:paraId="2145C685" w14:textId="5AC22BB2" w:rsidR="004A7C51" w:rsidRPr="0064355F" w:rsidRDefault="004A7C51" w:rsidP="00586724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Utvrđivanje kašnjenja u realizaciji nekih </w:t>
      </w:r>
      <w:proofErr w:type="spellStart"/>
      <w:r w:rsidRPr="0064355F">
        <w:rPr>
          <w:rFonts w:ascii="Times New Roman" w:hAnsi="Times New Roman" w:cs="Times New Roman"/>
          <w:sz w:val="24"/>
          <w:szCs w:val="24"/>
        </w:rPr>
        <w:t>predviđenih</w:t>
      </w:r>
      <w:proofErr w:type="spellEnd"/>
      <w:r w:rsidRPr="0064355F">
        <w:rPr>
          <w:rFonts w:ascii="Times New Roman" w:hAnsi="Times New Roman" w:cs="Times New Roman"/>
          <w:sz w:val="24"/>
          <w:szCs w:val="24"/>
        </w:rPr>
        <w:t xml:space="preserve"> projekata navodi nas da preduzmemo neophodne i konkretne korake u otklanjanju barijera koje ometaju razvoj energetskog sektora. </w:t>
      </w:r>
      <w:r w:rsidRPr="0064355F">
        <w:rPr>
          <w:rFonts w:ascii="Times New Roman" w:hAnsi="Times New Roman" w:cs="Times New Roman"/>
          <w:sz w:val="24"/>
          <w:szCs w:val="24"/>
        </w:rPr>
        <w:lastRenderedPageBreak/>
        <w:t>Planiranje projekata i aktivnosti od strane institucija nadležnih za električnu energiju je veoma važno za uspeh i razvoj energetskog sektora. Važnu ulogu igra i olakšavanje brojnih procedura kako se ne bi odgađali i odugovlačili projekti.</w:t>
      </w:r>
    </w:p>
    <w:p w14:paraId="3C564EC0" w14:textId="77777777" w:rsidR="004A7C51" w:rsidRPr="0064355F" w:rsidRDefault="004A7C51" w:rsidP="004A7C5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5617E434" w14:textId="7219F1FD" w:rsidR="004A7C51" w:rsidRPr="0064355F" w:rsidRDefault="00AA27DA" w:rsidP="001B19AE">
      <w:pPr>
        <w:pStyle w:val="Naslov2"/>
        <w:numPr>
          <w:ilvl w:val="0"/>
          <w:numId w:val="0"/>
        </w:numPr>
        <w:ind w:left="576" w:hanging="576"/>
        <w:rPr>
          <w:sz w:val="28"/>
        </w:rPr>
      </w:pPr>
      <w:bookmarkStart w:id="12" w:name="_Toc174006576"/>
      <w:r w:rsidRPr="0064355F">
        <w:rPr>
          <w:sz w:val="28"/>
        </w:rPr>
        <w:t xml:space="preserve">          2.3. IZAZOVI I NEDOSTACI </w:t>
      </w:r>
      <w:bookmarkEnd w:id="12"/>
    </w:p>
    <w:p w14:paraId="6865783C" w14:textId="77777777" w:rsidR="00486DC1" w:rsidRPr="0064355F" w:rsidRDefault="00486DC1" w:rsidP="00486DC1">
      <w:pPr>
        <w:rPr>
          <w:lang w:eastAsia="sq-AL"/>
        </w:rPr>
      </w:pPr>
    </w:p>
    <w:p w14:paraId="6D9A9187" w14:textId="16039AFC" w:rsidR="004A7C51" w:rsidRPr="0064355F" w:rsidRDefault="004A7C51" w:rsidP="004A7C51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Izazovi, nedostaci i prepreke na koje nailaze tokom praćenja ovog dokumenta isti su kao i oni koji su predstavljeni u monitoringu implementacije za </w:t>
      </w:r>
      <w:r w:rsidR="007E6C13" w:rsidRPr="0064355F">
        <w:rPr>
          <w:rFonts w:ascii="Times New Roman" w:hAnsi="Times New Roman" w:cs="Times New Roman"/>
          <w:sz w:val="24"/>
          <w:szCs w:val="24"/>
        </w:rPr>
        <w:t>2023.</w:t>
      </w:r>
      <w:r w:rsidRPr="0064355F">
        <w:rPr>
          <w:rFonts w:ascii="Times New Roman" w:hAnsi="Times New Roman" w:cs="Times New Roman"/>
          <w:sz w:val="24"/>
          <w:szCs w:val="24"/>
        </w:rPr>
        <w:t>-</w:t>
      </w:r>
      <w:r w:rsidR="00D84D10" w:rsidRPr="0064355F">
        <w:rPr>
          <w:rFonts w:ascii="Times New Roman" w:hAnsi="Times New Roman" w:cs="Times New Roman"/>
          <w:sz w:val="24"/>
          <w:szCs w:val="24"/>
        </w:rPr>
        <w:t>2024.</w:t>
      </w:r>
      <w:r w:rsidRPr="0064355F">
        <w:rPr>
          <w:rFonts w:ascii="Times New Roman" w:hAnsi="Times New Roman" w:cs="Times New Roman"/>
          <w:sz w:val="24"/>
          <w:szCs w:val="24"/>
        </w:rPr>
        <w:t xml:space="preserve"> godinu. </w:t>
      </w:r>
    </w:p>
    <w:p w14:paraId="15C6A539" w14:textId="5D1DA8C6" w:rsidR="00AD7779" w:rsidRPr="0064355F" w:rsidRDefault="004A7C51" w:rsidP="00AD7779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</w:rPr>
        <w:t xml:space="preserve">Prilikom realizacije </w:t>
      </w:r>
      <w:proofErr w:type="spellStart"/>
      <w:r w:rsidRPr="0064355F">
        <w:rPr>
          <w:rFonts w:ascii="Times New Roman" w:hAnsi="Times New Roman" w:cs="Times New Roman"/>
          <w:sz w:val="24"/>
        </w:rPr>
        <w:t>predviđenih</w:t>
      </w:r>
      <w:proofErr w:type="spellEnd"/>
      <w:r w:rsidRPr="0064355F">
        <w:rPr>
          <w:rFonts w:ascii="Times New Roman" w:hAnsi="Times New Roman" w:cs="Times New Roman"/>
          <w:sz w:val="24"/>
        </w:rPr>
        <w:t xml:space="preserve"> projekata i aktivnosti, nadležne institucije nailaze na izazove, nedostatke i prepreke u zavisnosti od prirode projekata. </w:t>
      </w:r>
      <w:r w:rsidRPr="0064355F">
        <w:rPr>
          <w:rFonts w:ascii="Times New Roman" w:hAnsi="Times New Roman" w:cs="Times New Roman"/>
          <w:sz w:val="24"/>
          <w:szCs w:val="24"/>
        </w:rPr>
        <w:t>Postavljeni izazovi su: kašnjenje u dobijanju dozvola od nadležnih građevinskih institucija, kašnjenja u postupcima nabavki, realizacija projekata u blizini projektnih lokacija koji su predviđeni za razvoj, ne</w:t>
      </w:r>
      <w:r w:rsidR="0064355F">
        <w:rPr>
          <w:rFonts w:ascii="Times New Roman" w:hAnsi="Times New Roman" w:cs="Times New Roman"/>
          <w:sz w:val="24"/>
          <w:szCs w:val="24"/>
        </w:rPr>
        <w:t xml:space="preserve"> </w:t>
      </w:r>
      <w:r w:rsidRPr="0064355F">
        <w:rPr>
          <w:rFonts w:ascii="Times New Roman" w:hAnsi="Times New Roman" w:cs="Times New Roman"/>
          <w:sz w:val="24"/>
          <w:szCs w:val="24"/>
        </w:rPr>
        <w:t xml:space="preserve">korišćenje pametnih uređaja opremljenih </w:t>
      </w:r>
      <w:r w:rsidR="001960D4" w:rsidRPr="0064355F">
        <w:rPr>
          <w:rFonts w:ascii="Times New Roman" w:hAnsi="Times New Roman" w:cs="Times New Roman"/>
          <w:sz w:val="24"/>
          <w:szCs w:val="24"/>
        </w:rPr>
        <w:t>kibernetičkom</w:t>
      </w:r>
      <w:r w:rsidRPr="0064355F">
        <w:rPr>
          <w:rFonts w:ascii="Times New Roman" w:hAnsi="Times New Roman" w:cs="Times New Roman"/>
          <w:sz w:val="24"/>
          <w:szCs w:val="24"/>
        </w:rPr>
        <w:t xml:space="preserve"> zaštitom u okviru postojeće infrastrukture distributivne mreže, pristup potrošačkim domovima, nedostatak stručnjaka,  kao i drugi procesi lokalnog i međunarodnog karaktera, koji su potencijalno uticali na kašnjenja u sprovođenju aktivnosti.</w:t>
      </w:r>
    </w:p>
    <w:p w14:paraId="5DCDE4CC" w14:textId="2F8FD9E6" w:rsidR="004A7C51" w:rsidRPr="0064355F" w:rsidRDefault="004A7C51" w:rsidP="004A7C5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ECF5095" w14:textId="09FF3E7F" w:rsidR="004A7C51" w:rsidRPr="0064355F" w:rsidRDefault="001B19AE" w:rsidP="001960D4">
      <w:pPr>
        <w:pStyle w:val="Naslov2"/>
        <w:numPr>
          <w:ilvl w:val="1"/>
          <w:numId w:val="15"/>
        </w:numPr>
        <w:rPr>
          <w:sz w:val="28"/>
        </w:rPr>
      </w:pPr>
      <w:bookmarkStart w:id="13" w:name="_Toc174006577"/>
      <w:r w:rsidRPr="0064355F">
        <w:rPr>
          <w:sz w:val="28"/>
        </w:rPr>
        <w:t xml:space="preserve">ZAKLJUČCI I PREPORUKE ZA </w:t>
      </w:r>
      <w:r w:rsidR="001960D4" w:rsidRPr="0064355F">
        <w:rPr>
          <w:sz w:val="28"/>
        </w:rPr>
        <w:t xml:space="preserve">SLEDEĆE </w:t>
      </w:r>
      <w:r w:rsidRPr="0064355F">
        <w:rPr>
          <w:sz w:val="28"/>
        </w:rPr>
        <w:t xml:space="preserve">KORAKE </w:t>
      </w:r>
      <w:bookmarkEnd w:id="13"/>
    </w:p>
    <w:p w14:paraId="1C386FBF" w14:textId="77777777" w:rsidR="00486DC1" w:rsidRPr="0064355F" w:rsidRDefault="00486DC1" w:rsidP="00486DC1">
      <w:pPr>
        <w:rPr>
          <w:lang w:eastAsia="sq-AL"/>
        </w:rPr>
      </w:pPr>
    </w:p>
    <w:p w14:paraId="454E288E" w14:textId="54B2C083" w:rsidR="00815D19" w:rsidRPr="0064355F" w:rsidRDefault="00815D19" w:rsidP="00815D19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Tokom praćenja Izveštaja o napretku za period januar-jun </w:t>
      </w:r>
      <w:r w:rsidR="0064355F">
        <w:rPr>
          <w:rFonts w:ascii="Times New Roman" w:hAnsi="Times New Roman" w:cs="Times New Roman"/>
          <w:sz w:val="24"/>
          <w:szCs w:val="24"/>
        </w:rPr>
        <w:t>2025. godine</w:t>
      </w:r>
      <w:r w:rsidRPr="0064355F">
        <w:rPr>
          <w:rFonts w:ascii="Times New Roman" w:hAnsi="Times New Roman" w:cs="Times New Roman"/>
          <w:sz w:val="24"/>
          <w:szCs w:val="24"/>
        </w:rPr>
        <w:t>, utvrđeno je da je sprovođenje aktivnosti dostiglo četrdeset pet odsto (45%).</w:t>
      </w:r>
    </w:p>
    <w:p w14:paraId="62769890" w14:textId="79B88B33" w:rsidR="00815D19" w:rsidRPr="0064355F" w:rsidRDefault="00815D19" w:rsidP="00815D19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Neki od faktora koji su uticali na usporavanje </w:t>
      </w:r>
      <w:r w:rsidR="001960D4" w:rsidRPr="0064355F">
        <w:rPr>
          <w:rFonts w:ascii="Times New Roman" w:hAnsi="Times New Roman" w:cs="Times New Roman"/>
          <w:sz w:val="24"/>
          <w:szCs w:val="24"/>
        </w:rPr>
        <w:t>sprovođenja</w:t>
      </w:r>
      <w:r w:rsidRPr="0064355F">
        <w:rPr>
          <w:rFonts w:ascii="Times New Roman" w:hAnsi="Times New Roman" w:cs="Times New Roman"/>
          <w:sz w:val="24"/>
          <w:szCs w:val="24"/>
        </w:rPr>
        <w:t xml:space="preserve"> </w:t>
      </w:r>
      <w:r w:rsidR="001960D4" w:rsidRPr="0064355F">
        <w:rPr>
          <w:rFonts w:ascii="Times New Roman" w:hAnsi="Times New Roman" w:cs="Times New Roman"/>
          <w:sz w:val="24"/>
          <w:szCs w:val="24"/>
        </w:rPr>
        <w:t>uključuju</w:t>
      </w:r>
      <w:r w:rsidRPr="006435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355F">
        <w:rPr>
          <w:rFonts w:ascii="Times New Roman" w:hAnsi="Times New Roman" w:cs="Times New Roman"/>
          <w:sz w:val="24"/>
          <w:szCs w:val="24"/>
        </w:rPr>
        <w:t>neratifikacija</w:t>
      </w:r>
      <w:proofErr w:type="spellEnd"/>
      <w:r w:rsidRPr="0064355F">
        <w:rPr>
          <w:rFonts w:ascii="Times New Roman" w:hAnsi="Times New Roman" w:cs="Times New Roman"/>
          <w:sz w:val="24"/>
          <w:szCs w:val="24"/>
        </w:rPr>
        <w:t xml:space="preserve"> finansijskih sporazuma u Parlamentu Republike Kosovo (PRK), neadekvatno planiranje </w:t>
      </w:r>
      <w:r w:rsidR="00391394" w:rsidRPr="0064355F">
        <w:rPr>
          <w:rFonts w:ascii="Times New Roman" w:hAnsi="Times New Roman" w:cs="Times New Roman"/>
          <w:sz w:val="24"/>
          <w:szCs w:val="24"/>
        </w:rPr>
        <w:t>Krajnji rok</w:t>
      </w:r>
      <w:r w:rsidRPr="0064355F">
        <w:rPr>
          <w:rFonts w:ascii="Times New Roman" w:hAnsi="Times New Roman" w:cs="Times New Roman"/>
          <w:sz w:val="24"/>
          <w:szCs w:val="24"/>
        </w:rPr>
        <w:t xml:space="preserve">ova za realizaciju aktivnosti, kao i zavisnost nekih od njih od strateških dokumenata i programa koji su trebali biti unapred </w:t>
      </w:r>
      <w:r w:rsidR="0064355F" w:rsidRPr="0064355F">
        <w:rPr>
          <w:rFonts w:ascii="Times New Roman" w:hAnsi="Times New Roman" w:cs="Times New Roman"/>
          <w:sz w:val="24"/>
          <w:szCs w:val="24"/>
        </w:rPr>
        <w:t>odobreni</w:t>
      </w:r>
      <w:r w:rsidRPr="0064355F">
        <w:rPr>
          <w:rFonts w:ascii="Times New Roman" w:hAnsi="Times New Roman" w:cs="Times New Roman"/>
          <w:sz w:val="24"/>
          <w:szCs w:val="24"/>
        </w:rPr>
        <w:t xml:space="preserve"> i stupiti na snagu.</w:t>
      </w:r>
    </w:p>
    <w:p w14:paraId="4753B64C" w14:textId="57BEEE16" w:rsidR="008D0C63" w:rsidRPr="0064355F" w:rsidRDefault="00815D19" w:rsidP="00815D19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Pored ovih, brojne procedure za dobijanje različitih dozvola i procesa nabavke su identifikovani kao faktori prepreka. Takođe, primećen je nedostatak kvalifikovane radne snage, što je uticalo na dinamiku </w:t>
      </w:r>
      <w:r w:rsidR="001960D4" w:rsidRPr="0064355F">
        <w:rPr>
          <w:rFonts w:ascii="Times New Roman" w:hAnsi="Times New Roman" w:cs="Times New Roman"/>
          <w:sz w:val="24"/>
          <w:szCs w:val="24"/>
        </w:rPr>
        <w:t>sprovođen</w:t>
      </w:r>
      <w:r w:rsidR="0064355F">
        <w:rPr>
          <w:rFonts w:ascii="Times New Roman" w:hAnsi="Times New Roman" w:cs="Times New Roman"/>
          <w:sz w:val="24"/>
          <w:szCs w:val="24"/>
        </w:rPr>
        <w:t>ja</w:t>
      </w:r>
      <w:r w:rsidR="007E6C13" w:rsidRPr="0064355F">
        <w:rPr>
          <w:rFonts w:ascii="Times New Roman" w:hAnsi="Times New Roman" w:cs="Times New Roman"/>
          <w:sz w:val="24"/>
          <w:szCs w:val="24"/>
        </w:rPr>
        <w:t>.</w:t>
      </w:r>
    </w:p>
    <w:p w14:paraId="5CD80CF7" w14:textId="77777777" w:rsidR="00815D19" w:rsidRPr="0064355F" w:rsidRDefault="00815D19" w:rsidP="00815D19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26A86552" w14:textId="6A31B321" w:rsidR="003D1813" w:rsidRPr="0064355F" w:rsidRDefault="003C224F" w:rsidP="00682BBE">
      <w:pPr>
        <w:pStyle w:val="Naslov2"/>
        <w:numPr>
          <w:ilvl w:val="1"/>
          <w:numId w:val="15"/>
        </w:numPr>
        <w:rPr>
          <w:sz w:val="28"/>
        </w:rPr>
      </w:pPr>
      <w:bookmarkStart w:id="14" w:name="_Toc174006578"/>
      <w:r w:rsidRPr="0064355F">
        <w:rPr>
          <w:sz w:val="28"/>
        </w:rPr>
        <w:t>SLEDEĆI KORACI</w:t>
      </w:r>
      <w:bookmarkEnd w:id="14"/>
    </w:p>
    <w:p w14:paraId="2AEE4884" w14:textId="77777777" w:rsidR="00682BBE" w:rsidRPr="0064355F" w:rsidRDefault="00682BBE" w:rsidP="004831FE">
      <w:pPr>
        <w:ind w:left="576"/>
        <w:jc w:val="both"/>
        <w:rPr>
          <w:lang w:eastAsia="sq-AL"/>
        </w:rPr>
      </w:pPr>
    </w:p>
    <w:p w14:paraId="1B85252A" w14:textId="3A1D328D" w:rsidR="00815D19" w:rsidRPr="0064355F" w:rsidRDefault="00815D19" w:rsidP="004831FE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Sledeći koraci, na osnovu zaključaka i nalaza izveštavanja institucija o sprovođenju aktivnosti i mera u okviru strateških ciljeva, uključuju:</w:t>
      </w:r>
    </w:p>
    <w:p w14:paraId="5DEF7760" w14:textId="77777777" w:rsidR="00815D19" w:rsidRPr="0064355F" w:rsidRDefault="00815D19" w:rsidP="004831FE">
      <w:pPr>
        <w:pStyle w:val="Paragrafspiska"/>
        <w:jc w:val="both"/>
        <w:rPr>
          <w:rFonts w:ascii="Times New Roman" w:hAnsi="Times New Roman" w:cs="Times New Roman"/>
          <w:sz w:val="24"/>
          <w:szCs w:val="24"/>
        </w:rPr>
      </w:pPr>
    </w:p>
    <w:p w14:paraId="55A34454" w14:textId="52C0AC8A" w:rsidR="00815D19" w:rsidRPr="0064355F" w:rsidRDefault="00815D19" w:rsidP="004831FE">
      <w:pPr>
        <w:pStyle w:val="Paragrafspisk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lastRenderedPageBreak/>
        <w:t xml:space="preserve">Unapređenje planiranja </w:t>
      </w:r>
      <w:r w:rsidR="00391394" w:rsidRPr="0064355F">
        <w:rPr>
          <w:rFonts w:ascii="Times New Roman" w:hAnsi="Times New Roman" w:cs="Times New Roman"/>
          <w:sz w:val="24"/>
          <w:szCs w:val="24"/>
        </w:rPr>
        <w:t>Krajnji rok</w:t>
      </w:r>
      <w:r w:rsidRPr="0064355F">
        <w:rPr>
          <w:rFonts w:ascii="Times New Roman" w:hAnsi="Times New Roman" w:cs="Times New Roman"/>
          <w:sz w:val="24"/>
          <w:szCs w:val="24"/>
        </w:rPr>
        <w:t xml:space="preserve">ova za usvajanje </w:t>
      </w:r>
      <w:r w:rsidR="001960D4" w:rsidRPr="0064355F">
        <w:rPr>
          <w:rFonts w:ascii="Times New Roman" w:hAnsi="Times New Roman" w:cs="Times New Roman"/>
          <w:sz w:val="24"/>
          <w:szCs w:val="24"/>
        </w:rPr>
        <w:t>zakonskog</w:t>
      </w:r>
      <w:r w:rsidRPr="0064355F">
        <w:rPr>
          <w:rFonts w:ascii="Times New Roman" w:hAnsi="Times New Roman" w:cs="Times New Roman"/>
          <w:sz w:val="24"/>
          <w:szCs w:val="24"/>
        </w:rPr>
        <w:t xml:space="preserve"> okvira;</w:t>
      </w:r>
    </w:p>
    <w:p w14:paraId="4058FAD2" w14:textId="7AFA9FA0" w:rsidR="00815D19" w:rsidRPr="0064355F" w:rsidRDefault="00003CDB" w:rsidP="004831FE">
      <w:pPr>
        <w:pStyle w:val="Paragrafspisk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Preciznije planiranje aktivnosti i određivanje </w:t>
      </w:r>
      <w:r w:rsidR="00391394" w:rsidRPr="0064355F">
        <w:rPr>
          <w:rFonts w:ascii="Times New Roman" w:hAnsi="Times New Roman" w:cs="Times New Roman"/>
          <w:sz w:val="24"/>
          <w:szCs w:val="24"/>
        </w:rPr>
        <w:t>Krajnji rok</w:t>
      </w:r>
      <w:r w:rsidRPr="0064355F">
        <w:rPr>
          <w:rFonts w:ascii="Times New Roman" w:hAnsi="Times New Roman" w:cs="Times New Roman"/>
          <w:sz w:val="24"/>
          <w:szCs w:val="24"/>
        </w:rPr>
        <w:t xml:space="preserve">ova za realizaciju projekata od strane institucija, uzimajući u obzir moguće prepreke i izazove tokom </w:t>
      </w:r>
      <w:r w:rsidR="001960D4" w:rsidRPr="0064355F">
        <w:rPr>
          <w:rFonts w:ascii="Times New Roman" w:hAnsi="Times New Roman" w:cs="Times New Roman"/>
          <w:sz w:val="24"/>
          <w:szCs w:val="24"/>
        </w:rPr>
        <w:t>sprovođenja</w:t>
      </w:r>
      <w:r w:rsidRPr="0064355F">
        <w:rPr>
          <w:rFonts w:ascii="Times New Roman" w:hAnsi="Times New Roman" w:cs="Times New Roman"/>
          <w:sz w:val="24"/>
          <w:szCs w:val="24"/>
        </w:rPr>
        <w:t>;</w:t>
      </w:r>
    </w:p>
    <w:p w14:paraId="49F1213B" w14:textId="6737B74C" w:rsidR="00815D19" w:rsidRPr="0064355F" w:rsidRDefault="00815D19" w:rsidP="004831FE">
      <w:pPr>
        <w:pStyle w:val="Paragrafspisk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Potpisivanje i blagovremeno </w:t>
      </w:r>
      <w:proofErr w:type="spellStart"/>
      <w:r w:rsidRPr="0064355F">
        <w:rPr>
          <w:rFonts w:ascii="Times New Roman" w:hAnsi="Times New Roman" w:cs="Times New Roman"/>
          <w:sz w:val="24"/>
          <w:szCs w:val="24"/>
        </w:rPr>
        <w:t>ratifikovanje</w:t>
      </w:r>
      <w:proofErr w:type="spellEnd"/>
      <w:r w:rsidRPr="0064355F">
        <w:rPr>
          <w:rFonts w:ascii="Times New Roman" w:hAnsi="Times New Roman" w:cs="Times New Roman"/>
          <w:sz w:val="24"/>
          <w:szCs w:val="24"/>
        </w:rPr>
        <w:t xml:space="preserve"> finansijskih sporazuma od strane nadležnih institucija;</w:t>
      </w:r>
    </w:p>
    <w:p w14:paraId="5C92893D" w14:textId="746D7A3F" w:rsidR="00815D19" w:rsidRPr="0064355F" w:rsidRDefault="00815D19" w:rsidP="004831FE">
      <w:pPr>
        <w:pStyle w:val="Paragrafspisk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Aktivno uključivanje zainteresovanih strana u cilju ubrzanja procesa.</w:t>
      </w:r>
    </w:p>
    <w:p w14:paraId="12C49EDD" w14:textId="77777777" w:rsidR="00ED3E78" w:rsidRPr="0064355F" w:rsidRDefault="00ED3E78" w:rsidP="00F13E8D">
      <w:pPr>
        <w:rPr>
          <w:lang w:eastAsia="sq-AL"/>
        </w:rPr>
      </w:pPr>
    </w:p>
    <w:p w14:paraId="1FB790B6" w14:textId="77777777" w:rsidR="00FB70F8" w:rsidRPr="0064355F" w:rsidRDefault="00FB70F8" w:rsidP="00F13E8D">
      <w:pPr>
        <w:rPr>
          <w:lang w:eastAsia="sq-AL"/>
        </w:rPr>
      </w:pPr>
    </w:p>
    <w:p w14:paraId="475F2979" w14:textId="77777777" w:rsidR="00F13E8D" w:rsidRPr="0064355F" w:rsidRDefault="00F13E8D" w:rsidP="001B19AE">
      <w:pPr>
        <w:pStyle w:val="Naslov1"/>
      </w:pPr>
      <w:bookmarkStart w:id="15" w:name="_Toc174005219"/>
      <w:bookmarkStart w:id="16" w:name="_Toc174006579"/>
      <w:r w:rsidRPr="0064355F">
        <w:t>DETALJNE INFORMACIJE O SPROVOĐENJU AKTIVNOSTI</w:t>
      </w:r>
      <w:bookmarkEnd w:id="15"/>
      <w:bookmarkEnd w:id="16"/>
    </w:p>
    <w:p w14:paraId="5953E49F" w14:textId="77777777" w:rsidR="00C43A7C" w:rsidRPr="0064355F" w:rsidRDefault="00C43A7C" w:rsidP="00C43A7C">
      <w:pPr>
        <w:pStyle w:val="Paragrafspiska"/>
        <w:rPr>
          <w:lang w:eastAsia="sq-AL"/>
        </w:rPr>
      </w:pPr>
    </w:p>
    <w:p w14:paraId="7BD98711" w14:textId="77777777" w:rsidR="00FB70F8" w:rsidRPr="0064355F" w:rsidRDefault="00FB70F8" w:rsidP="00C43A7C">
      <w:pPr>
        <w:pStyle w:val="Paragrafspiska"/>
        <w:rPr>
          <w:lang w:eastAsia="sq-AL"/>
        </w:rPr>
      </w:pPr>
    </w:p>
    <w:p w14:paraId="32EE9360" w14:textId="39E3BC82" w:rsidR="008D0C63" w:rsidRPr="0064355F" w:rsidRDefault="008D0C63" w:rsidP="008D0C6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55F">
        <w:rPr>
          <w:rFonts w:ascii="Times New Roman" w:hAnsi="Times New Roman" w:cs="Times New Roman"/>
          <w:b/>
          <w:sz w:val="24"/>
          <w:szCs w:val="24"/>
          <w:u w:val="single"/>
        </w:rPr>
        <w:t xml:space="preserve">Cilj </w:t>
      </w:r>
      <w:r w:rsidR="00FB70F8" w:rsidRPr="0064355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4355F">
        <w:rPr>
          <w:rFonts w:ascii="Times New Roman" w:hAnsi="Times New Roman" w:cs="Times New Roman"/>
          <w:b/>
          <w:sz w:val="24"/>
          <w:szCs w:val="24"/>
          <w:u w:val="single"/>
        </w:rPr>
        <w:t>: Poboljša</w:t>
      </w:r>
      <w:r w:rsidR="00FB70F8" w:rsidRPr="0064355F">
        <w:rPr>
          <w:rFonts w:ascii="Times New Roman" w:hAnsi="Times New Roman" w:cs="Times New Roman"/>
          <w:b/>
          <w:sz w:val="24"/>
          <w:szCs w:val="24"/>
          <w:u w:val="single"/>
        </w:rPr>
        <w:t>nje</w:t>
      </w:r>
      <w:r w:rsidRPr="0064355F">
        <w:rPr>
          <w:rFonts w:ascii="Times New Roman" w:hAnsi="Times New Roman" w:cs="Times New Roman"/>
          <w:b/>
          <w:sz w:val="24"/>
          <w:szCs w:val="24"/>
          <w:u w:val="single"/>
        </w:rPr>
        <w:t xml:space="preserve"> pouzdanost</w:t>
      </w:r>
      <w:r w:rsidR="00FB70F8" w:rsidRPr="0064355F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64355F">
        <w:rPr>
          <w:rFonts w:ascii="Times New Roman" w:hAnsi="Times New Roman" w:cs="Times New Roman"/>
          <w:b/>
          <w:sz w:val="24"/>
          <w:szCs w:val="24"/>
          <w:u w:val="single"/>
        </w:rPr>
        <w:t xml:space="preserve"> sistema </w:t>
      </w:r>
    </w:p>
    <w:p w14:paraId="11CE7617" w14:textId="4525F159" w:rsidR="004831FE" w:rsidRPr="0064355F" w:rsidRDefault="008D0C63" w:rsidP="008D0C63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Poboljšanje pouzdanosti sistema obuhvata sve aktivnosti koje garantuju sigurnost snabdevanja električnom energijom i rad stabilnog elektroenergetskog sistema. </w:t>
      </w:r>
    </w:p>
    <w:p w14:paraId="1C59F431" w14:textId="3E2E81A9" w:rsidR="004831FE" w:rsidRPr="0064355F" w:rsidRDefault="00384056" w:rsidP="004831FE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Predviđene aktivnosti koje su se razvile u ovom periodu, a koje su uticale na poboljšanje pouzdanosti sistema, su:</w:t>
      </w:r>
    </w:p>
    <w:p w14:paraId="4FF35F7B" w14:textId="77777777" w:rsidR="00FB70F8" w:rsidRPr="0064355F" w:rsidRDefault="00FB70F8" w:rsidP="004831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B3E68" w14:textId="2804C4FE" w:rsidR="00F628D1" w:rsidRPr="0064355F" w:rsidRDefault="008D0C63" w:rsidP="004831FE">
      <w:pPr>
        <w:pStyle w:val="Paragrafspisk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Kapitaln</w:t>
      </w:r>
      <w:r w:rsidR="00FB70F8" w:rsidRPr="0064355F">
        <w:rPr>
          <w:rFonts w:ascii="Times New Roman" w:hAnsi="Times New Roman" w:cs="Times New Roman"/>
          <w:sz w:val="24"/>
          <w:szCs w:val="24"/>
        </w:rPr>
        <w:t xml:space="preserve">e </w:t>
      </w:r>
      <w:r w:rsidRPr="0064355F">
        <w:rPr>
          <w:rFonts w:ascii="Times New Roman" w:hAnsi="Times New Roman" w:cs="Times New Roman"/>
          <w:sz w:val="24"/>
          <w:szCs w:val="24"/>
        </w:rPr>
        <w:t xml:space="preserve"> </w:t>
      </w:r>
      <w:r w:rsidR="00FB70F8" w:rsidRPr="0064355F">
        <w:rPr>
          <w:rFonts w:ascii="Times New Roman" w:hAnsi="Times New Roman" w:cs="Times New Roman"/>
          <w:sz w:val="24"/>
          <w:szCs w:val="24"/>
        </w:rPr>
        <w:t>investicije</w:t>
      </w:r>
      <w:r w:rsidRPr="0064355F">
        <w:rPr>
          <w:rFonts w:ascii="Times New Roman" w:hAnsi="Times New Roman" w:cs="Times New Roman"/>
          <w:sz w:val="24"/>
          <w:szCs w:val="24"/>
        </w:rPr>
        <w:t xml:space="preserve"> u informacion</w:t>
      </w:r>
      <w:r w:rsidR="00FB70F8" w:rsidRPr="0064355F">
        <w:rPr>
          <w:rFonts w:ascii="Times New Roman" w:hAnsi="Times New Roman" w:cs="Times New Roman"/>
          <w:sz w:val="24"/>
          <w:szCs w:val="24"/>
        </w:rPr>
        <w:t>oj</w:t>
      </w:r>
      <w:r w:rsidRPr="0064355F">
        <w:rPr>
          <w:rFonts w:ascii="Times New Roman" w:hAnsi="Times New Roman" w:cs="Times New Roman"/>
          <w:sz w:val="24"/>
          <w:szCs w:val="24"/>
        </w:rPr>
        <w:t xml:space="preserve"> tehnologij</w:t>
      </w:r>
      <w:r w:rsidR="00FB70F8" w:rsidRPr="0064355F">
        <w:rPr>
          <w:rFonts w:ascii="Times New Roman" w:hAnsi="Times New Roman" w:cs="Times New Roman"/>
          <w:sz w:val="24"/>
          <w:szCs w:val="24"/>
        </w:rPr>
        <w:t>i</w:t>
      </w:r>
      <w:r w:rsidRPr="0064355F">
        <w:rPr>
          <w:rFonts w:ascii="Times New Roman" w:hAnsi="Times New Roman" w:cs="Times New Roman"/>
          <w:sz w:val="24"/>
          <w:szCs w:val="24"/>
        </w:rPr>
        <w:t xml:space="preserve"> (IT) gde je postignut značajan napredak u razvoju i unapređenju IT sistema;</w:t>
      </w:r>
    </w:p>
    <w:p w14:paraId="154F014D" w14:textId="5249055B" w:rsidR="008D0C63" w:rsidRPr="0064355F" w:rsidRDefault="00FB70F8">
      <w:pPr>
        <w:pStyle w:val="Paragrafspisk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55F">
        <w:rPr>
          <w:rFonts w:ascii="Times New Roman" w:hAnsi="Times New Roman" w:cs="Times New Roman"/>
          <w:sz w:val="24"/>
          <w:szCs w:val="24"/>
        </w:rPr>
        <w:t>Srednjonaponski</w:t>
      </w:r>
      <w:proofErr w:type="spellEnd"/>
      <w:r w:rsidRPr="0064355F">
        <w:rPr>
          <w:rFonts w:ascii="Times New Roman" w:hAnsi="Times New Roman" w:cs="Times New Roman"/>
          <w:sz w:val="24"/>
          <w:szCs w:val="24"/>
        </w:rPr>
        <w:t xml:space="preserve"> projekti </w:t>
      </w:r>
      <w:r w:rsidR="00F628D1" w:rsidRPr="0064355F">
        <w:rPr>
          <w:rFonts w:ascii="Times New Roman" w:hAnsi="Times New Roman" w:cs="Times New Roman"/>
          <w:sz w:val="24"/>
          <w:szCs w:val="24"/>
        </w:rPr>
        <w:t xml:space="preserve">35/10 (20) </w:t>
      </w:r>
      <w:proofErr w:type="spellStart"/>
      <w:r w:rsidR="00F628D1" w:rsidRPr="0064355F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F628D1" w:rsidRPr="0064355F">
        <w:rPr>
          <w:rFonts w:ascii="Times New Roman" w:hAnsi="Times New Roman" w:cs="Times New Roman"/>
          <w:sz w:val="24"/>
          <w:szCs w:val="24"/>
        </w:rPr>
        <w:t xml:space="preserve"> </w:t>
      </w:r>
      <w:r w:rsidRPr="0064355F">
        <w:rPr>
          <w:rFonts w:ascii="Times New Roman" w:hAnsi="Times New Roman" w:cs="Times New Roman"/>
          <w:sz w:val="24"/>
          <w:szCs w:val="24"/>
        </w:rPr>
        <w:t>z</w:t>
      </w:r>
      <w:r w:rsidR="00F628D1" w:rsidRPr="0064355F">
        <w:rPr>
          <w:rFonts w:ascii="Times New Roman" w:hAnsi="Times New Roman" w:cs="Times New Roman"/>
          <w:sz w:val="24"/>
          <w:szCs w:val="24"/>
        </w:rPr>
        <w:t xml:space="preserve">načajan napredak postignut je u realizaciji investicionih projekata u </w:t>
      </w:r>
      <w:proofErr w:type="spellStart"/>
      <w:r w:rsidR="00F628D1" w:rsidRPr="0064355F">
        <w:rPr>
          <w:rFonts w:ascii="Times New Roman" w:hAnsi="Times New Roman" w:cs="Times New Roman"/>
          <w:sz w:val="24"/>
          <w:szCs w:val="24"/>
        </w:rPr>
        <w:t>srednjenaponskoj</w:t>
      </w:r>
      <w:proofErr w:type="spellEnd"/>
      <w:r w:rsidR="00F628D1" w:rsidRPr="0064355F">
        <w:rPr>
          <w:rFonts w:ascii="Times New Roman" w:hAnsi="Times New Roman" w:cs="Times New Roman"/>
          <w:sz w:val="24"/>
          <w:szCs w:val="24"/>
        </w:rPr>
        <w:t xml:space="preserve"> mreži gotovo na celoj teritoriji zemlje, sa posebnim osvrtom na regione: Priština, </w:t>
      </w:r>
      <w:r w:rsidRPr="0064355F">
        <w:rPr>
          <w:rFonts w:ascii="Times New Roman" w:hAnsi="Times New Roman" w:cs="Times New Roman"/>
          <w:sz w:val="24"/>
          <w:szCs w:val="24"/>
        </w:rPr>
        <w:t>Glogovac</w:t>
      </w:r>
      <w:r w:rsidR="00F628D1" w:rsidRPr="0064355F">
        <w:rPr>
          <w:rFonts w:ascii="Times New Roman" w:hAnsi="Times New Roman" w:cs="Times New Roman"/>
          <w:sz w:val="24"/>
          <w:szCs w:val="24"/>
        </w:rPr>
        <w:t>, Kosovo</w:t>
      </w:r>
      <w:r w:rsidRPr="0064355F">
        <w:rPr>
          <w:rFonts w:ascii="Times New Roman" w:hAnsi="Times New Roman" w:cs="Times New Roman"/>
          <w:sz w:val="24"/>
          <w:szCs w:val="24"/>
        </w:rPr>
        <w:t xml:space="preserve"> Polje</w:t>
      </w:r>
      <w:r w:rsidR="00F628D1" w:rsidRPr="0064355F">
        <w:rPr>
          <w:rFonts w:ascii="Times New Roman" w:hAnsi="Times New Roman" w:cs="Times New Roman"/>
          <w:sz w:val="24"/>
          <w:szCs w:val="24"/>
        </w:rPr>
        <w:t>, Podujev</w:t>
      </w:r>
      <w:r w:rsidRPr="0064355F">
        <w:rPr>
          <w:rFonts w:ascii="Times New Roman" w:hAnsi="Times New Roman" w:cs="Times New Roman"/>
          <w:sz w:val="24"/>
          <w:szCs w:val="24"/>
        </w:rPr>
        <w:t>o</w:t>
      </w:r>
      <w:r w:rsidR="00F628D1" w:rsidRPr="0064355F">
        <w:rPr>
          <w:rFonts w:ascii="Times New Roman" w:hAnsi="Times New Roman" w:cs="Times New Roman"/>
          <w:sz w:val="24"/>
          <w:szCs w:val="24"/>
        </w:rPr>
        <w:t xml:space="preserve">, </w:t>
      </w:r>
      <w:r w:rsidRPr="0064355F">
        <w:rPr>
          <w:rFonts w:ascii="Times New Roman" w:hAnsi="Times New Roman" w:cs="Times New Roman"/>
          <w:sz w:val="24"/>
          <w:szCs w:val="24"/>
        </w:rPr>
        <w:t>Đakovica</w:t>
      </w:r>
      <w:r w:rsidR="00F628D1" w:rsidRPr="0064355F">
        <w:rPr>
          <w:rFonts w:ascii="Times New Roman" w:hAnsi="Times New Roman" w:cs="Times New Roman"/>
          <w:sz w:val="24"/>
          <w:szCs w:val="24"/>
        </w:rPr>
        <w:t xml:space="preserve">, </w:t>
      </w:r>
      <w:r w:rsidRPr="0064355F">
        <w:rPr>
          <w:rFonts w:ascii="Times New Roman" w:hAnsi="Times New Roman" w:cs="Times New Roman"/>
          <w:sz w:val="24"/>
          <w:szCs w:val="24"/>
        </w:rPr>
        <w:t>Mališevo</w:t>
      </w:r>
      <w:r w:rsidR="00F628D1" w:rsidRPr="00643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55F">
        <w:rPr>
          <w:rFonts w:ascii="Times New Roman" w:hAnsi="Times New Roman" w:cs="Times New Roman"/>
          <w:sz w:val="24"/>
          <w:szCs w:val="24"/>
        </w:rPr>
        <w:t>Orahovac</w:t>
      </w:r>
      <w:proofErr w:type="spellEnd"/>
      <w:r w:rsidR="00F628D1" w:rsidRPr="0064355F">
        <w:rPr>
          <w:rFonts w:ascii="Times New Roman" w:hAnsi="Times New Roman" w:cs="Times New Roman"/>
          <w:sz w:val="24"/>
          <w:szCs w:val="24"/>
        </w:rPr>
        <w:t>, Pe</w:t>
      </w:r>
      <w:r w:rsidRPr="0064355F">
        <w:rPr>
          <w:rFonts w:ascii="Times New Roman" w:hAnsi="Times New Roman" w:cs="Times New Roman"/>
          <w:sz w:val="24"/>
          <w:szCs w:val="24"/>
        </w:rPr>
        <w:t>ć</w:t>
      </w:r>
      <w:r w:rsidR="00F628D1" w:rsidRPr="0064355F">
        <w:rPr>
          <w:rFonts w:ascii="Times New Roman" w:hAnsi="Times New Roman" w:cs="Times New Roman"/>
          <w:sz w:val="24"/>
          <w:szCs w:val="24"/>
        </w:rPr>
        <w:t>, Dečan</w:t>
      </w:r>
      <w:r w:rsidRPr="0064355F">
        <w:rPr>
          <w:rFonts w:ascii="Times New Roman" w:hAnsi="Times New Roman" w:cs="Times New Roman"/>
          <w:sz w:val="24"/>
          <w:szCs w:val="24"/>
        </w:rPr>
        <w:t>e</w:t>
      </w:r>
      <w:r w:rsidR="00F628D1" w:rsidRPr="0064355F">
        <w:rPr>
          <w:rFonts w:ascii="Times New Roman" w:hAnsi="Times New Roman" w:cs="Times New Roman"/>
          <w:sz w:val="24"/>
          <w:szCs w:val="24"/>
        </w:rPr>
        <w:t xml:space="preserve">, </w:t>
      </w:r>
      <w:r w:rsidRPr="0064355F">
        <w:rPr>
          <w:rFonts w:ascii="Times New Roman" w:hAnsi="Times New Roman" w:cs="Times New Roman"/>
          <w:sz w:val="24"/>
          <w:szCs w:val="24"/>
        </w:rPr>
        <w:t>Uroševac</w:t>
      </w:r>
      <w:r w:rsidR="00F628D1" w:rsidRPr="0064355F">
        <w:rPr>
          <w:rFonts w:ascii="Times New Roman" w:hAnsi="Times New Roman" w:cs="Times New Roman"/>
          <w:sz w:val="24"/>
          <w:szCs w:val="24"/>
        </w:rPr>
        <w:t>, Prizren, Su</w:t>
      </w:r>
      <w:r w:rsidRPr="0064355F">
        <w:rPr>
          <w:rFonts w:ascii="Times New Roman" w:hAnsi="Times New Roman" w:cs="Times New Roman"/>
          <w:sz w:val="24"/>
          <w:szCs w:val="24"/>
        </w:rPr>
        <w:t>va Reka,</w:t>
      </w:r>
      <w:r w:rsidR="00F628D1" w:rsidRPr="0064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8D1" w:rsidRPr="0064355F">
        <w:rPr>
          <w:rFonts w:ascii="Times New Roman" w:hAnsi="Times New Roman" w:cs="Times New Roman"/>
          <w:sz w:val="24"/>
          <w:szCs w:val="24"/>
        </w:rPr>
        <w:t>Viti</w:t>
      </w:r>
      <w:r w:rsidRPr="0064355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628D1" w:rsidRPr="0064355F">
        <w:rPr>
          <w:rFonts w:ascii="Times New Roman" w:hAnsi="Times New Roman" w:cs="Times New Roman"/>
          <w:sz w:val="24"/>
          <w:szCs w:val="24"/>
        </w:rPr>
        <w:t>, Vu</w:t>
      </w:r>
      <w:r w:rsidRPr="0064355F">
        <w:rPr>
          <w:rFonts w:ascii="Times New Roman" w:hAnsi="Times New Roman" w:cs="Times New Roman"/>
          <w:sz w:val="24"/>
          <w:szCs w:val="24"/>
        </w:rPr>
        <w:t>čitrn</w:t>
      </w:r>
      <w:r w:rsidR="00F628D1" w:rsidRPr="0064355F">
        <w:rPr>
          <w:rFonts w:ascii="Times New Roman" w:hAnsi="Times New Roman" w:cs="Times New Roman"/>
          <w:sz w:val="24"/>
          <w:szCs w:val="24"/>
        </w:rPr>
        <w:t>.</w:t>
      </w:r>
      <w:r w:rsidRPr="006435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6EF0A" w14:textId="1196EB37" w:rsidR="00880D0E" w:rsidRPr="0064355F" w:rsidRDefault="00880D0E" w:rsidP="008D0C63">
      <w:pPr>
        <w:pStyle w:val="Paragrafspisk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Visokonaponski projekti 110/10 (20) </w:t>
      </w:r>
      <w:proofErr w:type="spellStart"/>
      <w:r w:rsidRPr="0064355F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64355F">
        <w:rPr>
          <w:rFonts w:ascii="Times New Roman" w:hAnsi="Times New Roman" w:cs="Times New Roman"/>
          <w:sz w:val="24"/>
          <w:szCs w:val="24"/>
        </w:rPr>
        <w:t xml:space="preserve"> na kojima je završena izg</w:t>
      </w:r>
      <w:r w:rsidR="00BA0F21">
        <w:rPr>
          <w:rFonts w:ascii="Times New Roman" w:hAnsi="Times New Roman" w:cs="Times New Roman"/>
          <w:sz w:val="24"/>
          <w:szCs w:val="24"/>
        </w:rPr>
        <w:t>radnja</w:t>
      </w:r>
      <w:r w:rsidRPr="0064355F">
        <w:rPr>
          <w:rFonts w:ascii="Times New Roman" w:hAnsi="Times New Roman" w:cs="Times New Roman"/>
          <w:sz w:val="24"/>
          <w:szCs w:val="24"/>
        </w:rPr>
        <w:t xml:space="preserve"> </w:t>
      </w:r>
      <w:r w:rsidR="00FB70F8" w:rsidRPr="0064355F">
        <w:rPr>
          <w:rFonts w:ascii="Times New Roman" w:hAnsi="Times New Roman" w:cs="Times New Roman"/>
          <w:sz w:val="24"/>
          <w:szCs w:val="24"/>
        </w:rPr>
        <w:t>podstanice</w:t>
      </w:r>
      <w:r w:rsidRPr="0064355F">
        <w:rPr>
          <w:rFonts w:ascii="Times New Roman" w:hAnsi="Times New Roman" w:cs="Times New Roman"/>
          <w:sz w:val="24"/>
          <w:szCs w:val="24"/>
        </w:rPr>
        <w:t xml:space="preserve"> </w:t>
      </w:r>
      <w:r w:rsidR="00FB70F8" w:rsidRPr="0064355F">
        <w:rPr>
          <w:rFonts w:ascii="Times New Roman" w:hAnsi="Times New Roman" w:cs="Times New Roman"/>
          <w:sz w:val="24"/>
          <w:szCs w:val="24"/>
        </w:rPr>
        <w:t>Uroševac</w:t>
      </w:r>
      <w:r w:rsidRPr="0064355F">
        <w:rPr>
          <w:rFonts w:ascii="Times New Roman" w:hAnsi="Times New Roman" w:cs="Times New Roman"/>
          <w:sz w:val="24"/>
          <w:szCs w:val="24"/>
        </w:rPr>
        <w:t xml:space="preserve"> 3, kao i uslovi izgradnje, dok se za </w:t>
      </w:r>
      <w:r w:rsidR="00FB70F8" w:rsidRPr="0064355F">
        <w:rPr>
          <w:rFonts w:ascii="Times New Roman" w:hAnsi="Times New Roman" w:cs="Times New Roman"/>
          <w:sz w:val="24"/>
          <w:szCs w:val="24"/>
        </w:rPr>
        <w:t>podstanici</w:t>
      </w:r>
      <w:r w:rsidRPr="0064355F">
        <w:rPr>
          <w:rFonts w:ascii="Times New Roman" w:hAnsi="Times New Roman" w:cs="Times New Roman"/>
          <w:sz w:val="24"/>
          <w:szCs w:val="24"/>
        </w:rPr>
        <w:t xml:space="preserve"> </w:t>
      </w:r>
      <w:r w:rsidR="00FB70F8" w:rsidRPr="0064355F">
        <w:rPr>
          <w:rFonts w:ascii="Times New Roman" w:hAnsi="Times New Roman" w:cs="Times New Roman"/>
          <w:sz w:val="24"/>
          <w:szCs w:val="24"/>
        </w:rPr>
        <w:t>Mališevo</w:t>
      </w:r>
      <w:r w:rsidRPr="0064355F">
        <w:rPr>
          <w:rFonts w:ascii="Times New Roman" w:hAnsi="Times New Roman" w:cs="Times New Roman"/>
          <w:sz w:val="24"/>
          <w:szCs w:val="24"/>
        </w:rPr>
        <w:t xml:space="preserve"> čeka građevinska dozvola.</w:t>
      </w:r>
    </w:p>
    <w:p w14:paraId="0A818651" w14:textId="260A9337" w:rsidR="004831FE" w:rsidRPr="0064355F" w:rsidRDefault="004831FE" w:rsidP="004831FE">
      <w:pPr>
        <w:pStyle w:val="Paragrafspiska"/>
        <w:jc w:val="both"/>
        <w:rPr>
          <w:rFonts w:ascii="Times New Roman" w:hAnsi="Times New Roman" w:cs="Times New Roman"/>
          <w:sz w:val="24"/>
          <w:szCs w:val="24"/>
        </w:rPr>
      </w:pPr>
    </w:p>
    <w:p w14:paraId="3BC63CDD" w14:textId="77777777" w:rsidR="004831FE" w:rsidRPr="0064355F" w:rsidRDefault="004831FE" w:rsidP="004831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BA333" w14:textId="1BFF02FF" w:rsidR="008D0C63" w:rsidRPr="0064355F" w:rsidRDefault="008D0C63" w:rsidP="008D0C6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55F">
        <w:rPr>
          <w:rFonts w:ascii="Times New Roman" w:hAnsi="Times New Roman" w:cs="Times New Roman"/>
          <w:b/>
          <w:sz w:val="24"/>
          <w:szCs w:val="24"/>
          <w:u w:val="single"/>
        </w:rPr>
        <w:t xml:space="preserve">Cilj </w:t>
      </w:r>
      <w:r w:rsidR="007B01F2" w:rsidRPr="0064355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4355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Pr="0064355F">
        <w:rPr>
          <w:rFonts w:ascii="Times New Roman" w:hAnsi="Times New Roman" w:cs="Times New Roman"/>
          <w:b/>
          <w:sz w:val="24"/>
          <w:szCs w:val="24"/>
          <w:u w:val="single"/>
        </w:rPr>
        <w:t>Dekarbonizacija</w:t>
      </w:r>
      <w:proofErr w:type="spellEnd"/>
      <w:r w:rsidRPr="0064355F">
        <w:rPr>
          <w:rFonts w:ascii="Times New Roman" w:hAnsi="Times New Roman" w:cs="Times New Roman"/>
          <w:b/>
          <w:sz w:val="24"/>
          <w:szCs w:val="24"/>
          <w:u w:val="single"/>
        </w:rPr>
        <w:t xml:space="preserve"> i promocija </w:t>
      </w:r>
      <w:r w:rsidR="007B01F2" w:rsidRPr="0064355F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64355F">
        <w:rPr>
          <w:rFonts w:ascii="Times New Roman" w:hAnsi="Times New Roman" w:cs="Times New Roman"/>
          <w:b/>
          <w:sz w:val="24"/>
          <w:szCs w:val="24"/>
          <w:u w:val="single"/>
        </w:rPr>
        <w:t>bnovljivih izvora energije</w:t>
      </w:r>
    </w:p>
    <w:p w14:paraId="5C5F45E2" w14:textId="7FF16061" w:rsidR="008D0C63" w:rsidRPr="0064355F" w:rsidRDefault="001C3515" w:rsidP="00D17CF8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U periodu januar – jun </w:t>
      </w:r>
      <w:r w:rsidR="0064355F">
        <w:rPr>
          <w:rFonts w:ascii="Times New Roman" w:hAnsi="Times New Roman" w:cs="Times New Roman"/>
          <w:sz w:val="24"/>
          <w:szCs w:val="24"/>
        </w:rPr>
        <w:t>2025. godine</w:t>
      </w:r>
      <w:r w:rsidRPr="0064355F">
        <w:rPr>
          <w:rFonts w:ascii="Times New Roman" w:hAnsi="Times New Roman" w:cs="Times New Roman"/>
          <w:sz w:val="24"/>
          <w:szCs w:val="24"/>
        </w:rPr>
        <w:t xml:space="preserve"> postignut je napredak u izradi i izradi više dokumenata, kao i u izradi nekoliko važnih projekata:</w:t>
      </w:r>
    </w:p>
    <w:p w14:paraId="3C8905FF" w14:textId="34654918" w:rsidR="00D10434" w:rsidRPr="0064355F" w:rsidRDefault="00DE48B0" w:rsidP="005E3274">
      <w:pPr>
        <w:pStyle w:val="Paragrafspisk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Izrada podzakonskih akata koji proizilaze iz Zakona br. 08/L-258 o obnovljivim izvorima energije (OIE). Od toga, četiri (4) podzakonski akti su već izrađeni i nakon relevantnih rasprava u ME, očekuje se da će biti upućeni u preliminarni i javni proces konsultacija, dok su tri (3) druga akta u fazi izrade. U okviru tehničke podrške sa projektom </w:t>
      </w:r>
      <w:proofErr w:type="spellStart"/>
      <w:r w:rsidRPr="0064355F">
        <w:rPr>
          <w:rFonts w:ascii="Times New Roman" w:hAnsi="Times New Roman" w:cs="Times New Roman"/>
          <w:sz w:val="24"/>
          <w:szCs w:val="24"/>
        </w:rPr>
        <w:t>LUxDeV</w:t>
      </w:r>
      <w:proofErr w:type="spellEnd"/>
      <w:r w:rsidRPr="0064355F">
        <w:rPr>
          <w:rFonts w:ascii="Times New Roman" w:hAnsi="Times New Roman" w:cs="Times New Roman"/>
          <w:sz w:val="24"/>
          <w:szCs w:val="24"/>
        </w:rPr>
        <w:t xml:space="preserve">, </w:t>
      </w:r>
      <w:r w:rsidRPr="0064355F">
        <w:rPr>
          <w:rFonts w:ascii="Times New Roman" w:hAnsi="Times New Roman" w:cs="Times New Roman"/>
          <w:sz w:val="24"/>
          <w:szCs w:val="24"/>
        </w:rPr>
        <w:lastRenderedPageBreak/>
        <w:t>izrađene su tri (3) Administrativne smernice za promociju i olakšavanje integracije obnovljivih izvora energije (OIE) i energetske efikasnosti (EE);</w:t>
      </w:r>
    </w:p>
    <w:p w14:paraId="115A0F6E" w14:textId="15492415" w:rsidR="00D10434" w:rsidRPr="0064355F" w:rsidRDefault="00D10434" w:rsidP="00D17CF8">
      <w:pPr>
        <w:pStyle w:val="Paragrafspisk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Obezbeđene su potrebne saglasnosti i dozvole, a procedure za projekat solarnog centralnog grejanja Solar4Kosovo su završe</w:t>
      </w:r>
      <w:r w:rsidR="00BA0F21">
        <w:rPr>
          <w:rFonts w:ascii="Times New Roman" w:hAnsi="Times New Roman" w:cs="Times New Roman"/>
          <w:sz w:val="24"/>
          <w:szCs w:val="24"/>
        </w:rPr>
        <w:t>ne</w:t>
      </w:r>
      <w:r w:rsidR="006A5188" w:rsidRPr="0064355F">
        <w:rPr>
          <w:rFonts w:ascii="Times New Roman" w:hAnsi="Times New Roman" w:cs="Times New Roman"/>
          <w:sz w:val="24"/>
          <w:szCs w:val="24"/>
        </w:rPr>
        <w:t>.</w:t>
      </w:r>
      <w:r w:rsidRPr="0064355F">
        <w:rPr>
          <w:rFonts w:ascii="Times New Roman" w:hAnsi="Times New Roman" w:cs="Times New Roman"/>
          <w:sz w:val="24"/>
          <w:szCs w:val="24"/>
        </w:rPr>
        <w:t xml:space="preserve"> Raspisan je tender za Lot 1 </w:t>
      </w:r>
      <w:proofErr w:type="spellStart"/>
      <w:r w:rsidR="00493EAF" w:rsidRPr="0064355F">
        <w:rPr>
          <w:rFonts w:ascii="Times New Roman" w:hAnsi="Times New Roman" w:cs="Times New Roman"/>
          <w:sz w:val="24"/>
          <w:szCs w:val="24"/>
        </w:rPr>
        <w:t>impijanta</w:t>
      </w:r>
      <w:proofErr w:type="spellEnd"/>
      <w:r w:rsidR="00493EAF" w:rsidRPr="0064355F">
        <w:rPr>
          <w:rFonts w:ascii="Times New Roman" w:hAnsi="Times New Roman" w:cs="Times New Roman"/>
          <w:sz w:val="24"/>
          <w:szCs w:val="24"/>
        </w:rPr>
        <w:t xml:space="preserve"> </w:t>
      </w:r>
      <w:r w:rsidRPr="0064355F">
        <w:rPr>
          <w:rFonts w:ascii="Times New Roman" w:hAnsi="Times New Roman" w:cs="Times New Roman"/>
          <w:sz w:val="24"/>
          <w:szCs w:val="24"/>
        </w:rPr>
        <w:t>toplane "Solar4Kosovo SDH II", dok je u pripremnoj fazi tenderski postupak za izvođenje radova na projektu "Solar4Kosovo SDH II";</w:t>
      </w:r>
    </w:p>
    <w:p w14:paraId="4CDE7591" w14:textId="38E594E2" w:rsidR="00D17CF8" w:rsidRPr="0064355F" w:rsidRDefault="00D17CF8" w:rsidP="00D17CF8">
      <w:pPr>
        <w:pStyle w:val="Paragrafspisk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U okviru promocije novih proizvodnih kapaciteta putem aukcija, završena je prva faza kvalifikacija za aukciju energija vetra, dok je proces u pripremnoj fazi za objavu druge faze predloga. Istovremeno, proces selekcije nezavisnog inženjera je završen za solarnu aukciju. Takođe, za pripremu budućih aukcija za energiju vetra, Ministarstvo </w:t>
      </w:r>
      <w:r w:rsidR="00493EAF" w:rsidRPr="0064355F">
        <w:rPr>
          <w:rFonts w:ascii="Times New Roman" w:hAnsi="Times New Roman" w:cs="Times New Roman"/>
          <w:sz w:val="24"/>
          <w:szCs w:val="24"/>
        </w:rPr>
        <w:t>ekonomije</w:t>
      </w:r>
      <w:r w:rsidRPr="0064355F">
        <w:rPr>
          <w:rFonts w:ascii="Times New Roman" w:hAnsi="Times New Roman" w:cs="Times New Roman"/>
          <w:sz w:val="24"/>
          <w:szCs w:val="24"/>
        </w:rPr>
        <w:t xml:space="preserve"> (ME) </w:t>
      </w:r>
      <w:proofErr w:type="spellStart"/>
      <w:r w:rsidRPr="0064355F">
        <w:rPr>
          <w:rFonts w:ascii="Times New Roman" w:hAnsi="Times New Roman" w:cs="Times New Roman"/>
          <w:sz w:val="24"/>
          <w:szCs w:val="24"/>
        </w:rPr>
        <w:t>finalizira</w:t>
      </w:r>
      <w:proofErr w:type="spellEnd"/>
      <w:r w:rsidRPr="0064355F">
        <w:rPr>
          <w:rFonts w:ascii="Times New Roman" w:hAnsi="Times New Roman" w:cs="Times New Roman"/>
          <w:sz w:val="24"/>
          <w:szCs w:val="24"/>
        </w:rPr>
        <w:t xml:space="preserve"> procedure za potpisivanje ugovora o </w:t>
      </w:r>
      <w:proofErr w:type="spellStart"/>
      <w:r w:rsidRPr="0064355F">
        <w:rPr>
          <w:rFonts w:ascii="Times New Roman" w:hAnsi="Times New Roman" w:cs="Times New Roman"/>
          <w:sz w:val="24"/>
          <w:szCs w:val="24"/>
        </w:rPr>
        <w:t>grantu</w:t>
      </w:r>
      <w:proofErr w:type="spellEnd"/>
      <w:r w:rsidRPr="0064355F">
        <w:rPr>
          <w:rFonts w:ascii="Times New Roman" w:hAnsi="Times New Roman" w:cs="Times New Roman"/>
          <w:sz w:val="24"/>
          <w:szCs w:val="24"/>
        </w:rPr>
        <w:t xml:space="preserve"> koji će omogućiti ug</w:t>
      </w:r>
      <w:r w:rsidR="00BA0F21">
        <w:rPr>
          <w:rFonts w:ascii="Times New Roman" w:hAnsi="Times New Roman" w:cs="Times New Roman"/>
          <w:sz w:val="24"/>
          <w:szCs w:val="24"/>
        </w:rPr>
        <w:t>radnja</w:t>
      </w:r>
      <w:r w:rsidRPr="0064355F">
        <w:rPr>
          <w:rFonts w:ascii="Times New Roman" w:hAnsi="Times New Roman" w:cs="Times New Roman"/>
          <w:sz w:val="24"/>
          <w:szCs w:val="24"/>
        </w:rPr>
        <w:t xml:space="preserve"> brojila vetra.</w:t>
      </w:r>
    </w:p>
    <w:p w14:paraId="7861ACA3" w14:textId="77777777" w:rsidR="00D17CF8" w:rsidRPr="0064355F" w:rsidRDefault="00D17CF8" w:rsidP="00D17CF8">
      <w:pPr>
        <w:pStyle w:val="Paragrafspiska"/>
        <w:jc w:val="both"/>
        <w:rPr>
          <w:rFonts w:ascii="Times New Roman" w:hAnsi="Times New Roman" w:cs="Times New Roman"/>
          <w:sz w:val="24"/>
          <w:szCs w:val="24"/>
        </w:rPr>
      </w:pPr>
    </w:p>
    <w:p w14:paraId="741DA221" w14:textId="77777777" w:rsidR="00493EAF" w:rsidRPr="0064355F" w:rsidRDefault="00493EAF" w:rsidP="00D17CF8">
      <w:pPr>
        <w:pStyle w:val="Paragrafspiska"/>
        <w:jc w:val="both"/>
        <w:rPr>
          <w:rFonts w:ascii="Times New Roman" w:hAnsi="Times New Roman" w:cs="Times New Roman"/>
          <w:sz w:val="24"/>
          <w:szCs w:val="24"/>
        </w:rPr>
      </w:pPr>
    </w:p>
    <w:p w14:paraId="6615DD0A" w14:textId="77777777" w:rsidR="008D0C63" w:rsidRPr="0064355F" w:rsidRDefault="008D0C63" w:rsidP="008D0C6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55F">
        <w:rPr>
          <w:rFonts w:ascii="Times New Roman" w:hAnsi="Times New Roman" w:cs="Times New Roman"/>
          <w:b/>
          <w:sz w:val="24"/>
          <w:szCs w:val="24"/>
          <w:u w:val="single"/>
        </w:rPr>
        <w:t>Cilj 3: Povećanje energetske efikasnosti (EE)</w:t>
      </w:r>
    </w:p>
    <w:p w14:paraId="23556E7A" w14:textId="53713EDE" w:rsidR="00D35809" w:rsidRPr="0064355F" w:rsidRDefault="00D35809" w:rsidP="004831FE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U periodu januar-jun </w:t>
      </w:r>
      <w:r w:rsidR="0064355F">
        <w:rPr>
          <w:rFonts w:ascii="Times New Roman" w:hAnsi="Times New Roman" w:cs="Times New Roman"/>
          <w:sz w:val="24"/>
          <w:szCs w:val="24"/>
        </w:rPr>
        <w:t>2025. godine</w:t>
      </w:r>
      <w:r w:rsidRPr="0064355F">
        <w:rPr>
          <w:rFonts w:ascii="Times New Roman" w:hAnsi="Times New Roman" w:cs="Times New Roman"/>
          <w:sz w:val="24"/>
          <w:szCs w:val="24"/>
        </w:rPr>
        <w:t>, niz razvijenih aktivnosti direktno je doprineo povećanju energetske efikasnosti (EE), u skladu sa ciljevima postavljenim u ovoj oblasti.</w:t>
      </w:r>
    </w:p>
    <w:p w14:paraId="48E755CB" w14:textId="1F7C0E1F" w:rsidR="008D0C63" w:rsidRPr="0064355F" w:rsidRDefault="00D35809" w:rsidP="004831FE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Ključne aktivnosti uključuju:</w:t>
      </w:r>
    </w:p>
    <w:p w14:paraId="52DD68DF" w14:textId="18B03775" w:rsidR="00D10434" w:rsidRPr="0064355F" w:rsidRDefault="00D10434" w:rsidP="004831FE">
      <w:pPr>
        <w:pStyle w:val="Paragrafspisk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Postignut je dalji napredak u pripremi projekta povećanja toplotnog kapaciteta </w:t>
      </w:r>
      <w:proofErr w:type="spellStart"/>
      <w:r w:rsidRPr="0064355F">
        <w:rPr>
          <w:rFonts w:ascii="Times New Roman" w:hAnsi="Times New Roman" w:cs="Times New Roman"/>
          <w:sz w:val="24"/>
          <w:szCs w:val="24"/>
        </w:rPr>
        <w:t>kogeneracijske</w:t>
      </w:r>
      <w:proofErr w:type="spellEnd"/>
      <w:r w:rsidRPr="0064355F">
        <w:rPr>
          <w:rFonts w:ascii="Times New Roman" w:hAnsi="Times New Roman" w:cs="Times New Roman"/>
          <w:sz w:val="24"/>
          <w:szCs w:val="24"/>
        </w:rPr>
        <w:t xml:space="preserve"> termoelektrane "Kosovo B" sa 140 </w:t>
      </w:r>
      <w:proofErr w:type="spellStart"/>
      <w:r w:rsidRPr="0064355F">
        <w:rPr>
          <w:rFonts w:ascii="Times New Roman" w:hAnsi="Times New Roman" w:cs="Times New Roman"/>
          <w:sz w:val="24"/>
          <w:szCs w:val="24"/>
        </w:rPr>
        <w:t>MWth</w:t>
      </w:r>
      <w:proofErr w:type="spellEnd"/>
      <w:r w:rsidRPr="0064355F">
        <w:rPr>
          <w:rFonts w:ascii="Times New Roman" w:hAnsi="Times New Roman" w:cs="Times New Roman"/>
          <w:sz w:val="24"/>
          <w:szCs w:val="24"/>
        </w:rPr>
        <w:t xml:space="preserve"> na 280 </w:t>
      </w:r>
      <w:proofErr w:type="spellStart"/>
      <w:r w:rsidRPr="0064355F">
        <w:rPr>
          <w:rFonts w:ascii="Times New Roman" w:hAnsi="Times New Roman" w:cs="Times New Roman"/>
          <w:sz w:val="24"/>
          <w:szCs w:val="24"/>
        </w:rPr>
        <w:t>MWth</w:t>
      </w:r>
      <w:proofErr w:type="spellEnd"/>
      <w:r w:rsidRPr="0064355F">
        <w:rPr>
          <w:rFonts w:ascii="Times New Roman" w:hAnsi="Times New Roman" w:cs="Times New Roman"/>
          <w:sz w:val="24"/>
          <w:szCs w:val="24"/>
        </w:rPr>
        <w:t>;</w:t>
      </w:r>
    </w:p>
    <w:p w14:paraId="568AD089" w14:textId="07579AB9" w:rsidR="008D0C63" w:rsidRPr="0064355F" w:rsidRDefault="00930797" w:rsidP="004831FE">
      <w:pPr>
        <w:pStyle w:val="Paragrafspisk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Sprovođenje</w:t>
      </w:r>
      <w:r w:rsidR="00C17BB7" w:rsidRPr="0064355F">
        <w:rPr>
          <w:rFonts w:ascii="Times New Roman" w:hAnsi="Times New Roman" w:cs="Times New Roman"/>
          <w:sz w:val="24"/>
          <w:szCs w:val="24"/>
        </w:rPr>
        <w:t xml:space="preserve"> mera energetske efikasnosti (EE) u javnim zgradama (centralni nivo);</w:t>
      </w:r>
    </w:p>
    <w:p w14:paraId="266F07A4" w14:textId="490272A7" w:rsidR="008D0C63" w:rsidRPr="0064355F" w:rsidRDefault="00930797" w:rsidP="004831FE">
      <w:pPr>
        <w:pStyle w:val="Paragrafspisk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Sprovođenje</w:t>
      </w:r>
      <w:r w:rsidR="008D0C63" w:rsidRPr="0064355F">
        <w:rPr>
          <w:rFonts w:ascii="Times New Roman" w:hAnsi="Times New Roman" w:cs="Times New Roman"/>
          <w:sz w:val="24"/>
          <w:szCs w:val="24"/>
        </w:rPr>
        <w:t xml:space="preserve"> mera energetske efikasnosti (EE) u javnim zgradama (na opštinskom nivou);</w:t>
      </w:r>
    </w:p>
    <w:p w14:paraId="0E2300AC" w14:textId="3F3661AB" w:rsidR="00D10434" w:rsidRPr="0064355F" w:rsidRDefault="00D10434" w:rsidP="004831FE">
      <w:pPr>
        <w:pStyle w:val="Paragrafspisk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Nastavljeno je postavljanje merne opreme za </w:t>
      </w:r>
      <w:r w:rsidR="00930797" w:rsidRPr="0064355F">
        <w:rPr>
          <w:rFonts w:ascii="Times New Roman" w:hAnsi="Times New Roman" w:cs="Times New Roman"/>
          <w:sz w:val="24"/>
          <w:szCs w:val="24"/>
        </w:rPr>
        <w:t>potrošače</w:t>
      </w:r>
      <w:r w:rsidRPr="0064355F">
        <w:rPr>
          <w:rFonts w:ascii="Times New Roman" w:hAnsi="Times New Roman" w:cs="Times New Roman"/>
          <w:sz w:val="24"/>
          <w:szCs w:val="24"/>
        </w:rPr>
        <w:t xml:space="preserve"> "Termokosa";</w:t>
      </w:r>
    </w:p>
    <w:p w14:paraId="5F920836" w14:textId="0B11646E" w:rsidR="008D0C63" w:rsidRPr="0064355F" w:rsidRDefault="008D0C63" w:rsidP="004831FE">
      <w:pPr>
        <w:pStyle w:val="Paragrafspisk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Sprovođenje mera energetske efikasnosti (EE) u stambenom sektoru (pojedinačne kuće);</w:t>
      </w:r>
    </w:p>
    <w:p w14:paraId="35469665" w14:textId="7BDE112C" w:rsidR="009F70E2" w:rsidRPr="0064355F" w:rsidRDefault="009F70E2" w:rsidP="004831FE">
      <w:pPr>
        <w:pStyle w:val="Paragrafspisk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Izrada Nacrta zakona o energetskoj efikasnosti (EE) je još uvek u toku relevantnih diskusija u okviru institucije ME i čim se ova faza završi, očekuje se da će biti upućen na preliminarnu i javnu raspravu. Takođe je povećana dinamika u procesu izrade podzakonskih akata koji proizilaze iz Nacrta zakona o energetskoj efikasnosti (EE);</w:t>
      </w:r>
    </w:p>
    <w:p w14:paraId="6E9690E7" w14:textId="4373D377" w:rsidR="009F70E2" w:rsidRPr="0064355F" w:rsidRDefault="009F70E2" w:rsidP="004831FE">
      <w:pPr>
        <w:pStyle w:val="Paragrafspisk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Postignut je napredak u usvajanju podzakonskih akata koji se odnose na energetsk</w:t>
      </w:r>
      <w:r w:rsidR="002C427B" w:rsidRPr="0064355F">
        <w:rPr>
          <w:rFonts w:ascii="Times New Roman" w:hAnsi="Times New Roman" w:cs="Times New Roman"/>
          <w:sz w:val="24"/>
          <w:szCs w:val="24"/>
        </w:rPr>
        <w:t xml:space="preserve">i učinak </w:t>
      </w:r>
      <w:r w:rsidRPr="0064355F">
        <w:rPr>
          <w:rFonts w:ascii="Times New Roman" w:hAnsi="Times New Roman" w:cs="Times New Roman"/>
          <w:sz w:val="24"/>
          <w:szCs w:val="24"/>
        </w:rPr>
        <w:t>zgrada.</w:t>
      </w:r>
    </w:p>
    <w:p w14:paraId="423C7750" w14:textId="77777777" w:rsidR="00486DC1" w:rsidRPr="0064355F" w:rsidRDefault="00486DC1" w:rsidP="00486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C82BA" w14:textId="77777777" w:rsidR="00493EAF" w:rsidRPr="0064355F" w:rsidRDefault="00493EAF" w:rsidP="00486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908EB" w14:textId="3D68C596" w:rsidR="008D0C63" w:rsidRPr="0064355F" w:rsidRDefault="008D0C63" w:rsidP="004831FE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b/>
          <w:sz w:val="24"/>
          <w:szCs w:val="24"/>
          <w:u w:val="single"/>
        </w:rPr>
        <w:t>Cilj 4: Jačanje regionalne saradnje i funkcionisanja tržišta</w:t>
      </w:r>
    </w:p>
    <w:p w14:paraId="44999743" w14:textId="35B62D8E" w:rsidR="00D35809" w:rsidRPr="0064355F" w:rsidRDefault="00D35809" w:rsidP="00D35809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 xml:space="preserve">U periodu januar-jun </w:t>
      </w:r>
      <w:r w:rsidR="0064355F">
        <w:rPr>
          <w:rFonts w:ascii="Times New Roman" w:hAnsi="Times New Roman" w:cs="Times New Roman"/>
          <w:sz w:val="24"/>
          <w:szCs w:val="24"/>
        </w:rPr>
        <w:t>2025. godine</w:t>
      </w:r>
      <w:r w:rsidRPr="0064355F">
        <w:rPr>
          <w:rFonts w:ascii="Times New Roman" w:hAnsi="Times New Roman" w:cs="Times New Roman"/>
          <w:sz w:val="24"/>
          <w:szCs w:val="24"/>
        </w:rPr>
        <w:t xml:space="preserve">, aktivnosti u okviru ovog cilja bile su ograničene, pre svega zbog njihove zavisnosti od procesa usvajanja zakona o </w:t>
      </w:r>
      <w:r w:rsidR="002C427B" w:rsidRPr="0064355F">
        <w:rPr>
          <w:rFonts w:ascii="Times New Roman" w:hAnsi="Times New Roman" w:cs="Times New Roman"/>
          <w:sz w:val="24"/>
          <w:szCs w:val="24"/>
        </w:rPr>
        <w:t xml:space="preserve">sektoru </w:t>
      </w:r>
      <w:r w:rsidRPr="0064355F">
        <w:rPr>
          <w:rFonts w:ascii="Times New Roman" w:hAnsi="Times New Roman" w:cs="Times New Roman"/>
          <w:sz w:val="24"/>
          <w:szCs w:val="24"/>
        </w:rPr>
        <w:t>energetik</w:t>
      </w:r>
      <w:r w:rsidR="002C427B" w:rsidRPr="0064355F">
        <w:rPr>
          <w:rFonts w:ascii="Times New Roman" w:hAnsi="Times New Roman" w:cs="Times New Roman"/>
          <w:sz w:val="24"/>
          <w:szCs w:val="24"/>
        </w:rPr>
        <w:t>e</w:t>
      </w:r>
      <w:r w:rsidRPr="0064355F">
        <w:rPr>
          <w:rFonts w:ascii="Times New Roman" w:hAnsi="Times New Roman" w:cs="Times New Roman"/>
          <w:sz w:val="24"/>
          <w:szCs w:val="24"/>
        </w:rPr>
        <w:t xml:space="preserve"> (Nacrt zakona o energ</w:t>
      </w:r>
      <w:r w:rsidR="002C427B" w:rsidRPr="0064355F">
        <w:rPr>
          <w:rFonts w:ascii="Times New Roman" w:hAnsi="Times New Roman" w:cs="Times New Roman"/>
          <w:sz w:val="24"/>
          <w:szCs w:val="24"/>
        </w:rPr>
        <w:t>iji</w:t>
      </w:r>
      <w:r w:rsidRPr="0064355F">
        <w:rPr>
          <w:rFonts w:ascii="Times New Roman" w:hAnsi="Times New Roman" w:cs="Times New Roman"/>
          <w:sz w:val="24"/>
          <w:szCs w:val="24"/>
        </w:rPr>
        <w:t>, Nacrt zakona o električnoj energiji i Nacrt zakona o energetskom regulatoru), kojima se prenosi Paket čiste energije u sprovođenju obaveza Republike Kosovo (RK) prema Ugovoru o energetsko</w:t>
      </w:r>
      <w:r w:rsidR="002C427B" w:rsidRPr="0064355F">
        <w:rPr>
          <w:rFonts w:ascii="Times New Roman" w:hAnsi="Times New Roman" w:cs="Times New Roman"/>
          <w:sz w:val="24"/>
          <w:szCs w:val="24"/>
        </w:rPr>
        <w:t xml:space="preserve">j zajednici </w:t>
      </w:r>
      <w:r w:rsidRPr="0064355F">
        <w:rPr>
          <w:rFonts w:ascii="Times New Roman" w:hAnsi="Times New Roman" w:cs="Times New Roman"/>
          <w:sz w:val="24"/>
          <w:szCs w:val="24"/>
        </w:rPr>
        <w:t>(</w:t>
      </w:r>
      <w:r w:rsidR="002C427B" w:rsidRPr="0064355F">
        <w:rPr>
          <w:rFonts w:ascii="Times New Roman" w:hAnsi="Times New Roman" w:cs="Times New Roman"/>
          <w:sz w:val="24"/>
          <w:szCs w:val="24"/>
        </w:rPr>
        <w:t>UEZ</w:t>
      </w:r>
      <w:r w:rsidRPr="0064355F">
        <w:rPr>
          <w:rFonts w:ascii="Times New Roman" w:hAnsi="Times New Roman" w:cs="Times New Roman"/>
          <w:sz w:val="24"/>
          <w:szCs w:val="24"/>
        </w:rPr>
        <w:t>),  kao i podrška MCAK programa.</w:t>
      </w:r>
    </w:p>
    <w:p w14:paraId="795852F1" w14:textId="6323ADFB" w:rsidR="000B0801" w:rsidRPr="0064355F" w:rsidRDefault="002C427B" w:rsidP="00D35809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lastRenderedPageBreak/>
        <w:t>Evidentirano</w:t>
      </w:r>
      <w:r w:rsidR="00050A70" w:rsidRPr="0064355F">
        <w:rPr>
          <w:rFonts w:ascii="Times New Roman" w:hAnsi="Times New Roman" w:cs="Times New Roman"/>
          <w:sz w:val="24"/>
          <w:szCs w:val="24"/>
        </w:rPr>
        <w:t xml:space="preserve"> je da </w:t>
      </w:r>
      <w:r w:rsidRPr="0064355F">
        <w:rPr>
          <w:rFonts w:ascii="Times New Roman" w:hAnsi="Times New Roman" w:cs="Times New Roman"/>
          <w:sz w:val="24"/>
          <w:szCs w:val="24"/>
        </w:rPr>
        <w:t>je</w:t>
      </w:r>
      <w:r w:rsidR="00050A70" w:rsidRPr="0064355F">
        <w:rPr>
          <w:rFonts w:ascii="Times New Roman" w:hAnsi="Times New Roman" w:cs="Times New Roman"/>
          <w:sz w:val="24"/>
          <w:szCs w:val="24"/>
        </w:rPr>
        <w:t xml:space="preserve"> Nacrtom zakona o energetici i Nacrtom zakona o električnoj energiji završen proces preliminarnih i javnih konsultacija, kao i </w:t>
      </w:r>
      <w:r w:rsidRPr="0064355F">
        <w:rPr>
          <w:rFonts w:ascii="Times New Roman" w:hAnsi="Times New Roman" w:cs="Times New Roman"/>
          <w:sz w:val="24"/>
          <w:szCs w:val="24"/>
        </w:rPr>
        <w:t xml:space="preserve">uzeta su </w:t>
      </w:r>
      <w:r w:rsidR="00050A70" w:rsidRPr="0064355F">
        <w:rPr>
          <w:rFonts w:ascii="Times New Roman" w:hAnsi="Times New Roman" w:cs="Times New Roman"/>
          <w:sz w:val="24"/>
          <w:szCs w:val="24"/>
        </w:rPr>
        <w:t>mišljenja o proceni finansijskog uticaja od strane Ministarstva finansija, rada i transfera (MF</w:t>
      </w:r>
      <w:r w:rsidRPr="0064355F">
        <w:rPr>
          <w:rFonts w:ascii="Times New Roman" w:hAnsi="Times New Roman" w:cs="Times New Roman"/>
          <w:sz w:val="24"/>
          <w:szCs w:val="24"/>
        </w:rPr>
        <w:t>R</w:t>
      </w:r>
      <w:r w:rsidR="00050A70" w:rsidRPr="0064355F">
        <w:rPr>
          <w:rFonts w:ascii="Times New Roman" w:hAnsi="Times New Roman" w:cs="Times New Roman"/>
          <w:sz w:val="24"/>
          <w:szCs w:val="24"/>
        </w:rPr>
        <w:t>T), kao i usklađenosti sa zakonodavstvom EU</w:t>
      </w:r>
      <w:r w:rsidRPr="0064355F">
        <w:rPr>
          <w:rFonts w:ascii="Times New Roman" w:hAnsi="Times New Roman" w:cs="Times New Roman"/>
          <w:sz w:val="24"/>
          <w:szCs w:val="24"/>
        </w:rPr>
        <w:t>-a</w:t>
      </w:r>
      <w:r w:rsidR="00050A70" w:rsidRPr="0064355F">
        <w:rPr>
          <w:rFonts w:ascii="Times New Roman" w:hAnsi="Times New Roman" w:cs="Times New Roman"/>
          <w:sz w:val="24"/>
          <w:szCs w:val="24"/>
        </w:rPr>
        <w:t xml:space="preserve">, primila Kancelarija </w:t>
      </w:r>
      <w:r w:rsidRPr="0064355F">
        <w:rPr>
          <w:rFonts w:ascii="Times New Roman" w:hAnsi="Times New Roman" w:cs="Times New Roman"/>
          <w:sz w:val="24"/>
          <w:szCs w:val="24"/>
        </w:rPr>
        <w:t>premijera</w:t>
      </w:r>
      <w:r w:rsidR="00050A70" w:rsidRPr="0064355F">
        <w:rPr>
          <w:rFonts w:ascii="Times New Roman" w:hAnsi="Times New Roman" w:cs="Times New Roman"/>
          <w:sz w:val="24"/>
          <w:szCs w:val="24"/>
        </w:rPr>
        <w:t>, dok je Nacrt zakona o energetskom regulatoru spreman za obradu u preliminarnim i javnim konsultacijama.</w:t>
      </w:r>
    </w:p>
    <w:p w14:paraId="7D8C18CF" w14:textId="7F9CDC0F" w:rsidR="00050A70" w:rsidRPr="0064355F" w:rsidRDefault="002C427B" w:rsidP="00D35809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Zakonski</w:t>
      </w:r>
      <w:r w:rsidR="00050A70" w:rsidRPr="0064355F">
        <w:rPr>
          <w:rFonts w:ascii="Times New Roman" w:hAnsi="Times New Roman" w:cs="Times New Roman"/>
          <w:sz w:val="24"/>
          <w:szCs w:val="24"/>
        </w:rPr>
        <w:t xml:space="preserve"> okvir </w:t>
      </w:r>
      <w:r w:rsidR="006A5188" w:rsidRPr="0064355F">
        <w:rPr>
          <w:rFonts w:ascii="Times New Roman" w:hAnsi="Times New Roman" w:cs="Times New Roman"/>
          <w:sz w:val="24"/>
          <w:szCs w:val="24"/>
        </w:rPr>
        <w:t xml:space="preserve">o </w:t>
      </w:r>
      <w:r w:rsidR="00050A70" w:rsidRPr="0064355F">
        <w:rPr>
          <w:rFonts w:ascii="Times New Roman" w:hAnsi="Times New Roman" w:cs="Times New Roman"/>
          <w:sz w:val="24"/>
          <w:szCs w:val="24"/>
        </w:rPr>
        <w:t>energeti</w:t>
      </w:r>
      <w:r w:rsidR="006A5188" w:rsidRPr="0064355F">
        <w:rPr>
          <w:rFonts w:ascii="Times New Roman" w:hAnsi="Times New Roman" w:cs="Times New Roman"/>
          <w:sz w:val="24"/>
          <w:szCs w:val="24"/>
        </w:rPr>
        <w:t>ci</w:t>
      </w:r>
      <w:r w:rsidR="00050A70" w:rsidRPr="0064355F">
        <w:rPr>
          <w:rFonts w:ascii="Times New Roman" w:hAnsi="Times New Roman" w:cs="Times New Roman"/>
          <w:sz w:val="24"/>
          <w:szCs w:val="24"/>
        </w:rPr>
        <w:t>, koji je u procesu rešavanja, nije mogao da se nastavi kao rezultat kašnjenja u stvaranju novih institucija, nakon poslednjeg izbornog procesa ili čak zakonskih ograničenja Vlade Republike Kosovo (</w:t>
      </w:r>
      <w:r w:rsidR="006A5188" w:rsidRPr="0064355F">
        <w:rPr>
          <w:rFonts w:ascii="Times New Roman" w:hAnsi="Times New Roman" w:cs="Times New Roman"/>
          <w:sz w:val="24"/>
          <w:szCs w:val="24"/>
        </w:rPr>
        <w:t>VRK</w:t>
      </w:r>
      <w:r w:rsidR="00050A70" w:rsidRPr="0064355F">
        <w:rPr>
          <w:rFonts w:ascii="Times New Roman" w:hAnsi="Times New Roman" w:cs="Times New Roman"/>
          <w:sz w:val="24"/>
          <w:szCs w:val="24"/>
        </w:rPr>
        <w:t xml:space="preserve">) na </w:t>
      </w:r>
      <w:r w:rsidR="006A5188" w:rsidRPr="0064355F">
        <w:rPr>
          <w:rFonts w:ascii="Times New Roman" w:hAnsi="Times New Roman" w:cs="Times New Roman"/>
          <w:sz w:val="24"/>
          <w:szCs w:val="24"/>
        </w:rPr>
        <w:t>dužnosti</w:t>
      </w:r>
      <w:r w:rsidR="00050A70" w:rsidRPr="0064355F">
        <w:rPr>
          <w:rFonts w:ascii="Times New Roman" w:hAnsi="Times New Roman" w:cs="Times New Roman"/>
          <w:sz w:val="24"/>
          <w:szCs w:val="24"/>
        </w:rPr>
        <w:t>.</w:t>
      </w:r>
    </w:p>
    <w:p w14:paraId="534CC88B" w14:textId="445568A9" w:rsidR="00D35809" w:rsidRPr="0064355F" w:rsidRDefault="00050A70" w:rsidP="00D35809">
      <w:pPr>
        <w:jc w:val="both"/>
        <w:rPr>
          <w:rFonts w:ascii="Times New Roman" w:hAnsi="Times New Roman" w:cs="Times New Roman"/>
          <w:sz w:val="24"/>
          <w:szCs w:val="24"/>
        </w:rPr>
      </w:pPr>
      <w:r w:rsidRPr="0064355F">
        <w:rPr>
          <w:rFonts w:ascii="Times New Roman" w:hAnsi="Times New Roman" w:cs="Times New Roman"/>
          <w:sz w:val="24"/>
          <w:szCs w:val="24"/>
        </w:rPr>
        <w:t>Dok je do kašnjenja u vezi sa procesom daljeg sprovođenja MCAK programa došlo kao rezultat potpisivanja Izvršnog naloga 14169 od strane predsednika S</w:t>
      </w:r>
      <w:r w:rsidR="006A5188" w:rsidRPr="0064355F">
        <w:rPr>
          <w:rFonts w:ascii="Times New Roman" w:hAnsi="Times New Roman" w:cs="Times New Roman"/>
          <w:sz w:val="24"/>
          <w:szCs w:val="24"/>
        </w:rPr>
        <w:t>AD-a</w:t>
      </w:r>
      <w:r w:rsidRPr="0064355F">
        <w:rPr>
          <w:rFonts w:ascii="Times New Roman" w:hAnsi="Times New Roman" w:cs="Times New Roman"/>
          <w:sz w:val="24"/>
          <w:szCs w:val="24"/>
        </w:rPr>
        <w:t xml:space="preserve"> 20. januara </w:t>
      </w:r>
      <w:r w:rsidR="0064355F">
        <w:rPr>
          <w:rFonts w:ascii="Times New Roman" w:hAnsi="Times New Roman" w:cs="Times New Roman"/>
          <w:sz w:val="24"/>
          <w:szCs w:val="24"/>
        </w:rPr>
        <w:t>2025. godine</w:t>
      </w:r>
      <w:r w:rsidRPr="0064355F">
        <w:rPr>
          <w:rFonts w:ascii="Times New Roman" w:hAnsi="Times New Roman" w:cs="Times New Roman"/>
          <w:sz w:val="24"/>
          <w:szCs w:val="24"/>
        </w:rPr>
        <w:t>, što je rezultiralo obustavom aktivnosti u okviru MCAK projekta do kraja ovog izveštajnog perioda.</w:t>
      </w:r>
    </w:p>
    <w:p w14:paraId="68C6EBF0" w14:textId="77777777" w:rsidR="006A5188" w:rsidRPr="0064355F" w:rsidRDefault="006A5188" w:rsidP="00D35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768EC" w14:textId="311592DB" w:rsidR="008D0C63" w:rsidRPr="0064355F" w:rsidRDefault="008D0C63" w:rsidP="00D358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55F">
        <w:rPr>
          <w:rFonts w:ascii="Times New Roman" w:hAnsi="Times New Roman" w:cs="Times New Roman"/>
          <w:b/>
          <w:sz w:val="24"/>
          <w:szCs w:val="24"/>
          <w:u w:val="single"/>
        </w:rPr>
        <w:t xml:space="preserve">Cilj </w:t>
      </w:r>
      <w:r w:rsidR="006A5188" w:rsidRPr="0064355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4355F">
        <w:rPr>
          <w:rFonts w:ascii="Times New Roman" w:hAnsi="Times New Roman" w:cs="Times New Roman"/>
          <w:b/>
          <w:sz w:val="24"/>
          <w:szCs w:val="24"/>
          <w:u w:val="single"/>
        </w:rPr>
        <w:t>: Zaštita i osnaživanje potrošača</w:t>
      </w:r>
    </w:p>
    <w:p w14:paraId="603A56C0" w14:textId="6E287F99" w:rsidR="000F5B01" w:rsidRPr="0064355F" w:rsidRDefault="000F5B01" w:rsidP="0006187F">
      <w:pPr>
        <w:pStyle w:val="NormalnoWeb"/>
        <w:jc w:val="both"/>
        <w:rPr>
          <w:lang w:val="sr-Latn-RS"/>
        </w:rPr>
      </w:pPr>
      <w:r w:rsidRPr="0064355F">
        <w:rPr>
          <w:lang w:val="sr-Latn-RS"/>
        </w:rPr>
        <w:t xml:space="preserve">U periodu januar-jun </w:t>
      </w:r>
      <w:r w:rsidR="0064355F">
        <w:rPr>
          <w:lang w:val="sr-Latn-RS"/>
        </w:rPr>
        <w:t>2025. godine</w:t>
      </w:r>
      <w:r w:rsidRPr="0064355F">
        <w:rPr>
          <w:lang w:val="sr-Latn-RS"/>
        </w:rPr>
        <w:t>, neke od planiranih aktivnosti su sprovedene u okviru cilja pet (5):</w:t>
      </w:r>
    </w:p>
    <w:p w14:paraId="391EE635" w14:textId="3BFFDEB8" w:rsidR="00950FBB" w:rsidRPr="0064355F" w:rsidRDefault="00950FBB" w:rsidP="0006187F">
      <w:pPr>
        <w:pStyle w:val="NormalnoWeb"/>
        <w:numPr>
          <w:ilvl w:val="0"/>
          <w:numId w:val="18"/>
        </w:numPr>
        <w:jc w:val="both"/>
        <w:rPr>
          <w:lang w:val="sr-Latn-RS"/>
        </w:rPr>
      </w:pPr>
      <w:r w:rsidRPr="0064355F">
        <w:rPr>
          <w:lang w:val="sr-Latn-RS"/>
        </w:rPr>
        <w:t>podrška ugroženim potrošačima, koja je zamenila postojeću šemu podrške za ovu kategoriju;</w:t>
      </w:r>
    </w:p>
    <w:p w14:paraId="71724CA7" w14:textId="448A4A06" w:rsidR="00950FBB" w:rsidRPr="0064355F" w:rsidRDefault="00950FBB" w:rsidP="0006187F">
      <w:pPr>
        <w:pStyle w:val="NormalnoWeb"/>
        <w:numPr>
          <w:ilvl w:val="0"/>
          <w:numId w:val="18"/>
        </w:numPr>
        <w:jc w:val="both"/>
        <w:rPr>
          <w:lang w:val="sr-Latn-RS"/>
        </w:rPr>
      </w:pPr>
      <w:r w:rsidRPr="0064355F">
        <w:rPr>
          <w:lang w:val="sr-Latn-RS"/>
        </w:rPr>
        <w:t xml:space="preserve">nastavljena je obuka </w:t>
      </w:r>
      <w:r w:rsidR="006A5188" w:rsidRPr="0064355F">
        <w:rPr>
          <w:lang w:val="sr-Latn-RS"/>
        </w:rPr>
        <w:t>službenika</w:t>
      </w:r>
      <w:r w:rsidRPr="0064355F">
        <w:rPr>
          <w:lang w:val="sr-Latn-RS"/>
        </w:rPr>
        <w:t xml:space="preserve"> Agencije za zaštitu životne sredine Kosova (A</w:t>
      </w:r>
      <w:r w:rsidR="006A5188" w:rsidRPr="0064355F">
        <w:rPr>
          <w:lang w:val="sr-Latn-RS"/>
        </w:rPr>
        <w:t>ZŠSK</w:t>
      </w:r>
      <w:r w:rsidRPr="0064355F">
        <w:rPr>
          <w:lang w:val="sr-Latn-RS"/>
        </w:rPr>
        <w:t>) u cilju izgradnje kapaciteta za praćenje, procenu, verifikaciju i izveštavanje o emisijama iz velikih postrojenja za sagorevanje.</w:t>
      </w:r>
    </w:p>
    <w:p w14:paraId="20603619" w14:textId="48F394DC" w:rsidR="00920E5C" w:rsidRPr="0064355F" w:rsidRDefault="00920E5C" w:rsidP="0006187F">
      <w:pPr>
        <w:pStyle w:val="Paragrafspiska"/>
        <w:jc w:val="both"/>
        <w:rPr>
          <w:rFonts w:ascii="Times New Roman" w:hAnsi="Times New Roman" w:cs="Times New Roman"/>
          <w:sz w:val="24"/>
          <w:szCs w:val="24"/>
        </w:rPr>
      </w:pPr>
    </w:p>
    <w:p w14:paraId="3B0A8E4C" w14:textId="77777777" w:rsidR="00E07D7A" w:rsidRPr="0064355F" w:rsidRDefault="00E07D7A" w:rsidP="00486DC1">
      <w:pPr>
        <w:pStyle w:val="Naslov1"/>
        <w:numPr>
          <w:ilvl w:val="0"/>
          <w:numId w:val="0"/>
        </w:numPr>
        <w:jc w:val="left"/>
        <w:rPr>
          <w:b w:val="0"/>
        </w:rPr>
        <w:sectPr w:rsidR="00E07D7A" w:rsidRPr="0064355F" w:rsidSect="00615B6E">
          <w:footerReference w:type="defaul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EB0D5A4" w14:textId="75BB6EF8" w:rsidR="007D1D84" w:rsidRPr="0064355F" w:rsidRDefault="006A5188" w:rsidP="001B19AE">
      <w:pPr>
        <w:pStyle w:val="Naslov1"/>
      </w:pPr>
      <w:bookmarkStart w:id="17" w:name="_Toc174005220"/>
      <w:bookmarkStart w:id="18" w:name="_Toc174006580"/>
      <w:r w:rsidRPr="0064355F">
        <w:lastRenderedPageBreak/>
        <w:t>PRILOG</w:t>
      </w:r>
      <w:r w:rsidR="00E07D7A" w:rsidRPr="0064355F">
        <w:t xml:space="preserve"> </w:t>
      </w:r>
      <w:r w:rsidR="00E07D7A" w:rsidRPr="0064355F">
        <w:rPr>
          <w:b w:val="0"/>
          <w:bCs/>
        </w:rPr>
        <w:t xml:space="preserve">- </w:t>
      </w:r>
      <w:r w:rsidR="00E07D7A" w:rsidRPr="0064355F">
        <w:t>MATRICA IZVEŠTAJA O NAPRETKU ZA PERIOD JANUAR-JUN</w:t>
      </w:r>
      <w:r w:rsidR="00CF2633" w:rsidRPr="0064355F">
        <w:t xml:space="preserve"> </w:t>
      </w:r>
      <w:r w:rsidR="004A664A" w:rsidRPr="0064355F">
        <w:t>2025.</w:t>
      </w:r>
      <w:bookmarkEnd w:id="17"/>
      <w:bookmarkEnd w:id="18"/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211"/>
        <w:gridCol w:w="697"/>
        <w:gridCol w:w="915"/>
        <w:gridCol w:w="982"/>
        <w:gridCol w:w="1049"/>
        <w:gridCol w:w="982"/>
        <w:gridCol w:w="949"/>
        <w:gridCol w:w="787"/>
        <w:gridCol w:w="1034"/>
        <w:gridCol w:w="1009"/>
        <w:gridCol w:w="56"/>
        <w:gridCol w:w="2800"/>
      </w:tblGrid>
      <w:tr w:rsidR="00571EAF" w:rsidRPr="0064355F" w14:paraId="1198C00F" w14:textId="77777777" w:rsidTr="00571EAF">
        <w:trPr>
          <w:trHeight w:val="48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F98FA8" w14:textId="119C9541" w:rsidR="00571EAF" w:rsidRPr="0064355F" w:rsidRDefault="00571EAF" w:rsidP="00571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PRAĆENJE SPROVOĐENJA </w:t>
            </w:r>
            <w:r w:rsidR="00F85C31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PSESK</w:t>
            </w: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-A ZA PERIOD </w:t>
            </w:r>
            <w:r w:rsidR="007C08D4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2022.</w:t>
            </w: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-</w:t>
            </w:r>
            <w:r w:rsidR="004A664A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2025.</w:t>
            </w: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: STRATEŠKI CILJ </w:t>
            </w: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8CC76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EAF" w:rsidRPr="0064355F" w14:paraId="5FD33525" w14:textId="77777777" w:rsidTr="00571EAF">
        <w:trPr>
          <w:trHeight w:val="885"/>
        </w:trPr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C0CB63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SO1: POBOLJŠANJE POUZDANOSTI SISTEMA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77A13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F26" w:rsidRPr="0064355F" w14:paraId="2B4A9E3D" w14:textId="77777777" w:rsidTr="0070195D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4AAAB3A" w14:textId="4B17FA61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277A14A" w14:textId="39C2D578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Strateški i specifični ciljevi, </w:t>
            </w:r>
            <w:r w:rsidR="00EF1AF1"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Pokazatelj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 akcije.</w:t>
            </w:r>
          </w:p>
        </w:tc>
        <w:tc>
          <w:tcPr>
            <w:tcW w:w="25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22739031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Osnovna vrednost 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4995955" w14:textId="77777777" w:rsidR="007E6C13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Kratkoročni cilj </w:t>
            </w:r>
          </w:p>
          <w:p w14:paraId="466F6864" w14:textId="7419C410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B048DD5" w14:textId="730F16F7" w:rsidR="00571EAF" w:rsidRPr="0064355F" w:rsidRDefault="00391394" w:rsidP="007E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Cilj prošle godine </w:t>
            </w:r>
            <w:r w:rsidR="008345A7"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2031.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8C2057D" w14:textId="75845A95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Rezultat</w:t>
            </w:r>
            <w:r w:rsidR="00571EAF"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94F7A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1EAF" w:rsidRPr="0064355F" w14:paraId="2B472AB3" w14:textId="77777777" w:rsidTr="00571EA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A5565C" w14:textId="48835EC8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9EEFD36" w14:textId="3B251F42" w:rsidR="00571EAF" w:rsidRPr="0064355F" w:rsidRDefault="00130011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STRATEŠKI CILJ 1: POBOLJŠANJE POUZDANOSTI SISTEMA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4C8C6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7F26" w:rsidRPr="0064355F" w14:paraId="1208F79C" w14:textId="77777777" w:rsidTr="0070195D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DD58A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5F809" w14:textId="7BC29C53" w:rsidR="00571EAF" w:rsidRPr="0064355F" w:rsidRDefault="007E6C13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Pokazatelj</w:t>
            </w:r>
            <w:r w:rsidR="00571EAF"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Indeks prosečnog trajanja prekida rada sistema (SAIDI).</w:t>
            </w:r>
          </w:p>
        </w:tc>
        <w:tc>
          <w:tcPr>
            <w:tcW w:w="25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8793023" w14:textId="2D009902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SAIDI: 80.83 </w:t>
            </w:r>
            <w:r w:rsidR="007E6C13"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časova</w:t>
            </w: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r w:rsidR="004A664A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godišnje</w:t>
            </w:r>
            <w:r w:rsidR="004A664A"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7E6C13"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2021.</w:t>
            </w: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387167" w14:textId="130B1E2C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SAIDI: 63 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časova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godišnje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34938" w14:textId="5C174B86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SAIDI: 51.84 </w:t>
            </w:r>
            <w:r w:rsidR="007E6C13"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časova</w:t>
            </w: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 godišnje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7FCCA2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407B8" w14:textId="69ADB1EB" w:rsidR="00571EAF" w:rsidRPr="0064355F" w:rsidRDefault="002B0109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17F26" w:rsidRPr="0064355F" w14:paraId="0B244BB0" w14:textId="77777777" w:rsidTr="0070195D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FE65F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5CE62" w14:textId="73BA85CA" w:rsidR="00571EAF" w:rsidRPr="0064355F" w:rsidRDefault="007E6C13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Pokazatelj</w:t>
            </w:r>
            <w:r w:rsidR="00571EAF"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Prosečna </w:t>
            </w:r>
            <w:r w:rsidR="00571EAF"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frekvencija prekida sistema (SAIFI).</w:t>
            </w:r>
          </w:p>
        </w:tc>
        <w:tc>
          <w:tcPr>
            <w:tcW w:w="2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7CB79D2" w14:textId="362DF368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SAIFI: 58.27 (</w:t>
            </w:r>
            <w:r w:rsidR="007E6C13"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2021.</w:t>
            </w: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40D1634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SAIFI: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9831D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SAIFI: 40.86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EC7A82E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BD2D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1EAF" w:rsidRPr="0064355F" w14:paraId="62EB2E32" w14:textId="77777777" w:rsidTr="00571EA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7860A7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I.1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20A59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Specifični cilj: Povećanje fleksibilnosti sistema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E1B5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7F26" w:rsidRPr="0064355F" w14:paraId="61FBD4F3" w14:textId="77777777" w:rsidTr="0070195D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3581558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537C15D" w14:textId="2576AE82" w:rsidR="00571EAF" w:rsidRPr="0064355F" w:rsidRDefault="00EF1AF1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Pokazatelj</w:t>
            </w:r>
          </w:p>
        </w:tc>
        <w:tc>
          <w:tcPr>
            <w:tcW w:w="2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701D1F2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Osnovna vrednost 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BDFFD7E" w14:textId="21EC464F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Kratkoročni cilj </w:t>
            </w:r>
            <w:r w:rsidR="007E6C13"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0C96AE" w14:textId="73804C95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Cilj prošle godine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2031.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FD44C3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3C57B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7F26" w:rsidRPr="0064355F" w14:paraId="186AE008" w14:textId="77777777" w:rsidTr="0070195D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25633E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5D09C1" w14:textId="38B1F7BD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Fleksibilan </w:t>
            </w: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nivo regulatornih kapaciteta.</w:t>
            </w:r>
          </w:p>
        </w:tc>
        <w:tc>
          <w:tcPr>
            <w:tcW w:w="25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4C0ED9" w14:textId="18E5B042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MW (</w:t>
            </w:r>
            <w:r w:rsidR="007E6C13"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2022.</w:t>
            </w: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E27D96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MW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F8CCC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MW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811EE01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14:paraId="76CD3EA1" w14:textId="77777777" w:rsidR="00D84D10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66FF2BE" w14:textId="77777777" w:rsidR="00D84D10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98A82E2" w14:textId="77777777" w:rsidR="00D84D10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9E7C6E1" w14:textId="77777777" w:rsidR="00D84D10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4D45CE9" w14:textId="77777777" w:rsidR="00D84D10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D2B16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7CBC" w:rsidRPr="0064355F" w14:paraId="42302AF4" w14:textId="77777777" w:rsidTr="0070195D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216241" w14:textId="372ACEA2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C33F2A" w14:textId="037D02A9" w:rsidR="00571EAF" w:rsidRPr="0064355F" w:rsidRDefault="00395B4E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Akcija</w:t>
            </w:r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5B0924" w14:textId="285E78D6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Krajnji rok</w:t>
            </w:r>
          </w:p>
        </w:tc>
        <w:tc>
          <w:tcPr>
            <w:tcW w:w="39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7AB6F1" w14:textId="15503D4E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Budžet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C927F8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Izvor finansiranja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0F4F00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Vodeća i prateć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a institucija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56A138" w14:textId="4D02F8D7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Proizvod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73C29A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Reference u 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dokumentima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FD5EF1" w14:textId="3012BB1F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Napredak u </w:t>
            </w:r>
            <w:r w:rsidR="00905FC3" w:rsidRPr="0064355F">
              <w:rPr>
                <w:rFonts w:ascii="Times New Roman" w:eastAsia="Times New Roman" w:hAnsi="Times New Roman" w:cs="Times New Roman"/>
                <w:b/>
                <w:bCs/>
              </w:rPr>
              <w:t>sprovođenju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 januar-jun </w:t>
            </w:r>
            <w:r w:rsidR="004A664A" w:rsidRPr="0064355F">
              <w:rPr>
                <w:rFonts w:ascii="Times New Roman" w:eastAsia="Times New Roman" w:hAnsi="Times New Roman" w:cs="Times New Roman"/>
                <w:b/>
                <w:bCs/>
              </w:rPr>
              <w:t>2025.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05FC3" w:rsidRPr="0064355F">
              <w:rPr>
                <w:rFonts w:ascii="Times New Roman" w:eastAsia="Times New Roman" w:hAnsi="Times New Roman" w:cs="Times New Roman"/>
                <w:b/>
                <w:bCs/>
              </w:rPr>
              <w:t>godine</w:t>
            </w:r>
          </w:p>
        </w:tc>
      </w:tr>
      <w:tr w:rsidR="004F3B08" w:rsidRPr="0064355F" w14:paraId="6320ACBB" w14:textId="77777777" w:rsidTr="0070195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C9F9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3529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4A340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A7CF20" w14:textId="359B8461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C1E8A7" w14:textId="694BE00A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07030B" w14:textId="621961A5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0C958F" w14:textId="2E414DEA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2839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FF0C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40A55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D402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25B2D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F3B08" w:rsidRPr="0064355F" w14:paraId="45233CB1" w14:textId="77777777" w:rsidTr="0070195D">
        <w:trPr>
          <w:trHeight w:val="6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F648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0DD78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D2E9E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C23E10" w14:textId="3D8E0D18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D3BD69" w14:textId="6D1FC96E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163792" w14:textId="3BBD5C02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5E8806" w14:textId="2BC77DB1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5198F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2527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1D4E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17491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19F90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F3B08" w:rsidRPr="0064355F" w14:paraId="1E60339A" w14:textId="77777777" w:rsidTr="0070195D">
        <w:trPr>
          <w:trHeight w:val="36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C22EC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4A2A8" w14:textId="6D8A8A1F" w:rsidR="00646F44" w:rsidRPr="0064355F" w:rsidRDefault="00646F44" w:rsidP="0064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Priprema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predizvodljivosti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izvodljivosti i tehničkih projekata za sistem za skladištenje </w:t>
            </w:r>
            <w:r w:rsidR="00D84D10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baterija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0E8AB" w14:textId="36ECA565" w:rsidR="00646F44" w:rsidRPr="0064355F" w:rsidRDefault="007E6C13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A8F3D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-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5C399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$1,180,837.00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D788C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$3,078,637.00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65848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$ 242,079.00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5AAF1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Donatori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BCD8C" w14:textId="7B45AC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MCC, </w:t>
            </w:r>
            <w:r w:rsidR="002134B1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ME, </w:t>
            </w:r>
            <w:r w:rsidR="004F3B08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KOSTT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94036" w14:textId="14D403BB" w:rsidR="00646F44" w:rsidRPr="0064355F" w:rsidRDefault="00646F44" w:rsidP="0064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Pripremljena tehnička dokumentaci</w:t>
            </w:r>
            <w:r w:rsidR="00527CBC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134FB" w14:textId="65C5555A" w:rsidR="00646F44" w:rsidRPr="0064355F" w:rsidRDefault="00646F44" w:rsidP="0064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84D10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2031.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44CC6" w14:textId="51A33EC4" w:rsidR="00A242FA" w:rsidRPr="0064355F" w:rsidRDefault="00CE1945" w:rsidP="007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Devedeset posto (90%)</w:t>
            </w:r>
          </w:p>
          <w:p w14:paraId="7EABCB67" w14:textId="77777777" w:rsidR="0010393B" w:rsidRPr="0064355F" w:rsidRDefault="0010393B" w:rsidP="007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2BA4118" w14:textId="400C26D2" w:rsidR="00646F44" w:rsidRPr="0064355F" w:rsidRDefault="00042207" w:rsidP="008E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Izrađen je nacrt konačnog dizajna sistema za skladištenje energije putem baterija i pripremljen je nacrt tenderskog dosijea za sisteme za skladištenje energije. Izrađena je i </w:t>
            </w:r>
            <w:r w:rsidR="00905FC3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procena aplikacija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pretkvalifikaciju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 tender za </w:t>
            </w:r>
            <w:r w:rsidR="00905FC3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izgradnju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sistema za skladištenje energije.</w:t>
            </w:r>
          </w:p>
        </w:tc>
      </w:tr>
      <w:tr w:rsidR="004F3B08" w:rsidRPr="0064355F" w14:paraId="418AAA39" w14:textId="77777777" w:rsidTr="0070195D">
        <w:trPr>
          <w:trHeight w:val="26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8546A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B4C90" w14:textId="77777777" w:rsidR="00646F44" w:rsidRPr="0064355F" w:rsidRDefault="00646F44" w:rsidP="0064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Tehnička i pravna podrška za integraciju baterija - MCC projekat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4F313" w14:textId="09E56804" w:rsidR="00646F44" w:rsidRPr="0064355F" w:rsidRDefault="007E6C13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DF3AD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-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9EA2C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$1,916,000.00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967EA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$2,034,667.00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42BE3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$2,045,667.00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47FEE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Donatori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C9D7D" w14:textId="161AA706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MCC, </w:t>
            </w:r>
            <w:r w:rsidR="002134B1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ME, </w:t>
            </w:r>
            <w:r w:rsidR="004F3B08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KOSTT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27796" w14:textId="5B08B890" w:rsidR="00646F44" w:rsidRPr="0064355F" w:rsidRDefault="00646F44" w:rsidP="0064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Pripremljena tehnička dokumenta</w:t>
            </w:r>
            <w:r w:rsidR="00527CBC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cija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291A8" w14:textId="60C821B0" w:rsidR="00646F44" w:rsidRPr="0064355F" w:rsidRDefault="00646F44" w:rsidP="0064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84D10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2031.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0C113" w14:textId="4A9A7143" w:rsidR="00A242FA" w:rsidRPr="0064355F" w:rsidRDefault="006300D0" w:rsidP="007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Osamdeset odsto (80%)</w:t>
            </w:r>
          </w:p>
          <w:p w14:paraId="21F7E63E" w14:textId="77777777" w:rsidR="008B200B" w:rsidRPr="0064355F" w:rsidRDefault="008B200B" w:rsidP="007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84A9D8A" w14:textId="15D34107" w:rsidR="00646F44" w:rsidRPr="0064355F" w:rsidRDefault="00646F44" w:rsidP="008E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Izrađeni su projektni zadaci i </w:t>
            </w:r>
            <w:r w:rsidR="000A27B0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acrti sporazuma sa </w:t>
            </w:r>
            <w:r w:rsidR="000A27B0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sprovođenjem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subjektima za izradu sekundarnih zakonskih propisa koji omogućavaju rad baterijskih sistema za skladištenje energije.</w:t>
            </w:r>
          </w:p>
        </w:tc>
      </w:tr>
      <w:tr w:rsidR="004F3B08" w:rsidRPr="0064355F" w14:paraId="17068590" w14:textId="77777777" w:rsidTr="0070195D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1268B" w14:textId="77777777" w:rsidR="00527CBC" w:rsidRPr="0064355F" w:rsidRDefault="00527CBC" w:rsidP="0052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09A88" w14:textId="2A838FD0" w:rsidR="00527CBC" w:rsidRPr="0064355F" w:rsidRDefault="00527CBC" w:rsidP="0052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Master plan razvoja gasa i procena uticaja na životnu sredinu (UŽS).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52CF2" w14:textId="7062E73F" w:rsidR="00527CBC" w:rsidRPr="0064355F" w:rsidRDefault="00527CBC" w:rsidP="0052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A1C14" w14:textId="7271C6B3" w:rsidR="00527CBC" w:rsidRPr="0064355F" w:rsidRDefault="00527CBC" w:rsidP="0052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750,000.00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3EEC7" w14:textId="74483E49" w:rsidR="00527CBC" w:rsidRPr="0064355F" w:rsidRDefault="00527CBC" w:rsidP="0052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750,000.00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C1504" w14:textId="77777777" w:rsidR="00527CBC" w:rsidRPr="0064355F" w:rsidRDefault="00527CBC" w:rsidP="0052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 -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F3AA8" w14:textId="77777777" w:rsidR="00527CBC" w:rsidRPr="0064355F" w:rsidRDefault="00527CBC" w:rsidP="0052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A10C7" w14:textId="77777777" w:rsidR="00527CBC" w:rsidRPr="0064355F" w:rsidRDefault="00527CBC" w:rsidP="0052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WBIF / IPF9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282A8" w14:textId="16E8A4DD" w:rsidR="00527CBC" w:rsidRPr="0064355F" w:rsidRDefault="002134B1" w:rsidP="0052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</w:t>
            </w:r>
            <w:r w:rsidR="00527CBC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MŽSPPI</w:t>
            </w:r>
            <w:r w:rsidR="00527CBC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, MI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="00527CBC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B0AC5" w14:textId="06535629" w:rsidR="00527CBC" w:rsidRPr="0064355F" w:rsidRDefault="00527CBC" w:rsidP="0052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Završen Master plan gasa i procena uticaja na životnu sredinu (EIA).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91A0F" w14:textId="29BDC6AE" w:rsidR="00527CBC" w:rsidRPr="0064355F" w:rsidRDefault="00527CBC" w:rsidP="0052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979E7" w14:textId="65E29150" w:rsidR="00527CBC" w:rsidRPr="0064355F" w:rsidRDefault="00527CBC" w:rsidP="0052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Završen je </w:t>
            </w:r>
            <w:r w:rsidR="00DD1A39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2023. 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F3B08" w:rsidRPr="0064355F" w14:paraId="3B43E7A6" w14:textId="77777777" w:rsidTr="0070195D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E957D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9D4BF" w14:textId="79CFE620" w:rsidR="00646F44" w:rsidRPr="0064355F" w:rsidRDefault="00646F44" w:rsidP="0064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Studija izvodljivosti za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Interkonekcijski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gasovod Severna Makedonija – Kosovo.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37270" w14:textId="663B2F9E" w:rsidR="00646F44" w:rsidRPr="0064355F" w:rsidRDefault="007E6C13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9FE5D" w14:textId="7E892344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€ 325,000.00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02129" w14:textId="2C6D775E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€ 325,000.00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4E088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 -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6BBEA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3D93F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WBIF / IPF9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22C8A" w14:textId="4B8A547A" w:rsidR="00646F44" w:rsidRPr="0064355F" w:rsidRDefault="0039139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</w:t>
            </w:r>
            <w:r w:rsidR="00646F44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MŽSPPI</w:t>
            </w:r>
            <w:r w:rsidR="00646F44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, MI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="00646F44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37E21" w14:textId="1D79754C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Studija izvodljivosti završena.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A8337" w14:textId="56ACC024" w:rsidR="00646F44" w:rsidRPr="0064355F" w:rsidRDefault="00646F44" w:rsidP="0064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84D10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2031.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8BCE9" w14:textId="1A0BD700" w:rsidR="00646F44" w:rsidRPr="0064355F" w:rsidRDefault="00646F44" w:rsidP="008E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Završen je </w:t>
            </w:r>
            <w:r w:rsidR="00DD1A39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2023. godine</w:t>
            </w:r>
            <w:r w:rsidR="006A5188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F3B08" w:rsidRPr="0064355F" w14:paraId="431A71FC" w14:textId="77777777" w:rsidTr="0070195D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A9D34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D9BD3" w14:textId="37BC5AA7" w:rsidR="00646F44" w:rsidRPr="0064355F" w:rsidRDefault="00646F44" w:rsidP="0064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Studija za identifikaciju potencijala geotermalne energije na Kosovu.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FAF85" w14:textId="244D7376" w:rsidR="00646F44" w:rsidRPr="0064355F" w:rsidRDefault="007E6C13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D27D5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DD7CB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C502E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CA87E" w14:textId="764F9A5C" w:rsidR="00646F44" w:rsidRPr="0064355F" w:rsidRDefault="00527CBC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€       750,000.00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88A99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Donatori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9B21F" w14:textId="77777777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3455A" w14:textId="5795B0CF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Sprovedena studija izvodljivosti.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8625E" w14:textId="7E4D44B2" w:rsidR="00646F44" w:rsidRPr="0064355F" w:rsidRDefault="00646F44" w:rsidP="0064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84D10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2031.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B26D5D" w14:textId="6DDCD563" w:rsidR="00646F44" w:rsidRPr="0064355F" w:rsidRDefault="00646F44" w:rsidP="0064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5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71EAF" w:rsidRPr="0064355F" w14:paraId="7959A9F7" w14:textId="77777777" w:rsidTr="00571EA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93AB48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I.2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1EE81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Specifični cilj projekta: Modernizacija mreža i smanjenje gubitaka u mreži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0BA624B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355F">
              <w:rPr>
                <w:rFonts w:ascii="Calibri" w:eastAsia="Times New Roman" w:hAnsi="Calibri" w:cs="Calibri"/>
              </w:rPr>
              <w:t> </w:t>
            </w:r>
          </w:p>
        </w:tc>
      </w:tr>
      <w:tr w:rsidR="00417F26" w:rsidRPr="0064355F" w14:paraId="43B31AAE" w14:textId="77777777" w:rsidTr="0070195D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FDA56F2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646899B" w14:textId="17D29040" w:rsidR="00571EAF" w:rsidRPr="0064355F" w:rsidRDefault="00EF1AF1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</w:p>
        </w:tc>
        <w:tc>
          <w:tcPr>
            <w:tcW w:w="2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B19FDB7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Osnovna vrednost 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F271970" w14:textId="760C481E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Kratkoročni cilj </w:t>
            </w:r>
            <w:r w:rsidR="007E6C13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07D43A" w14:textId="55B4CE07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Cilj prošle godine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2031.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65765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4797CBD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355F">
              <w:rPr>
                <w:rFonts w:ascii="Calibri" w:eastAsia="Times New Roman" w:hAnsi="Calibri" w:cs="Calibri"/>
              </w:rPr>
              <w:t> </w:t>
            </w:r>
          </w:p>
        </w:tc>
      </w:tr>
      <w:tr w:rsidR="00417F26" w:rsidRPr="0064355F" w14:paraId="00F281B1" w14:textId="77777777" w:rsidTr="0070195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34BA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9C8E5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Gubici u distribuciji</w:t>
            </w:r>
          </w:p>
        </w:tc>
        <w:tc>
          <w:tcPr>
            <w:tcW w:w="2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ACA567" w14:textId="6E3A5CC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18.48%  [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03521A57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13.3 %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93EBD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9%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78CF46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3B48F84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355F">
              <w:rPr>
                <w:rFonts w:ascii="Calibri" w:eastAsia="Times New Roman" w:hAnsi="Calibri" w:cs="Calibri"/>
              </w:rPr>
              <w:t> </w:t>
            </w:r>
          </w:p>
        </w:tc>
      </w:tr>
      <w:tr w:rsidR="00417F26" w:rsidRPr="0064355F" w14:paraId="3AFA6321" w14:textId="77777777" w:rsidTr="0070195D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6026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76C524" w14:textId="2EADC71E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Količina promenljivog kapaciteta </w:t>
            </w:r>
            <w:r w:rsidR="00391394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OIE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, da je mreža u stanju da odgovara / integriše</w:t>
            </w:r>
          </w:p>
        </w:tc>
        <w:tc>
          <w:tcPr>
            <w:tcW w:w="2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D75E366" w14:textId="1AD79D0A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147 MW [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EA19A6A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500 MW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DD6F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2000 MW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1C57F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A68365C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4355F">
              <w:rPr>
                <w:rFonts w:ascii="Calibri" w:eastAsia="Times New Roman" w:hAnsi="Calibri" w:cs="Calibri"/>
              </w:rPr>
              <w:t> </w:t>
            </w:r>
          </w:p>
        </w:tc>
      </w:tr>
      <w:tr w:rsidR="00527CBC" w:rsidRPr="0064355F" w14:paraId="77F81F5E" w14:textId="77777777" w:rsidTr="0070195D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B9BE8F" w14:textId="1122E777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D03810" w14:textId="4A8D0289" w:rsidR="00571EAF" w:rsidRPr="0064355F" w:rsidRDefault="00395B4E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Akcija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03758F" w14:textId="4DF1F755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Krajnji rok</w:t>
            </w:r>
          </w:p>
        </w:tc>
        <w:tc>
          <w:tcPr>
            <w:tcW w:w="39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C1CE2F" w14:textId="0C5E6946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Budžet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0FB5BE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Izvor finansiranja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BC1D9A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Vodeća i prateća institucija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C88638" w14:textId="5C4391EB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Proizvod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D1F40C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Reference u dokumentima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8C6B2A" w14:textId="1240354B" w:rsidR="00571EAF" w:rsidRPr="0064355F" w:rsidRDefault="004A5EF7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Napredak u </w:t>
            </w:r>
            <w:r w:rsidR="00A80165"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sprovođenju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januar-jun </w:t>
            </w:r>
            <w:r w:rsidR="004A664A"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2025.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80165"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godine</w:t>
            </w:r>
          </w:p>
        </w:tc>
      </w:tr>
      <w:tr w:rsidR="004F3B08" w:rsidRPr="0064355F" w14:paraId="6FA5D910" w14:textId="77777777" w:rsidTr="0070195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855C2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EA9A6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F2BA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5AAAAB" w14:textId="4EB1319D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522568" w14:textId="063124B7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71E4F8" w14:textId="6E9C0342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69BDEF" w14:textId="1A14BAEE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84A60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A027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D74E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AD4C6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1B0BC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F3B08" w:rsidRPr="0064355F" w14:paraId="2CE20305" w14:textId="77777777" w:rsidTr="0070195D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52091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F27EE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B935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80BEE1" w14:textId="71DCB31E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27C01E" w14:textId="5B147E71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01F479" w14:textId="6F8FE402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0C9AED" w14:textId="5D11F348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04F31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ABD26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75D68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72956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997D0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C1516" w:rsidRPr="0064355F" w14:paraId="5B707960" w14:textId="77777777" w:rsidTr="0070195D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9AA56A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8C21A" w14:textId="02B8F495" w:rsidR="004C1516" w:rsidRPr="0064355F" w:rsidRDefault="004C1516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Razvoj sistema (SCADA &amp; telekomunikacije).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1D265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Godišnje </w:t>
            </w:r>
          </w:p>
          <w:p w14:paraId="58CB3D2E" w14:textId="20687BB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časova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6F078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-  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3EE82" w14:textId="0A01B98B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5,684,923.33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1AC92" w14:textId="1728BBD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4,063,814.93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6317B" w14:textId="6D883EF8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1,863,702.50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530B8" w14:textId="1CAD2FD6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KOSTT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AF867" w14:textId="11B95D35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KOSTT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88778" w14:textId="0983FC94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Ispunjeni su zahtevi ENTSO-E.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1F0B1" w14:textId="634BBAD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35BCF9" w14:textId="4D13836C" w:rsidR="004C1516" w:rsidRPr="0064355F" w:rsidRDefault="004C1516" w:rsidP="004C1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Deset odsto  </w:t>
            </w:r>
            <w:r w:rsidRPr="006435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(10%)</w:t>
            </w:r>
          </w:p>
          <w:p w14:paraId="4715C1E0" w14:textId="372E5B9A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Ovaj projekat spada u grupu projekata koji će se realizovati sa nemačkom bankom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KfW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faza VII. Ugovor o konsultantskim uslugama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potpisan je 26. novembra 2024. Godina za pripremu tehničke specifikacije i tenderskog dosijea. Pripremljen je završni dokument Početni izveštaj i nacrt dokumenta Predstojeći otvoreni pozivi.</w:t>
            </w:r>
          </w:p>
          <w:p w14:paraId="2610E4D0" w14:textId="7126B5F5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51F7342" w14:textId="5295A389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AFA2A6" w14:textId="54A2F2D5" w:rsidR="004C1516" w:rsidRPr="0064355F" w:rsidRDefault="004C1516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Deset odsto (10%)</w:t>
            </w:r>
          </w:p>
          <w:p w14:paraId="0A4AC46D" w14:textId="77777777" w:rsidR="004C1516" w:rsidRPr="0064355F" w:rsidRDefault="004C1516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05B11D1" w14:textId="475AB699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Ovaj projekat spada u grupu projekata koji će se realizovati sa Nemačkom bankom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KfW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faza VII. Ugovor o konsultantskim uslugama potpisan je 26. novembra 2024. godine za pripremu tehničke specifikacije i tenderskog dosijea. Pripremljen je završni dokument Početni izveštaj i nacrt dokumenta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Upcoming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open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Calls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D9DF8B5" w14:textId="77777777" w:rsidR="004C1516" w:rsidRPr="0064355F" w:rsidRDefault="004C1516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2B97EF" w14:textId="605C6D6C" w:rsidR="004C1516" w:rsidRPr="0064355F" w:rsidRDefault="004C1516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1516" w:rsidRPr="0064355F" w14:paraId="16E733E6" w14:textId="77777777" w:rsidTr="0070195D">
        <w:trPr>
          <w:trHeight w:val="7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D31A5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62B49" w14:textId="77777777" w:rsidR="004C1516" w:rsidRPr="0064355F" w:rsidRDefault="004C1516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Ojačanje i rehabilitacija postojeće elektroenergetske mreže (OST)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B9717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Godišnje </w:t>
            </w:r>
          </w:p>
          <w:p w14:paraId="0E0746AC" w14:textId="16A04F5C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časova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EDBF9" w14:textId="59157821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€ 2,400,000.00 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9AEBB" w14:textId="68A5C8C5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2,260,000.00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11C85" w14:textId="0FA2B673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1,063,542.37 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FD2F7" w14:textId="1863FEB8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1,354,203.39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D0D7E" w14:textId="2955EF0E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KOSTT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B8AB8" w14:textId="5CBB3AAF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KOSTT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5768E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Povećana pouzdanost i sigurnost mreže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20AE4" w14:textId="4FD1CD1A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B8AD90" w14:textId="77777777" w:rsidR="004C1516" w:rsidRPr="0064355F" w:rsidRDefault="004C1516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1516" w:rsidRPr="0064355F" w14:paraId="4894AAC8" w14:textId="77777777" w:rsidTr="0070195D">
        <w:trPr>
          <w:trHeight w:val="14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BEB614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BE798" w14:textId="1B97AADB" w:rsidR="004C1516" w:rsidRPr="0064355F" w:rsidRDefault="00AF0D80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Izgradnja</w:t>
            </w:r>
            <w:r w:rsidR="004C1516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novih prenosnih kapaciteta i transformativnih kapaciteta – </w:t>
            </w:r>
            <w:proofErr w:type="spellStart"/>
            <w:r w:rsidR="004C1516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Shunt-variable</w:t>
            </w:r>
            <w:proofErr w:type="spellEnd"/>
            <w:r w:rsidR="004C1516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1516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reactor</w:t>
            </w:r>
            <w:proofErr w:type="spellEnd"/>
            <w:r w:rsidR="004C1516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(100 </w:t>
            </w:r>
            <w:proofErr w:type="spellStart"/>
            <w:r w:rsidR="004C1516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MWAr</w:t>
            </w:r>
            <w:proofErr w:type="spellEnd"/>
            <w:r w:rsidR="004C1516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09341" w14:textId="199BDAB8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DE0B4" w14:textId="068F8276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€                   -  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24D27" w14:textId="0D4CF51E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1,000,000.00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6C35C" w14:textId="0AFF9C75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 -  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A1735F" w14:textId="2D4F0B0F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3,449,152.54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3B9E8" w14:textId="17010201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KOSTT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FF48A" w14:textId="247E600C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KOSTT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52455" w14:textId="4013DFD0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Povećana pouzdanost i sigurnost mreže. Ispunjavanje zahteva mrežnog koda.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F8E52" w14:textId="7206FE41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B3B788" w14:textId="77777777" w:rsidR="004C1516" w:rsidRPr="0064355F" w:rsidRDefault="004C1516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1516" w:rsidRPr="0064355F" w14:paraId="2D377D52" w14:textId="77777777" w:rsidTr="0070195D">
        <w:trPr>
          <w:trHeight w:val="296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89459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FDE11" w14:textId="29EDEC8D" w:rsidR="004C1516" w:rsidRPr="0064355F" w:rsidRDefault="004C1516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Podrška opterećenja / Novi 110/10 (20)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kV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čvorovi (OST &amp; OSD) (SS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Katrioti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Uroševac 3 i TS Mališevo) (SS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Ka</w:t>
            </w:r>
            <w:r w:rsidR="000A7C98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triot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Uroševac 3 i TS Mališevo.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686B1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Godišnje </w:t>
            </w:r>
          </w:p>
          <w:p w14:paraId="20C713CF" w14:textId="3F8CDF63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časova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FB9AE" w14:textId="7F80436F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€ 3,000,000.00 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2F4A4" w14:textId="26B1CF7B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5,061,277.00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02CC4" w14:textId="31B69FB3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10,094,931.52 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823858" w14:textId="567E44FF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832F9" w14:textId="5FD0C3A6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KOSTT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884B4" w14:textId="068F54A2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KOSTT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218EF" w14:textId="03211B8C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Smanjenje gubitaka snage i neiskorišćene energije.</w:t>
            </w:r>
          </w:p>
          <w:p w14:paraId="1B57A5D0" w14:textId="631D40B3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0EDCA" w14:textId="044408E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5BA900" w14:textId="04A219C8" w:rsidR="004C1516" w:rsidRPr="0064355F" w:rsidRDefault="004C1516" w:rsidP="004C1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Osamdeset pet odsto (85%)</w:t>
            </w:r>
          </w:p>
          <w:p w14:paraId="59C3CB3F" w14:textId="77777777" w:rsidR="004C1516" w:rsidRPr="0064355F" w:rsidRDefault="004C1516" w:rsidP="004C1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5A27F42" w14:textId="77777777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Završen je projekat "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Izgadnja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PS 110/35/10(20)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kV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Uroševac 3".  </w:t>
            </w:r>
          </w:p>
          <w:p w14:paraId="492F0DF6" w14:textId="0B3D5495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Prema važećim zakonima, pripremljen je Projekat PS Mališevo, kompanija dizajniranja je dobila uslove izgradnje, čeka se i građevinska dozvola od MŽSPPI. Tehnička specifikacija je pripremljena i otvoren je tenderski period.</w:t>
            </w:r>
          </w:p>
        </w:tc>
      </w:tr>
      <w:tr w:rsidR="004C1516" w:rsidRPr="0064355F" w14:paraId="10DF4E1F" w14:textId="77777777" w:rsidTr="0070195D">
        <w:trPr>
          <w:trHeight w:val="18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F7C4B" w14:textId="35BF3A42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I.2.5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02A5A" w14:textId="77777777" w:rsidR="004C1516" w:rsidRPr="0064355F" w:rsidRDefault="004C1516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35/10(20)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kV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Srednjonaponski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projekti 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6C4AE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Godišnje </w:t>
            </w:r>
          </w:p>
          <w:p w14:paraId="40C5A81F" w14:textId="46244338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časova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F768A" w14:textId="443E014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€ 9,247,735.33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37EB3" w14:textId="0AA9FEE3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13,216,444.00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06887" w14:textId="4E294303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8,800,613.00 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6D22C" w14:textId="3C4BDA90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7,232,203.00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98E45" w14:textId="5027313F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KEDS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3ADF3" w14:textId="2F6F1DE3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KEDS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54F04" w14:textId="7C1A743D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Poboljšanje kvaliteta snabdevanja električnom energijom.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54384" w14:textId="14B95B49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 Plan razvoja i investicija operatora distributiv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nog sistema za period 2023.-2027. godine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9EF4D6B" w14:textId="28E84AC5" w:rsidR="004C1516" w:rsidRPr="0064355F" w:rsidRDefault="004C1516" w:rsidP="004C1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Šezdeset dva odsto (62%)</w:t>
            </w:r>
          </w:p>
          <w:p w14:paraId="6708FAC3" w14:textId="3EDE72F0" w:rsidR="004C1516" w:rsidRPr="0064355F" w:rsidRDefault="004C1516" w:rsidP="004C15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4,507,520.08 €    </w:t>
            </w:r>
          </w:p>
          <w:p w14:paraId="09C91D06" w14:textId="77777777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Planirani projekti za investicije na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srednjenaponskom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nivou su dizajnirani da omoguće sigurno i neprekidno napajanje potrošača. U 2025. godini investicioni projekti u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srednjenaponsku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mrežu realizovani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su na gotovo čitavoj teritoriji zemlje, sa posebnim osvrtom na regione: Priština, Glogovac, Kosovo-Polje, Podujevo, Đakovica,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Mališevvo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orahovac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Peć, Dečane, Uroševac, Prizren, Suva Reka,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Vitina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Vučitrn. Do sada je postignut značajan napredak u realizaciji ovih projekata. Prednosti ovih projekata su:</w:t>
            </w:r>
          </w:p>
          <w:p w14:paraId="1B00BCFE" w14:textId="065F22B6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Obezbeđivanje i povećanje kvaliteta snabdevanja električnom energijom;</w:t>
            </w:r>
          </w:p>
          <w:p w14:paraId="4184A88A" w14:textId="2F34E34D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Eliminacija uskih grla;</w:t>
            </w:r>
          </w:p>
          <w:p w14:paraId="2713523B" w14:textId="77777777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Smanjenje tehničkih gubitaka;</w:t>
            </w:r>
          </w:p>
          <w:p w14:paraId="451D15D7" w14:textId="21780E1A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Poboljšanje pada napona do krajnjeg potrošača;</w:t>
            </w:r>
          </w:p>
          <w:p w14:paraId="14134C94" w14:textId="03501D85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Povećanje kapaciteta nosivosti (novih prodajnih mesta) u odnosu na povećanje opterećenja;</w:t>
            </w:r>
          </w:p>
          <w:p w14:paraId="5B8CD822" w14:textId="185EC836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Rehabilitacija i modernizacija linija i trafostanica/postrojenja;</w:t>
            </w:r>
          </w:p>
          <w:p w14:paraId="205EC24B" w14:textId="723B62EF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Topološka rehabilitacija linija zbog starosti i opasnosti;</w:t>
            </w:r>
          </w:p>
          <w:p w14:paraId="347BEA7B" w14:textId="26CDCE6A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Priprema linija za prelazak na 20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nivelizaciju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[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kV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].</w:t>
            </w:r>
          </w:p>
        </w:tc>
      </w:tr>
      <w:tr w:rsidR="004C1516" w:rsidRPr="0064355F" w14:paraId="10EF0546" w14:textId="77777777" w:rsidTr="0070195D">
        <w:trPr>
          <w:trHeight w:val="7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C4C224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I.2.6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8D8D6" w14:textId="6190CD5F" w:rsidR="004C1516" w:rsidRPr="0064355F" w:rsidRDefault="004C1516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Mali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naponski projekti 0,4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C5866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Godišnje </w:t>
            </w:r>
          </w:p>
          <w:p w14:paraId="6F8369F3" w14:textId="19480E9C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časova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471CF" w14:textId="4B0CD2F0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€ 6,086,381.41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EE6A5" w14:textId="4D270A80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7,025,149.00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3169E" w14:textId="116BCF00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13,795,229.00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77A99" w14:textId="06177B65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9,677,563.00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71933" w14:textId="71D3A098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KEDS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E764C" w14:textId="427ED0F3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KEDS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D00FF" w14:textId="09F44060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Poboljšanje kvaliteta snabdevanja električnom energijom.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C2A1A" w14:textId="3020DBF0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Plan razvoja i investicija operatora distributivnog sistema za period 2023.-2027. godine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D8DAE92" w14:textId="2F3705F9" w:rsidR="004C1516" w:rsidRPr="0064355F" w:rsidRDefault="004C1516" w:rsidP="004C1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Trideset pet odsto (35%) </w:t>
            </w:r>
          </w:p>
          <w:p w14:paraId="39D05C77" w14:textId="718CF660" w:rsidR="004C1516" w:rsidRPr="0064355F" w:rsidRDefault="004C1516" w:rsidP="004C1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F20B360" w14:textId="3794E9D4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3,404,583.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12€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Investicije u niskonaponsku mrežu orijentisana su ka jačanju postojeće mreže i proširenju mreže. Projekti "Nove veze", koje sprovodi OSD, takođe su klasifikovani kao deo proširenja mreže. Do sada je postignut značajan napredak u realizaciji projekata, sa završetkom značajnog broja njih. U 2025. godini investicioni projekti u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srednjenaponsku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mrežu realizovani su na gotovo čitavoj teritoriji zemlje, sa posebnim osvrtom na regione: Priština, Glogovac, Obilić, Podujevo,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Žakovica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Mališevo,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Orahovac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Peć,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Dećane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Klina,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Uroševacc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Lipljan,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Štimlje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Prizren, Suva Reka, Severna Mitrovica, Vučitrn,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Srbica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Vitina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 Novi transformatori u oblastima koje su potrebne investicije;</w:t>
            </w:r>
          </w:p>
          <w:p w14:paraId="42BCBEA6" w14:textId="77777777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Zamena postojećih transformatora novim; za povećanje kapaciteta;</w:t>
            </w:r>
          </w:p>
          <w:p w14:paraId="138F0975" w14:textId="77777777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Rehabilitacija niskonaponske mreže;</w:t>
            </w:r>
          </w:p>
          <w:p w14:paraId="21AE8325" w14:textId="77777777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Jačanje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srednjenaponske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mreže u okviru projekata TU, u skladu sa budućim planovima TM izlaza;</w:t>
            </w:r>
          </w:p>
          <w:p w14:paraId="7B97FDC2" w14:textId="716A9A4D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Proširenje TM mreže za priključenje novih transformatora.</w:t>
            </w:r>
          </w:p>
        </w:tc>
      </w:tr>
      <w:tr w:rsidR="004C1516" w:rsidRPr="0064355F" w14:paraId="3C578E1A" w14:textId="77777777" w:rsidTr="0070195D">
        <w:trPr>
          <w:trHeight w:val="7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A0368" w14:textId="0E133EBE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'I.2.7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94185" w14:textId="702FD093" w:rsidR="004C1516" w:rsidRPr="0064355F" w:rsidRDefault="004C1516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Pametna mreža</w:t>
            </w:r>
          </w:p>
          <w:p w14:paraId="6151705D" w14:textId="06112251" w:rsidR="004C1516" w:rsidRPr="0064355F" w:rsidRDefault="004C1516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(Smart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Grid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059C2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Godišnje </w:t>
            </w:r>
          </w:p>
          <w:p w14:paraId="0C5099D9" w14:textId="0AE0131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časova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AC931" w14:textId="728C2B72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14,513.93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5087D" w14:textId="6AE1EB5B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2,413,843.29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352EA" w14:textId="6E5BA99C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3,444,527.64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0BAFE" w14:textId="45877DF3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1,765,071.00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26FE6" w14:textId="5235E8CD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KEDS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BAB4A" w14:textId="636D52A3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KEDS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6FC77" w14:textId="5BD71C6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Poboljšanje kvaliteta snabdevanja električnom energijom.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03F1E" w14:textId="5D4F1FD2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  Plan razvoja i investicija operatora distributivnog sistema za period 2023.-2027. godine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90B287" w14:textId="3D16B019" w:rsidR="004C1516" w:rsidRPr="0064355F" w:rsidRDefault="004C1516" w:rsidP="004C1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Dvadeset četiri odsto (24%)</w:t>
            </w:r>
          </w:p>
          <w:p w14:paraId="184B2B5E" w14:textId="77777777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4D58FA9" w14:textId="5FF50F00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432,114.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23€              </w:t>
            </w:r>
          </w:p>
          <w:p w14:paraId="46B22C3A" w14:textId="396CFF74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Tokom 2025. godine izvršena su značajna ulaganja u distributivnu mrežu električne energije, što je značajno uticalo na povećanje operativne efikasnosti i pouzdanosti snabdevanja potrošača. Fokus ovih investicija bila je tehnološka modernizacija mreže kroz sprovođenje pametnih uređaja na glavnim distributivnim čvorovima, koji omogućavaju nadzor i kontrolu mrežnih parametara u realnom vremenu. Pored toga, SCADA sistem je proširen i instaliran u značajnom broju objekata, što je povećalo kapacitete praćenja, analize i brze intervencije u slučaju kvarova. </w:t>
            </w:r>
            <w:r w:rsidRPr="006435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</w:r>
            <w:r w:rsidRPr="006435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Zamena i modernizacija šema zaštite zamenom postojećih zaštita naprednom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relejnom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zaštitom u podstanicama doprinela je poboljšanju bezbednosti i selektivnosti zaštitnih intervencija. Još jedan strateški korak bila je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početna i projektna faza jednog od najznačajnijih projekata digitalne transformacije mreže: sprovođenje sistema GIS (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Geographic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Information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System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koji će omogućiti preciznije upravljanje, optimizovano planiranje i efikasniju intervenciju u mreži kroz detaljnu i sinhronizovanu vizualizaciju svih sredstava.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Sve ove preduzete investicije direktno su uticale na poboljšanje praćenja mreže, bržu identifikaciju i lokalizaciju kvarova, kao i povećanje ukupnih učinka distributivnog sistema.</w:t>
            </w:r>
          </w:p>
        </w:tc>
      </w:tr>
      <w:tr w:rsidR="001B7860" w:rsidRPr="0064355F" w14:paraId="14713119" w14:textId="77777777" w:rsidTr="0070195D">
        <w:trPr>
          <w:trHeight w:val="37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F35DE8" w14:textId="77777777" w:rsidR="001B7860" w:rsidRPr="0064355F" w:rsidRDefault="001B7860" w:rsidP="001B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I.2.8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63451" w14:textId="34DB55E3" w:rsidR="001B7860" w:rsidRPr="0064355F" w:rsidRDefault="00AF0D80" w:rsidP="001B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Ugradnja </w:t>
            </w:r>
            <w:r w:rsidR="001B7860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brojila.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F7655" w14:textId="77777777" w:rsidR="001B7860" w:rsidRPr="0064355F" w:rsidRDefault="001B7860" w:rsidP="001B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Godišnje </w:t>
            </w:r>
          </w:p>
          <w:p w14:paraId="3FF1F99E" w14:textId="571B6761" w:rsidR="001B7860" w:rsidRPr="0064355F" w:rsidRDefault="001B7860" w:rsidP="001B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časova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1F558" w14:textId="3BE4C424" w:rsidR="001B7860" w:rsidRPr="0064355F" w:rsidRDefault="001B7860" w:rsidP="001B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€ 1,612,032.60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E0DBC" w14:textId="4AE0EF5D" w:rsidR="001B7860" w:rsidRPr="0064355F" w:rsidRDefault="001B7860" w:rsidP="001B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4,000,015.00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193D4" w14:textId="1CB875C9" w:rsidR="001B7860" w:rsidRPr="0064355F" w:rsidRDefault="001B7860" w:rsidP="001B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2,494,035.00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0FE24" w14:textId="5F4AB00D" w:rsidR="001B7860" w:rsidRPr="0064355F" w:rsidRDefault="001B7860" w:rsidP="001B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2,111,940.00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2788D" w14:textId="76210522" w:rsidR="001B7860" w:rsidRPr="0064355F" w:rsidRDefault="001B7860" w:rsidP="001B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KEDS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7B261" w14:textId="79255DE3" w:rsidR="001B7860" w:rsidRPr="0064355F" w:rsidRDefault="001B7860" w:rsidP="001B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KEDS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32880" w14:textId="6A331164" w:rsidR="001B7860" w:rsidRPr="0064355F" w:rsidRDefault="001B7860" w:rsidP="001B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Smanjenje komercijalnih gubitaka za period 2022.-2025. Predviđa se da će biti instalirano oko 121.782 novih brojila - novih priključaka, dok se predviđa da će oko 86.578 metara biti zamenjeno.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59AAE" w14:textId="3B0D2ECB" w:rsidR="001B7860" w:rsidRPr="0064355F" w:rsidRDefault="001B7860" w:rsidP="001B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Plan razvoja i investicija operatora distributivnog sistema za period 2023.-2027. godine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11BD96E" w14:textId="518463EB" w:rsidR="001B7860" w:rsidRPr="0064355F" w:rsidRDefault="001B7860" w:rsidP="001B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Nula </w:t>
            </w:r>
            <w:r w:rsidR="002B42C4" w:rsidRPr="0064355F">
              <w:rPr>
                <w:rFonts w:ascii="Times New Roman" w:hAnsi="Times New Roman" w:cs="Times New Roman"/>
                <w:b/>
                <w:sz w:val="18"/>
                <w:szCs w:val="18"/>
              </w:rPr>
              <w:t>odsto</w:t>
            </w:r>
            <w:r w:rsidRPr="00643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(0%)</w:t>
            </w:r>
          </w:p>
        </w:tc>
      </w:tr>
      <w:tr w:rsidR="004C1516" w:rsidRPr="0064355F" w14:paraId="6E8E5757" w14:textId="77777777" w:rsidTr="0070195D">
        <w:trPr>
          <w:trHeight w:val="17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54148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I.2.9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63FA6" w14:textId="56A05D9B" w:rsidR="004C1516" w:rsidRPr="0064355F" w:rsidRDefault="004C1516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Kapitalne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institicije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informacione tehnologije.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66F86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Godišnje </w:t>
            </w:r>
          </w:p>
          <w:p w14:paraId="1DD48AA4" w14:textId="64D12951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časova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7660E" w14:textId="59ED387A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896,096.30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314EE" w14:textId="1B5A794F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1,544,650.00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6D364" w14:textId="25A39E54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2,147,700.00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87081" w14:textId="73F5BFA9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1,331,800.00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0E226" w14:textId="094593BD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KEDS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0AB1D" w14:textId="62AE41C1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KEDS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1532D" w14:textId="48350B3E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Bezbedan rad OSD.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09E71" w14:textId="49F98BBB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  Plan razvoja i investicija operatora distributivnog sistema za period 2023.-2027. godine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C416006" w14:textId="01106B82" w:rsidR="004C1516" w:rsidRPr="0064355F" w:rsidRDefault="004C1516" w:rsidP="004C1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Pedeset dva odsto (52%) </w:t>
            </w:r>
          </w:p>
          <w:p w14:paraId="6DF91AD0" w14:textId="77777777" w:rsidR="004C1516" w:rsidRPr="0064355F" w:rsidRDefault="004C1516" w:rsidP="004C1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2AB3EA0" w14:textId="1F42FFE4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688,814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.48€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Projekti informacionih tehnologija su investicije od velikog značaja za OSD, tokom 2025. godine postignut je značajan napredak u razvoju i poboljšanju IT sistema.</w:t>
            </w:r>
          </w:p>
        </w:tc>
      </w:tr>
      <w:tr w:rsidR="00571EAF" w:rsidRPr="0064355F" w14:paraId="11671A54" w14:textId="77777777" w:rsidTr="00571EA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B98EE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I.3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AD10B6" w14:textId="637AF125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Specifični cilj: Rehabilitacija postojećih kapaciteta za proizvodnju električne energije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6DE32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17F26" w:rsidRPr="0064355F" w14:paraId="65FEA151" w14:textId="77777777" w:rsidTr="0070195D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B69CD3A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4F2F333" w14:textId="74887760" w:rsidR="00571EAF" w:rsidRPr="0064355F" w:rsidRDefault="00EF1AF1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</w:p>
        </w:tc>
        <w:tc>
          <w:tcPr>
            <w:tcW w:w="2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768D028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Osnovna vrednost 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B066632" w14:textId="41832499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Kratkoročni cilj </w:t>
            </w:r>
            <w:r w:rsidR="007E6C13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8B79EE" w14:textId="7A8B33EC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Cilj prošle godine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2031.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D1A3B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24786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17F26" w:rsidRPr="0064355F" w14:paraId="5BDFA813" w14:textId="77777777" w:rsidTr="0070195D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F7EC2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ECC9D" w14:textId="42A3E5DD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Broj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obnovljenih jedinica lignita.</w:t>
            </w:r>
          </w:p>
        </w:tc>
        <w:tc>
          <w:tcPr>
            <w:tcW w:w="2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06C91DA" w14:textId="74A1FA6E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0 [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0244AD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7CA23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3 ili 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F264D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2D0C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7F26" w:rsidRPr="0064355F" w14:paraId="3E1E5914" w14:textId="77777777" w:rsidTr="0070195D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FB593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5859E" w14:textId="24B619C4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Broj zatvorenih jedinica lignita.</w:t>
            </w:r>
          </w:p>
        </w:tc>
        <w:tc>
          <w:tcPr>
            <w:tcW w:w="2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383E79A" w14:textId="01C5AC0B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0 [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658B351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4295B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 ili 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13568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A99E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7CBC" w:rsidRPr="0064355F" w14:paraId="61FC3FE1" w14:textId="77777777" w:rsidTr="0070195D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4C3646" w14:textId="11923F36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CAE562" w14:textId="23109DC4" w:rsidR="00571EAF" w:rsidRPr="0064355F" w:rsidRDefault="00395B4E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Akcija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CEC529" w14:textId="5F446F0F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Krajnji rok</w:t>
            </w:r>
          </w:p>
        </w:tc>
        <w:tc>
          <w:tcPr>
            <w:tcW w:w="39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86E603A" w14:textId="2627A286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Budžet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6E82F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Izvor finansiranja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A2F4CE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Vodeća i prateća institucija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9649CB" w14:textId="24B71AEA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Proizvod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99CB1B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Reference u dokumentima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11CD42" w14:textId="223D2079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Napredak u </w:t>
            </w:r>
            <w:r w:rsidR="00AD57DB" w:rsidRPr="0064355F">
              <w:rPr>
                <w:rFonts w:ascii="Times New Roman" w:eastAsia="Times New Roman" w:hAnsi="Times New Roman" w:cs="Times New Roman"/>
                <w:b/>
                <w:bCs/>
              </w:rPr>
              <w:t>sprovođenju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 januar-jun </w:t>
            </w:r>
            <w:r w:rsidR="004A664A" w:rsidRPr="0064355F">
              <w:rPr>
                <w:rFonts w:ascii="Times New Roman" w:eastAsia="Times New Roman" w:hAnsi="Times New Roman" w:cs="Times New Roman"/>
                <w:b/>
                <w:bCs/>
              </w:rPr>
              <w:t>2025.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AD57DB" w:rsidRPr="0064355F">
              <w:rPr>
                <w:rFonts w:ascii="Times New Roman" w:eastAsia="Times New Roman" w:hAnsi="Times New Roman" w:cs="Times New Roman"/>
                <w:b/>
                <w:bCs/>
              </w:rPr>
              <w:t>godine</w:t>
            </w:r>
          </w:p>
        </w:tc>
      </w:tr>
      <w:tr w:rsidR="004F3B08" w:rsidRPr="0064355F" w14:paraId="3DEE0FF9" w14:textId="77777777" w:rsidTr="0070195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B91F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AF0BF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27E3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F0F1FA" w14:textId="13D62924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7FD02C" w14:textId="664B66C8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620558" w14:textId="6EA82846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73E740" w14:textId="4DEAB3AF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B336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FD640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B3B4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EE1F2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EED30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F3B08" w:rsidRPr="0064355F" w14:paraId="5562F212" w14:textId="77777777" w:rsidTr="0070195D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78C82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65B3F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78230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7A407B" w14:textId="19E389C4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088EBD" w14:textId="1374BAE9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58E39E" w14:textId="511E496D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210117" w14:textId="36D938EA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376EB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5EB9E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CC27F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E6184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00DED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C1516" w:rsidRPr="0064355F" w14:paraId="28D5C9E2" w14:textId="77777777" w:rsidTr="0070195D">
        <w:trPr>
          <w:trHeight w:val="24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ED867D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I.3.1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4D3D1A" w14:textId="38A57602" w:rsidR="004C1516" w:rsidRPr="0064355F" w:rsidRDefault="004C1516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Rehabilitacija jedinice "Kosovo B1"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2E0A87" w14:textId="50045FD6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6AF17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-  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7DB3A" w14:textId="6C0738EE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7,500,000.00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1F9B1" w14:textId="20C5C018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88,000,000.00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4C8EE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9D0CD4" w14:textId="7ADBA9AA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KEK: 49,5 miliona € Grant EU: 38,5 miliona € (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Elektrofilteri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&amp; De-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Nox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F82FF3" w14:textId="7CA732A5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KEK, ME, RUE</w:t>
            </w:r>
          </w:p>
          <w:p w14:paraId="6B020DF6" w14:textId="24669894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E7467" w14:textId="3BD1C2FD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Smanjenje prašine,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NOx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SO₂ 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emisije Prašina: 20 mg / Nm³,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NOx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200 mg / Nm³, SO₂: 600 mg /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Nm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46BC3" w14:textId="7932354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.Strategija razvoja KEK-a za period 2021.-2025.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6BE3A68" w14:textId="39064F5D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Nula odsto (0%)</w:t>
            </w:r>
          </w:p>
          <w:p w14:paraId="23E2027D" w14:textId="77777777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46D13D" w14:textId="3F2C75A5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Elektrostatički filteri i De NOX projekat planirano je da se sprovede u jedinici B1 2026. godine (april-oktobar).</w:t>
            </w:r>
          </w:p>
        </w:tc>
      </w:tr>
      <w:tr w:rsidR="004F3B08" w:rsidRPr="0064355F" w14:paraId="210A91E5" w14:textId="77777777" w:rsidTr="0070195D">
        <w:trPr>
          <w:trHeight w:val="19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EA9D6" w14:textId="77777777" w:rsidR="00660DD0" w:rsidRPr="0064355F" w:rsidRDefault="00660DD0" w:rsidP="0066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I.3.2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63C33" w14:textId="43FED74F" w:rsidR="00660DD0" w:rsidRPr="0064355F" w:rsidRDefault="00660DD0" w:rsidP="0066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Rehabilitacija jedinice "Kosovo B2"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058FA" w14:textId="290999E0" w:rsidR="00660DD0" w:rsidRPr="0064355F" w:rsidRDefault="007E6C13" w:rsidP="0066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25099" w14:textId="77777777" w:rsidR="00660DD0" w:rsidRPr="0064355F" w:rsidRDefault="00660DD0" w:rsidP="0066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-   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AFF5B" w14:textId="14C5DFC6" w:rsidR="00660DD0" w:rsidRPr="0064355F" w:rsidRDefault="00527CBC" w:rsidP="0066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€       750,000.00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336FB" w14:textId="77777777" w:rsidR="00660DD0" w:rsidRPr="0064355F" w:rsidRDefault="00660DD0" w:rsidP="0066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 -   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0E479" w14:textId="77777777" w:rsidR="00660DD0" w:rsidRPr="0064355F" w:rsidRDefault="00660DD0" w:rsidP="0066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Ukupno 10.000,000 EUR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79ACA8" w14:textId="5E9AE6A0" w:rsidR="00660DD0" w:rsidRPr="0064355F" w:rsidRDefault="00660DD0" w:rsidP="0066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KEK - </w:t>
            </w:r>
            <w:r w:rsidRPr="0064355F">
              <w:rPr>
                <w:rFonts w:ascii="Calibri" w:eastAsia="Times New Roman" w:hAnsi="Calibri" w:cs="Calibri"/>
                <w:sz w:val="18"/>
                <w:szCs w:val="18"/>
              </w:rPr>
              <w:t xml:space="preserve">49,5 miliona €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EU Grant -38,5 miliona € (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Electrofilter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 De-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r w:rsidR="00395B4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E1736E" w14:textId="12986CC1" w:rsidR="00660DD0" w:rsidRPr="0064355F" w:rsidRDefault="00660DD0" w:rsidP="0066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KEK, </w:t>
            </w:r>
            <w:r w:rsidR="00395B4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395B4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RUE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65154" w14:textId="77777777" w:rsidR="00660DD0" w:rsidRPr="0064355F" w:rsidRDefault="00660DD0" w:rsidP="0066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ABB7C" w14:textId="77777777" w:rsidR="00660DD0" w:rsidRPr="0064355F" w:rsidRDefault="00660DD0" w:rsidP="00660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BD95044" w14:textId="58BD1437" w:rsidR="00ED22A4" w:rsidRPr="0064355F" w:rsidRDefault="00ED22A4" w:rsidP="00A83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606BA6" w:rsidRPr="006435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Nula </w:t>
            </w:r>
            <w:r w:rsidR="00AD57DB" w:rsidRPr="006435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odsto</w:t>
            </w:r>
            <w:r w:rsidR="00606BA6" w:rsidRPr="006435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(0%)</w:t>
            </w:r>
          </w:p>
          <w:p w14:paraId="4AB6AF59" w14:textId="77777777" w:rsidR="00847C13" w:rsidRPr="0064355F" w:rsidRDefault="00847C13" w:rsidP="00A835F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377830" w14:textId="5099E640" w:rsidR="00660DD0" w:rsidRPr="0064355F" w:rsidRDefault="00660DD0" w:rsidP="0070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Planirano je da elektrostatički filteri i De NOX projekat budu realizovani u bloku B2 2027. </w:t>
            </w:r>
            <w:r w:rsidR="00AD57DB" w:rsidRPr="0064355F"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(april-oktobar).</w:t>
            </w:r>
          </w:p>
        </w:tc>
      </w:tr>
      <w:tr w:rsidR="00395B4E" w:rsidRPr="0064355F" w14:paraId="23EEA735" w14:textId="77777777" w:rsidTr="0070195D">
        <w:trPr>
          <w:trHeight w:val="10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BCA78" w14:textId="77777777" w:rsidR="00395B4E" w:rsidRPr="0064355F" w:rsidRDefault="00395B4E" w:rsidP="003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333FC" w14:textId="05CDC4E9" w:rsidR="00395B4E" w:rsidRPr="0064355F" w:rsidRDefault="00395B4E" w:rsidP="0039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Rehabilitacija jedinice "Kosovo A"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E34F2" w14:textId="179131A5" w:rsidR="00395B4E" w:rsidRPr="0064355F" w:rsidRDefault="00395B4E" w:rsidP="003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1FF0F" w14:textId="77777777" w:rsidR="00395B4E" w:rsidRPr="0064355F" w:rsidRDefault="00395B4E" w:rsidP="003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29F71" w14:textId="481984D8" w:rsidR="00395B4E" w:rsidRPr="0064355F" w:rsidRDefault="00395B4E" w:rsidP="003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15,000,000.00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B8658" w14:textId="220D24F2" w:rsidR="00395B4E" w:rsidRPr="0064355F" w:rsidRDefault="00395B4E" w:rsidP="003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105,000,000.00 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DC512" w14:textId="77777777" w:rsidR="00395B4E" w:rsidRPr="0064355F" w:rsidRDefault="00395B4E" w:rsidP="003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-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FE1AFA" w14:textId="7F194259" w:rsidR="00395B4E" w:rsidRPr="0064355F" w:rsidRDefault="00395B4E" w:rsidP="003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5DE80C" w14:textId="6AEC181C" w:rsidR="00395B4E" w:rsidRPr="0064355F" w:rsidRDefault="00395B4E" w:rsidP="003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KEK, ME, 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9BFEAF" w14:textId="609966B4" w:rsidR="00395B4E" w:rsidRPr="0064355F" w:rsidRDefault="00395B4E" w:rsidP="00395B4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Povećanje kapaciteta sa 130 MW na 180 MW.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64FC0" w14:textId="5D59FE3E" w:rsidR="00395B4E" w:rsidRPr="0064355F" w:rsidRDefault="00395B4E" w:rsidP="003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E7FAC07" w14:textId="40BB5153" w:rsidR="00395B4E" w:rsidRPr="0064355F" w:rsidRDefault="00395B4E" w:rsidP="00395B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Nula </w:t>
            </w:r>
            <w:r w:rsidR="00756085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odsto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(0%)</w:t>
            </w:r>
          </w:p>
          <w:p w14:paraId="6E6899AD" w14:textId="12F757BF" w:rsidR="00395B4E" w:rsidRPr="0064355F" w:rsidRDefault="00395B4E" w:rsidP="00395B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</w:t>
            </w:r>
          </w:p>
          <w:p w14:paraId="51AE39DD" w14:textId="25CA6B32" w:rsidR="00395B4E" w:rsidRPr="0064355F" w:rsidRDefault="00395B4E" w:rsidP="0039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Najava faze I /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predkvalifikacione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aktivnosti objavljena je 23. januara 2025. </w:t>
            </w:r>
            <w:r w:rsidR="00DD1A39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Krajnji rok 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za podnošenje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dokumenata na zahtev zainteresovanih </w:t>
            </w:r>
            <w:r w:rsidR="006841A1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kompanija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je više puta odgađan. </w:t>
            </w:r>
            <w:r w:rsidR="006841A1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Službeno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otvaranje aplikacije za </w:t>
            </w:r>
            <w:r w:rsidR="006841A1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ekonomske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41A1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operatere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="006841A1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EO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izvršeno je 17. jula 2025. </w:t>
            </w:r>
            <w:r w:rsidR="006841A1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</w:t>
            </w:r>
            <w:r w:rsidR="006A1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6841A1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nakon odbijanja žalbe operatera od strane Tela za reviziju nabavki (</w:t>
            </w:r>
            <w:r w:rsidR="006841A1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TRN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</w:tc>
      </w:tr>
      <w:tr w:rsidR="004C1516" w:rsidRPr="0064355F" w14:paraId="60A3949F" w14:textId="77777777" w:rsidTr="0070195D">
        <w:trPr>
          <w:trHeight w:val="1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16084" w14:textId="777777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06DA4" w14:textId="4D413E64" w:rsidR="004C1516" w:rsidRPr="0064355F" w:rsidRDefault="004C1516" w:rsidP="004C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Mašine, pokretne trake, eksproprijacije i druga ulaganja u eksproprijaciju rudnika.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ADD35" w14:textId="46E1EE9D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50FAD" w14:textId="4C02194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€ 3,800,000.00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71605" w14:textId="4F0011EA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48,200,000.00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4A42C" w14:textId="599B60A2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28,340,000.00 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AE41A" w14:textId="2E75931E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28,340,000.00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DBB85" w14:textId="21D3514D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FC3BE" w14:textId="6B4BA45F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KEK, ME, 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5358D" w14:textId="5C2AC89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Investicije u rudnik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440C7" w14:textId="7E2FCF77" w:rsidR="004C1516" w:rsidRPr="0064355F" w:rsidRDefault="004C1516" w:rsidP="004C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14B77BB" w14:textId="101C943A" w:rsidR="004C1516" w:rsidRPr="0064355F" w:rsidRDefault="004C1516" w:rsidP="004C1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Devedeset odsto (90%)</w:t>
            </w:r>
          </w:p>
          <w:p w14:paraId="48A904E0" w14:textId="77777777" w:rsidR="004C1516" w:rsidRPr="0064355F" w:rsidRDefault="004C1516" w:rsidP="004C1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3961B56" w14:textId="2443742F" w:rsidR="004C1516" w:rsidRPr="0064355F" w:rsidRDefault="004C1516" w:rsidP="004C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Eksproprijacija na površini od 100 ha je završena, ostalo je samo nekoliko nekretnina koje će biti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eksproprisanee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 skladu sa Zakonom o eksproprijaciji. Najveći deo eksproprijacije izvršen je 2024. godine, a preostali deo u periodu januar - jun 2025. godine.</w:t>
            </w:r>
          </w:p>
        </w:tc>
      </w:tr>
      <w:tr w:rsidR="00571EAF" w:rsidRPr="0064355F" w14:paraId="4F42572F" w14:textId="77777777" w:rsidTr="00571EA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8984A1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I.4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B211C4" w14:textId="770CA9E1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Specifični cilj projekta: Obezbeđivanje </w:t>
            </w:r>
            <w:r w:rsidR="00417F26"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kibernetičke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bezbednosti energetskog sektora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08104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7F26" w:rsidRPr="0064355F" w14:paraId="7AF420FE" w14:textId="77777777" w:rsidTr="0070195D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F17930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67004B5" w14:textId="0DB7EB60" w:rsidR="00571EAF" w:rsidRPr="0064355F" w:rsidRDefault="00EF1AF1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Pokazatelj</w:t>
            </w:r>
          </w:p>
        </w:tc>
        <w:tc>
          <w:tcPr>
            <w:tcW w:w="2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27137B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Osnovna vrednost 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C736EE1" w14:textId="4B47E1F6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Kratkoročni cilj </w:t>
            </w:r>
            <w:r w:rsidR="007E6C13"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7169D5" w14:textId="3220E155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Cilj prošle godine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2031.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F5DDC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A0D7B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7F26" w:rsidRPr="0064355F" w14:paraId="2B82F032" w14:textId="77777777" w:rsidTr="007019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A298A7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2C6F332" w14:textId="1D5E7985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Veštine </w:t>
            </w:r>
            <w:r w:rsidR="00417F26"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kibernetičke sposobnosti</w:t>
            </w: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5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56C854F" w14:textId="42C85F3B" w:rsidR="00571EAF" w:rsidRPr="0064355F" w:rsidRDefault="00417F26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</w:t>
            </w:r>
            <w:r w:rsidR="00571EAF"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postoji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42DE6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Postoje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5AB97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Postoje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A89A59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20411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27CBC" w:rsidRPr="0064355F" w14:paraId="0DB73883" w14:textId="77777777" w:rsidTr="0070195D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4576D8" w14:textId="7FCF8489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ED1DA6" w14:textId="27043467" w:rsidR="00571EAF" w:rsidRPr="0064355F" w:rsidRDefault="00395B4E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Akcija</w:t>
            </w:r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9759B3" w14:textId="4FB3B392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Krajnji rok</w:t>
            </w:r>
          </w:p>
        </w:tc>
        <w:tc>
          <w:tcPr>
            <w:tcW w:w="39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858ED30" w14:textId="697AA92B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Budžet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901704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Izvor finansiranja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CFC05C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Vodeća i prateća institucija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133CF9" w14:textId="7D4D04C6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Proizvod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16F51A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Reference u dokumentima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C5A0D0" w14:textId="0D96CC0F" w:rsidR="00571EAF" w:rsidRPr="0064355F" w:rsidRDefault="00C84742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Napredak u </w:t>
            </w:r>
            <w:r w:rsidR="00DD1A39"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sprovođenju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januar-jun </w:t>
            </w:r>
            <w:r w:rsidR="004A664A"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2025.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D1A39"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odin</w:t>
            </w:r>
            <w:r w:rsidR="00DD1A39"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4F3B08" w:rsidRPr="0064355F" w14:paraId="0098C99D" w14:textId="77777777" w:rsidTr="0070195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FB11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A6FDE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25252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7CCFE2" w14:textId="3C2264D3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3FDE81" w14:textId="49B83D48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47C6B0" w14:textId="6172245D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9E473E" w14:textId="1385D6AB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018B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14D24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9596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7EA6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79841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F3B08" w:rsidRPr="0064355F" w14:paraId="45DA6C2E" w14:textId="77777777" w:rsidTr="0070195D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B30E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FCF7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7848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C4DEC4" w14:textId="40B2BF0C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A2D69D" w14:textId="494DC9F7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101938" w14:textId="38B06F90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A442D1" w14:textId="6A9D042C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3F000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B2EA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A3640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0372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191FD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417F26" w:rsidRPr="0064355F" w14:paraId="46296443" w14:textId="77777777" w:rsidTr="0070195D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4EF4F" w14:textId="77777777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D984C" w14:textId="45DEB3EB" w:rsidR="00417F26" w:rsidRPr="0064355F" w:rsidRDefault="00417F26" w:rsidP="0041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Donošenje Zakona o bezbednosti mrežnih i informacionih sistema.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852FC" w14:textId="5FD041EC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449F0" w14:textId="6C0D90A7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120,000.00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56577" w14:textId="77777777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       -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24D30" w14:textId="77777777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 -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804CD" w14:textId="77777777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D0890" w14:textId="5AB5EE9F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E38DB" w14:textId="36B48DFC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MUP, ME,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7FA68" w14:textId="77777777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Zakon usvojen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E413F" w14:textId="77777777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Godišnji izveštaj o učinku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7F06D0" w14:textId="3A28C861" w:rsidR="00417F26" w:rsidRPr="0064355F" w:rsidRDefault="00417F26" w:rsidP="00417F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Sto </w:t>
            </w:r>
            <w:r w:rsidR="00DD1A39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odsto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(100%)</w:t>
            </w:r>
          </w:p>
          <w:p w14:paraId="099B33F2" w14:textId="77777777" w:rsidR="00417F26" w:rsidRPr="0064355F" w:rsidRDefault="00417F26" w:rsidP="00417F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219E314" w14:textId="5426F435" w:rsidR="00417F26" w:rsidRPr="0064355F" w:rsidRDefault="00417F26" w:rsidP="0041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Zakon o sajber bezbednosti završen je </w:t>
            </w:r>
            <w:r w:rsidR="00DD1A39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2023. 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 https://gzk.rks-gov.net/ActDocumentDetail.aspx?ActID=70933 </w:t>
            </w:r>
          </w:p>
        </w:tc>
      </w:tr>
      <w:tr w:rsidR="00417F26" w:rsidRPr="0064355F" w14:paraId="28205C78" w14:textId="77777777" w:rsidTr="0070195D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82AB1" w14:textId="77777777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AA5AA" w14:textId="5C6021AE" w:rsidR="00417F26" w:rsidRPr="0064355F" w:rsidRDefault="00417F26" w:rsidP="0041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Usvajanje podzakonskih akata koji proizilaze iz Zakona o bezbednosti mrežnih i informacionih sistema.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22AAC" w14:textId="46723BC1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BE001" w14:textId="77777777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-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D3FD6" w14:textId="5EA796C8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100,000.00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6B46F" w14:textId="77777777" w:rsidR="00417F26" w:rsidRPr="0064355F" w:rsidRDefault="00417F26" w:rsidP="00417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 -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4C8F0" w14:textId="77777777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D6506" w14:textId="5DF7A15E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</w:t>
            </w:r>
            <w:r w:rsidR="00BA0F21">
              <w:rPr>
                <w:rFonts w:ascii="Times New Roman" w:eastAsia="Times New Roman" w:hAnsi="Times New Roman" w:cs="Times New Roman"/>
                <w:sz w:val="18"/>
                <w:szCs w:val="18"/>
              </w:rPr>
              <w:t>BK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955BF" w14:textId="17E2F03B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MUP, ME, RUE, KOSTT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B4D90" w14:textId="1CE25CB2" w:rsidR="00417F26" w:rsidRPr="0064355F" w:rsidRDefault="00417F26" w:rsidP="00417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Sekundarno zakonodavstvo usvojeno.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B6A9A" w14:textId="3A0BCD06" w:rsidR="00417F26" w:rsidRPr="0064355F" w:rsidRDefault="00417F26" w:rsidP="0041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(Zakon o bezbednosti mrežnih i informacionih sistema).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1F64C" w14:textId="71C58D13" w:rsidR="00417F26" w:rsidRPr="0064355F" w:rsidRDefault="00417F26" w:rsidP="00417F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Sedamdeset odsto (70%)</w:t>
            </w:r>
          </w:p>
          <w:p w14:paraId="42C205D1" w14:textId="77777777" w:rsidR="00417F26" w:rsidRPr="0064355F" w:rsidRDefault="00417F26" w:rsidP="00417F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D6DC491" w14:textId="472FB55A" w:rsidR="00417F26" w:rsidRPr="0064355F" w:rsidRDefault="00417F26" w:rsidP="00417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Podzakonski akti koji proizilaze iz Zakona br. 08 / l-173 o sajber bezbednosti / datum objavljivanja: 27. februar </w:t>
            </w:r>
            <w:r w:rsidR="00DD1A39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2023.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Usvojeni podzakonski akti:</w:t>
            </w:r>
          </w:p>
          <w:p w14:paraId="571AE97B" w14:textId="77777777" w:rsidR="00417F26" w:rsidRPr="0064355F" w:rsidRDefault="00417F26" w:rsidP="00417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A9A941" w14:textId="4C7490DE" w:rsidR="00417F26" w:rsidRPr="0064355F" w:rsidRDefault="00417F26" w:rsidP="00417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 </w:t>
            </w:r>
            <w:r w:rsidR="00DD1A39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Pravilnik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="00DD1A39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VRK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br. 22/2023. o </w:t>
            </w:r>
            <w:proofErr w:type="spellStart"/>
            <w:r w:rsidR="00DD1A39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zadužnostima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odgovornostima Državnog centra za obuku za sajber bezbednost / datum objavljivanja: 5. januar 2024. </w:t>
            </w:r>
          </w:p>
          <w:p w14:paraId="68918804" w14:textId="41A56B29" w:rsidR="00417F26" w:rsidRPr="0064355F" w:rsidRDefault="00417F26" w:rsidP="00417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Uredba (MUP) br. 02/2025. o </w:t>
            </w:r>
            <w:r w:rsidR="00C76FD6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utvrđivanju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postupka rad</w:t>
            </w:r>
            <w:r w:rsidR="00C76FD6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funkcionisanj</w:t>
            </w:r>
            <w:r w:rsidR="00C76FD6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Državnog saveta za sajber bezbednost / datum objavljivanja: 4. april 2025. </w:t>
            </w:r>
          </w:p>
          <w:p w14:paraId="761C8B59" w14:textId="26D5B115" w:rsidR="00417F26" w:rsidRPr="0064355F" w:rsidRDefault="00417F26" w:rsidP="00417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Administrativno uputstvo (MUP) broj 11/2024. o nadležnostima, mandatu i sastavu Komisije za žalbe </w:t>
            </w:r>
            <w:r w:rsidR="00FE6753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protiv odluka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Agencije za sajber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bezbednost/Datum objavljivanja: 26. decembar 2024. </w:t>
            </w:r>
          </w:p>
          <w:p w14:paraId="606A9B58" w14:textId="56DCA740" w:rsidR="00417F26" w:rsidRPr="0064355F" w:rsidRDefault="00417F26" w:rsidP="00417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 Administrativno uputstvo (MOI) br. 08/2024. o merama i procedurama koj</w:t>
            </w:r>
            <w:r w:rsidR="00FE6753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 ograničavaju i privremeno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obustavlja korišćenje ili pristup mrež</w:t>
            </w:r>
            <w:r w:rsidR="00FE6753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nim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ili informacionim sistemima u slučaju sajber incidenta/datum objavljivanja: 9. oktobar 2024. </w:t>
            </w:r>
          </w:p>
          <w:p w14:paraId="625B3DDB" w14:textId="66CD8576" w:rsidR="00417F26" w:rsidRPr="0064355F" w:rsidRDefault="00417F26" w:rsidP="00417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 Administrativno uputstvo (MOI) br. 05/2024. o Registru </w:t>
            </w:r>
            <w:r w:rsidR="00FE6753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opasnosti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pretnji za sajber bezbednost / datum objavljivanja: 3. septembar 2024. </w:t>
            </w:r>
          </w:p>
          <w:p w14:paraId="5C594C5C" w14:textId="6C64F041" w:rsidR="00417F26" w:rsidRPr="0064355F" w:rsidRDefault="00417F26" w:rsidP="00417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6. Administrativno uputstvo (MOI) br. 03/2024. o postupku obaveštavanja i sadržaju izveštaja o sajber incidentu/datum objavljivanja: 27. avgust 2024. </w:t>
            </w:r>
            <w:r w:rsidR="00DD1A39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F678E63" w14:textId="4C280E36" w:rsidR="00417F26" w:rsidRPr="0064355F" w:rsidRDefault="00417F26" w:rsidP="00417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7. Administrativno uputstvo (MUP) 04/2024. o registru sajber incidenata / datum objavljivanja: 27. avgust 2024. </w:t>
            </w:r>
          </w:p>
          <w:p w14:paraId="50354EE4" w14:textId="5C407113" w:rsidR="00417F26" w:rsidRPr="0064355F" w:rsidRDefault="00417F26" w:rsidP="00417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 Uredba (ZOT) br. 05/2024. o unutrašnjoj organizaciji i sistematizaciji radnih mesta u Agenciji za sajber bezbednost / datum objavljivanja: 7. mart 2024.</w:t>
            </w:r>
          </w:p>
        </w:tc>
      </w:tr>
      <w:tr w:rsidR="004F0596" w:rsidRPr="0064355F" w14:paraId="097C2FC0" w14:textId="77777777" w:rsidTr="0070195D">
        <w:trPr>
          <w:trHeight w:val="12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820B0" w14:textId="77777777" w:rsidR="004F0596" w:rsidRPr="0064355F" w:rsidRDefault="004F0596" w:rsidP="004F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I.4.3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AE984" w14:textId="3CBAF386" w:rsidR="004F0596" w:rsidRPr="0064355F" w:rsidRDefault="004F0596" w:rsidP="004F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Osnivanje Sektorskog energetskog tima za reagovanje na računarske intervencije (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eCERT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na Kosovu.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BD1DE1" w14:textId="1AA461FD" w:rsidR="004F0596" w:rsidRPr="0064355F" w:rsidRDefault="004F0596" w:rsidP="004F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2025.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03208" w14:textId="77777777" w:rsidR="004F0596" w:rsidRPr="0064355F" w:rsidRDefault="004F0596" w:rsidP="004F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-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C28F6" w14:textId="25FA63FD" w:rsidR="004F0596" w:rsidRPr="0064355F" w:rsidRDefault="004F0596" w:rsidP="004F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252,250.00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C26DB" w14:textId="0BC5D142" w:rsidR="004F0596" w:rsidRPr="0064355F" w:rsidRDefault="004F0596" w:rsidP="004F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300,000.00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B6FF4" w14:textId="05C862E7" w:rsidR="004F0596" w:rsidRPr="0064355F" w:rsidRDefault="004F0596" w:rsidP="004F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2E006" w14:textId="7FF67C7E" w:rsidR="004F0596" w:rsidRPr="0064355F" w:rsidRDefault="004F0596" w:rsidP="004F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(BK), donatori.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90DBC" w14:textId="020E452B" w:rsidR="004F0596" w:rsidRPr="0064355F" w:rsidRDefault="004F0596" w:rsidP="004F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ME,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CERTi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Nacional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, MUP, RUE, KOSTT , KEK, KEDS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0D10C" w14:textId="0E5A7A4E" w:rsidR="004F0596" w:rsidRPr="0064355F" w:rsidRDefault="004F0596" w:rsidP="004F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Osnovan Sektorski tim za hitne energetske intervencije (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eCERT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 na Kosovu.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0747B" w14:textId="58CB3362" w:rsidR="004F0596" w:rsidRPr="0064355F" w:rsidRDefault="004F0596" w:rsidP="004F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BF46E" w14:textId="766D2E1F" w:rsidR="004F0596" w:rsidRPr="0064355F" w:rsidRDefault="004F0596" w:rsidP="004F05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Pedeset odsto (50%)</w:t>
            </w:r>
          </w:p>
          <w:p w14:paraId="1D849782" w14:textId="77777777" w:rsidR="004F0596" w:rsidRPr="0064355F" w:rsidRDefault="004F0596" w:rsidP="004F05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EC15238" w14:textId="65BF817C" w:rsidR="004F0596" w:rsidRPr="0064355F" w:rsidRDefault="004F0596" w:rsidP="004F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Projektni zadaci za formiranje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eCERT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-a je završen.</w:t>
            </w:r>
          </w:p>
        </w:tc>
      </w:tr>
    </w:tbl>
    <w:p w14:paraId="03BCC3DE" w14:textId="77777777" w:rsidR="00A835FC" w:rsidRPr="0064355F" w:rsidRDefault="00A835FC" w:rsidP="007D1D84">
      <w:pPr>
        <w:pStyle w:val="Paragrafspiska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26A19E02" w14:textId="77777777" w:rsidR="00E07348" w:rsidRPr="0064355F" w:rsidRDefault="00E07348" w:rsidP="007D1D84">
      <w:pPr>
        <w:pStyle w:val="Paragrafspiska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67F34269" w14:textId="77777777" w:rsidR="004F0596" w:rsidRPr="0064355F" w:rsidRDefault="004F0596" w:rsidP="007D1D84">
      <w:pPr>
        <w:pStyle w:val="Paragrafspiska"/>
        <w:ind w:left="108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1350"/>
        <w:gridCol w:w="720"/>
        <w:gridCol w:w="648"/>
        <w:gridCol w:w="966"/>
        <w:gridCol w:w="1091"/>
        <w:gridCol w:w="1075"/>
        <w:gridCol w:w="896"/>
        <w:gridCol w:w="907"/>
        <w:gridCol w:w="1114"/>
        <w:gridCol w:w="961"/>
        <w:gridCol w:w="83"/>
        <w:gridCol w:w="2609"/>
      </w:tblGrid>
      <w:tr w:rsidR="00571EAF" w:rsidRPr="0064355F" w14:paraId="1AECC5AC" w14:textId="77777777" w:rsidTr="00000A7B">
        <w:trPr>
          <w:trHeight w:val="480"/>
        </w:trPr>
        <w:tc>
          <w:tcPr>
            <w:tcW w:w="39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DD4AED" w14:textId="285C9867" w:rsidR="00571EAF" w:rsidRPr="0064355F" w:rsidRDefault="00571EAF" w:rsidP="00571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lastRenderedPageBreak/>
              <w:t xml:space="preserve">PRAĆENJE SPROVOĐENJA </w:t>
            </w:r>
            <w:r w:rsidR="00F85C31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PSESK</w:t>
            </w: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-A ZA PERIOD </w:t>
            </w:r>
            <w:r w:rsidR="007E6C13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2022.</w:t>
            </w: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-</w:t>
            </w:r>
            <w:r w:rsidR="007E6C13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2025.</w:t>
            </w: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: STRATEŠKI CILJ 2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01E72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71EAF" w:rsidRPr="0064355F" w14:paraId="05FA03B3" w14:textId="77777777" w:rsidTr="00000A7B">
        <w:trPr>
          <w:trHeight w:val="885"/>
        </w:trPr>
        <w:tc>
          <w:tcPr>
            <w:tcW w:w="3961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8680B30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>SO2: DEKARBONIZACIJA I PROMOVISANJE OBNOVLJIVIH IZVORA ENERGIJE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1F0A7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00A7B" w:rsidRPr="0064355F" w14:paraId="636156C0" w14:textId="77777777" w:rsidTr="00000A7B">
        <w:trPr>
          <w:trHeight w:val="735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36C9303" w14:textId="415AC4BD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750C1A4" w14:textId="5EFE8E21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Strateški i specifični ciljevi, </w:t>
            </w:r>
            <w:r w:rsidR="00EF1AF1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 akcije</w:t>
            </w:r>
          </w:p>
        </w:tc>
        <w:tc>
          <w:tcPr>
            <w:tcW w:w="901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0218B77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Osnovna vrednost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55D0F8F" w14:textId="77777777" w:rsidR="008345A7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Privremeni cilj</w:t>
            </w:r>
            <w:r w:rsidR="008345A7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1F03ABC" w14:textId="36FA24A8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80A045A" w14:textId="568F5360" w:rsidR="00571EAF" w:rsidRPr="0064355F" w:rsidRDefault="008345A7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Cilj prošle godine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2031.</w:t>
            </w:r>
          </w:p>
        </w:tc>
        <w:tc>
          <w:tcPr>
            <w:tcW w:w="1151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6355EA87" w14:textId="78CF1D83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Rezultat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32437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0A7B" w:rsidRPr="0064355F" w14:paraId="448CA194" w14:textId="77777777" w:rsidTr="00000A7B">
        <w:trPr>
          <w:trHeight w:val="315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49FEDC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375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9C3021B" w14:textId="60A945D2" w:rsidR="00571EAF" w:rsidRPr="0064355F" w:rsidRDefault="00571EAF" w:rsidP="00FA4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STRATEŠKI CILJ 2: DEKARBONIZACIJA I PROMOCIJA OBNOVLJIVIH IZVORA ENERGIJE</w:t>
            </w:r>
            <w:r w:rsidR="00FA4AA2" w:rsidRPr="00643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4AAE4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0A7B" w:rsidRPr="0064355F" w14:paraId="03A77F6A" w14:textId="77777777" w:rsidTr="00000A7B">
        <w:trPr>
          <w:trHeight w:val="97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F7FCF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770841" w14:textId="45C6AB56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Smanjenje emisije stakleničkih gasova (</w:t>
            </w:r>
            <w:r w:rsidR="008345A7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SG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 u sektoru električne energije u odnosu na 2019. godinu.</w:t>
            </w:r>
          </w:p>
        </w:tc>
        <w:tc>
          <w:tcPr>
            <w:tcW w:w="901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C2D0D8" w14:textId="77777777" w:rsidR="004C1516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0% [2019]</w:t>
            </w:r>
          </w:p>
          <w:p w14:paraId="0A84A093" w14:textId="6F99A7AF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(6316 ktCO2)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D10DDBA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6F67F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-32%</w:t>
            </w:r>
          </w:p>
        </w:tc>
        <w:tc>
          <w:tcPr>
            <w:tcW w:w="115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AFB3C61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831B4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0A7B" w:rsidRPr="0064355F" w14:paraId="2A347BE9" w14:textId="77777777" w:rsidTr="00000A7B">
        <w:trPr>
          <w:trHeight w:val="97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FC1C1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48D514" w14:textId="1BF118A2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Učešće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obnovljivih izvora energije u potrošnji sektora električne energije (</w:t>
            </w:r>
            <w:r w:rsidR="00994217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OIE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9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123583B" w14:textId="09EFDFFC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6.3% [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] 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3FC7B92" w14:textId="5803DE94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Minimal</w:t>
            </w:r>
            <w:r w:rsidR="008345A7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13%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D42FD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Minimalno 35%</w:t>
            </w:r>
          </w:p>
        </w:tc>
        <w:tc>
          <w:tcPr>
            <w:tcW w:w="11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9FD18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61E48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0A7B" w:rsidRPr="0064355F" w14:paraId="02006784" w14:textId="77777777" w:rsidTr="00000A7B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82659F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II.1</w:t>
            </w:r>
          </w:p>
        </w:tc>
        <w:tc>
          <w:tcPr>
            <w:tcW w:w="375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8165A5" w14:textId="0B4AC6B6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Specifični cilj: Postepena primena cene ugljenika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53F75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0A7B" w:rsidRPr="0064355F" w14:paraId="317BDDC8" w14:textId="77777777" w:rsidTr="00000A7B">
        <w:trPr>
          <w:trHeight w:val="73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48FD7BE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D5474FB" w14:textId="0DA95A79" w:rsidR="00571EAF" w:rsidRPr="0064355F" w:rsidRDefault="00EF1AF1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</w:p>
        </w:tc>
        <w:tc>
          <w:tcPr>
            <w:tcW w:w="9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C18B3AD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Osnovna vrednost 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49F1717" w14:textId="77777777" w:rsidR="00994217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Kratkoročni cilj </w:t>
            </w:r>
          </w:p>
          <w:p w14:paraId="4AB1BC4E" w14:textId="4EB5EF03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91C89E" w14:textId="3F9FF749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Cilj prošle godine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2031.</w:t>
            </w:r>
          </w:p>
        </w:tc>
        <w:tc>
          <w:tcPr>
            <w:tcW w:w="11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CA056E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F10FE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0A7B" w:rsidRPr="0064355F" w14:paraId="58309A88" w14:textId="77777777" w:rsidTr="00000A7B">
        <w:trPr>
          <w:trHeight w:val="975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F7FEB8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F3DA77" w14:textId="494BBB2C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Postepeno uvođenje cena ugljenika.</w:t>
            </w:r>
          </w:p>
        </w:tc>
        <w:tc>
          <w:tcPr>
            <w:tcW w:w="901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91110B9" w14:textId="541D892F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Nije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994217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prikazano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[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BB6F09" w14:textId="0A0CE7B9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Pripreme za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sistem određivanja cena ugljenika su završe</w:t>
            </w:r>
            <w:r w:rsidR="009F0DA9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ne</w:t>
            </w:r>
            <w:r w:rsidR="006A5188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9F8056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Integracija u EU STE</w:t>
            </w:r>
          </w:p>
        </w:tc>
        <w:tc>
          <w:tcPr>
            <w:tcW w:w="11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D0B5BCD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DAB46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0A7B" w:rsidRPr="0064355F" w14:paraId="31D3931C" w14:textId="77777777" w:rsidTr="00000A7B">
        <w:trPr>
          <w:trHeight w:val="315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A54825" w14:textId="298A0013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CD8D21" w14:textId="2C8B7530" w:rsidR="00571EAF" w:rsidRPr="0064355F" w:rsidRDefault="00395B4E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Akcija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AC1516" w14:textId="6B4A7F09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Krajnji rok</w:t>
            </w:r>
          </w:p>
        </w:tc>
        <w:tc>
          <w:tcPr>
            <w:tcW w:w="145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AB1CEA1" w14:textId="46142801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Budžet</w:t>
            </w:r>
          </w:p>
        </w:tc>
        <w:tc>
          <w:tcPr>
            <w:tcW w:w="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509D9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Izvor finansiranja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BAEFBE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Vodeća i prateća 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institucija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8C1ADA" w14:textId="05648E1C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Proizvod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EED3F8" w14:textId="57DE020B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Reference u 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dokumentima</w:t>
            </w:r>
          </w:p>
        </w:tc>
        <w:tc>
          <w:tcPr>
            <w:tcW w:w="10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46A277" w14:textId="5B02854D" w:rsidR="00571EAF" w:rsidRPr="0064355F" w:rsidRDefault="00A87BA9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Napredak u </w:t>
            </w:r>
            <w:r w:rsidR="00756085" w:rsidRPr="0064355F">
              <w:rPr>
                <w:rFonts w:ascii="Times New Roman" w:eastAsia="Times New Roman" w:hAnsi="Times New Roman" w:cs="Times New Roman"/>
                <w:b/>
                <w:bCs/>
              </w:rPr>
              <w:t>sprovođenju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 januar-jun </w:t>
            </w:r>
            <w:r w:rsidR="004A664A" w:rsidRPr="0064355F">
              <w:rPr>
                <w:rFonts w:ascii="Times New Roman" w:eastAsia="Times New Roman" w:hAnsi="Times New Roman" w:cs="Times New Roman"/>
                <w:b/>
                <w:bCs/>
              </w:rPr>
              <w:t>2025.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756085" w:rsidRPr="0064355F">
              <w:rPr>
                <w:rFonts w:ascii="Times New Roman" w:eastAsia="Times New Roman" w:hAnsi="Times New Roman" w:cs="Times New Roman"/>
                <w:b/>
                <w:bCs/>
              </w:rPr>
              <w:t>godine</w:t>
            </w:r>
          </w:p>
        </w:tc>
      </w:tr>
      <w:tr w:rsidR="00000A7B" w:rsidRPr="0064355F" w14:paraId="57C3F695" w14:textId="77777777" w:rsidTr="00000A7B">
        <w:trPr>
          <w:trHeight w:val="300"/>
        </w:trPr>
        <w:tc>
          <w:tcPr>
            <w:tcW w:w="2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F77F5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9C33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35E04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EA801E" w14:textId="6A74CB69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41CF5E" w14:textId="78842ADC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BD4C80" w14:textId="56BA8B07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2C8E02" w14:textId="07EEC062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0D5D1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78CC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00CDF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AC6C4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81B80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00A7B" w:rsidRPr="0064355F" w14:paraId="21D57053" w14:textId="77777777" w:rsidTr="00000A7B">
        <w:trPr>
          <w:trHeight w:val="825"/>
        </w:trPr>
        <w:tc>
          <w:tcPr>
            <w:tcW w:w="2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A05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F579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00CD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39EE99" w14:textId="05508B98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833088" w14:textId="778AA527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E9C027" w14:textId="3B040443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7D5D7A" w14:textId="5BD24B7A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7EBD5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F346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A2E28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98D1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6C662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922D1" w:rsidRPr="0064355F" w14:paraId="6DA789A0" w14:textId="77777777" w:rsidTr="00000A7B">
        <w:trPr>
          <w:trHeight w:val="73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2E803" w14:textId="77777777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II.1.1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B75FB" w14:textId="64A5E003" w:rsidR="000922D1" w:rsidRPr="0064355F" w:rsidRDefault="000922D1" w:rsidP="000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Izrada dugoročne strategije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dekarbonizacije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A158B" w14:textId="20CAEBBA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95CE5" w14:textId="77777777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- 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DB081" w14:textId="0DC5AC96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37,228.13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933AE" w14:textId="45C5CA86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32,228.13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08CEC" w14:textId="5B0FF00F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B3D75" w14:textId="50605805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197EE" w14:textId="13366E92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MŽSPPI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E6AFE" w14:textId="0590C78C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Strategija izrađena i </w:t>
            </w:r>
            <w:r w:rsidR="00BA0F21">
              <w:rPr>
                <w:rFonts w:ascii="Times New Roman" w:eastAsia="Times New Roman" w:hAnsi="Times New Roman" w:cs="Times New Roman"/>
                <w:sz w:val="18"/>
                <w:szCs w:val="18"/>
              </w:rPr>
              <w:t>odobrena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B4A8C" w14:textId="7F9E23D5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Nacrt zakona o klimatskim promenama.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984877" w14:textId="6A530DF0" w:rsidR="000922D1" w:rsidRPr="0064355F" w:rsidRDefault="000922D1" w:rsidP="0009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Nula odsto (0%)</w:t>
            </w:r>
          </w:p>
          <w:p w14:paraId="6557A025" w14:textId="71677599" w:rsidR="000922D1" w:rsidRPr="0064355F" w:rsidRDefault="000922D1" w:rsidP="0009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2D1" w:rsidRPr="0064355F" w14:paraId="4A3E2C1D" w14:textId="77777777" w:rsidTr="00ED22A4">
        <w:trPr>
          <w:trHeight w:val="106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7A554" w14:textId="77777777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II.1.2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E5810" w14:textId="77777777" w:rsidR="000922D1" w:rsidRPr="0064355F" w:rsidRDefault="000922D1" w:rsidP="000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Transpozicija i primena MRR (EU) 2018/2066, AVR (EU) 2018/2067 i RA Uredbi (EZ) 765/2008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541C4" w14:textId="64BBDE9D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8E209" w14:textId="77777777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- 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420FA" w14:textId="049B03EA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-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1E904" w14:textId="60C85B56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26,296.00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52242" w14:textId="13634E64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26,296.00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015B7" w14:textId="554C779B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E0239" w14:textId="0612EEAF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MŽSPPI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7F808" w14:textId="54BA3FA1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Transponirana Uredba o praćenju, izveštavanju i verifikaciji.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33501" w14:textId="70D1AFEA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Nacrt zakona o klimatskim promenama.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7650C" w14:textId="74A2DFF5" w:rsidR="000922D1" w:rsidRPr="0064355F" w:rsidRDefault="000922D1" w:rsidP="0009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Nula odsto (0%)</w:t>
            </w:r>
          </w:p>
          <w:p w14:paraId="4F3548FF" w14:textId="018C3795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0DA9" w:rsidRPr="0064355F" w14:paraId="2A705FD3" w14:textId="77777777" w:rsidTr="00ED22A4">
        <w:trPr>
          <w:trHeight w:val="12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F2755" w14:textId="77777777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II.1.3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4B6B5" w14:textId="0B242FF7" w:rsidR="009F0DA9" w:rsidRPr="0064355F" w:rsidRDefault="009F0DA9" w:rsidP="009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Uspostavljanje podrške infrastrukture i sistema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upravljanI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1F488" w14:textId="4D6AEA40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EB06B" w14:textId="77777777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- 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2CD61" w14:textId="77777777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-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DEEF6" w14:textId="652786F4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13,000.00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51C6C" w14:textId="661B3479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13,000.00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038E5" w14:textId="70E807CF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384FB" w14:textId="57A05ED7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MŽSPPI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815837" w14:textId="021ABD95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Funkcionalizacija sistema upravljanja za praćenje, izveštavanje i verifikaciju emisije ugljenika.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21750" w14:textId="6519E919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Nacrt zakona o klimatskim promenama.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43541" w14:textId="3E5A9F80" w:rsidR="009F0DA9" w:rsidRPr="0064355F" w:rsidRDefault="009F0DA9" w:rsidP="009F0D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Nula </w:t>
            </w:r>
            <w:r w:rsidR="00756085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odsto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(0%)</w:t>
            </w:r>
          </w:p>
          <w:p w14:paraId="23E53008" w14:textId="3C4548BC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0DA9" w:rsidRPr="0064355F" w14:paraId="7A9D3661" w14:textId="77777777" w:rsidTr="00000A7B">
        <w:trPr>
          <w:trHeight w:val="49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8EEFB" w14:textId="77777777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II.1.4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4D80B" w14:textId="77DA2938" w:rsidR="009F0DA9" w:rsidRPr="0064355F" w:rsidRDefault="009F0DA9" w:rsidP="009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Studija uticaja cena ugljenika.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0F510" w14:textId="13525ACF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2024.-2025.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64332" w14:textId="77777777" w:rsidR="009F0DA9" w:rsidRPr="0064355F" w:rsidRDefault="009F0DA9" w:rsidP="009F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- 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CD3F1" w14:textId="77777777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-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BAB48" w14:textId="77777777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 -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69DC1" w14:textId="232DC7C1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600,000.00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EE295" w14:textId="5C9D3E06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MMF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7566F" w14:textId="7EDC16CA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MŽSPPI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B8DCF" w14:textId="4FE2566D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Završena studija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BFB7E" w14:textId="77777777" w:rsidR="009F0DA9" w:rsidRPr="0064355F" w:rsidRDefault="009F0DA9" w:rsidP="009F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1BDA94" w14:textId="55EBAA73" w:rsidR="009F0DA9" w:rsidRPr="0064355F" w:rsidRDefault="009F0DA9" w:rsidP="009F0D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A7B" w:rsidRPr="0064355F" w14:paraId="5702D022" w14:textId="77777777" w:rsidTr="00000A7B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3C268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II.2</w:t>
            </w:r>
          </w:p>
        </w:tc>
        <w:tc>
          <w:tcPr>
            <w:tcW w:w="375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9F6D5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Specifični cilj projekta: Promocija obnovljivih izvora energije u potrošnji električne energije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2DADB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0A7B" w:rsidRPr="0064355F" w14:paraId="0BE12F5C" w14:textId="77777777" w:rsidTr="00000A7B">
        <w:trPr>
          <w:trHeight w:val="73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1F79A9F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2F37950" w14:textId="7094DC47" w:rsidR="00571EAF" w:rsidRPr="0064355F" w:rsidRDefault="00EF1AF1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</w:p>
        </w:tc>
        <w:tc>
          <w:tcPr>
            <w:tcW w:w="9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181CAB4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Osnovna vrednost 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B4A30A9" w14:textId="15FD3A51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Kratkoročni cilj </w:t>
            </w:r>
            <w:r w:rsidR="007E6C13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3991FE" w14:textId="50531BBE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Cilj prošle godine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2031.</w:t>
            </w:r>
          </w:p>
        </w:tc>
        <w:tc>
          <w:tcPr>
            <w:tcW w:w="11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A2ABDE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84163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0A7B" w:rsidRPr="0064355F" w14:paraId="1130E9F3" w14:textId="77777777" w:rsidTr="00000A7B">
        <w:trPr>
          <w:trHeight w:val="97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29F56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077895" w14:textId="425F23D9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Ukupni obnovljivi kapaciteti u sektoru električne energije (uključujući proizvođače </w:t>
            </w:r>
            <w:r w:rsidR="00B67CF1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B67CF1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koji sami troše).</w:t>
            </w:r>
          </w:p>
        </w:tc>
        <w:tc>
          <w:tcPr>
            <w:tcW w:w="9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EA9A838" w14:textId="3DEF4F4E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279 MW [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DA7601C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490 MW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EDE13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1600 MW</w:t>
            </w:r>
          </w:p>
        </w:tc>
        <w:tc>
          <w:tcPr>
            <w:tcW w:w="11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03A58D2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E2290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0A7B" w:rsidRPr="0064355F" w14:paraId="36F0BDB2" w14:textId="77777777" w:rsidTr="00000A7B">
        <w:trPr>
          <w:trHeight w:val="49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BB7AB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1CAED" w14:textId="31B33EF8" w:rsidR="00571EAF" w:rsidRPr="0064355F" w:rsidRDefault="00C311E0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Kapacitet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proizvođača koji sami konzumiraju (proizvođača-potrošača).</w:t>
            </w:r>
          </w:p>
        </w:tc>
        <w:tc>
          <w:tcPr>
            <w:tcW w:w="9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0A2BB97" w14:textId="53422098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 MW (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E03735C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30 MW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D72A8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Minimalno 100 MW</w:t>
            </w:r>
          </w:p>
        </w:tc>
        <w:tc>
          <w:tcPr>
            <w:tcW w:w="11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2D44F86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BC63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0A7B" w:rsidRPr="0064355F" w14:paraId="13834495" w14:textId="77777777" w:rsidTr="00000A7B">
        <w:trPr>
          <w:trHeight w:val="315"/>
        </w:trPr>
        <w:tc>
          <w:tcPr>
            <w:tcW w:w="2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AA1D98" w14:textId="4097F7BE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3E3872" w14:textId="24E15178" w:rsidR="00571EAF" w:rsidRPr="0064355F" w:rsidRDefault="00395B4E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Akcija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083A4B" w14:textId="0E05A8B5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Krajnji rok</w:t>
            </w:r>
          </w:p>
        </w:tc>
        <w:tc>
          <w:tcPr>
            <w:tcW w:w="145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9B110A8" w14:textId="1B938B4A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Budžet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D8ECD3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Izvor finansiranja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0234CB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Vodeća i prateća institucija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B016EF" w14:textId="5CD403B1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Proizvod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6C715D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Reference u dokumentima</w:t>
            </w:r>
          </w:p>
        </w:tc>
        <w:tc>
          <w:tcPr>
            <w:tcW w:w="10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45F2E0" w14:textId="583ECA3A" w:rsidR="00571EAF" w:rsidRPr="0064355F" w:rsidRDefault="00A25CE5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Napredak u </w:t>
            </w:r>
            <w:r w:rsidR="00756085" w:rsidRPr="0064355F">
              <w:rPr>
                <w:rFonts w:ascii="Times New Roman" w:eastAsia="Times New Roman" w:hAnsi="Times New Roman" w:cs="Times New Roman"/>
                <w:b/>
                <w:bCs/>
              </w:rPr>
              <w:t>sprovođenju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 januar-jun </w:t>
            </w:r>
            <w:r w:rsidR="004A664A" w:rsidRPr="0064355F">
              <w:rPr>
                <w:rFonts w:ascii="Times New Roman" w:eastAsia="Times New Roman" w:hAnsi="Times New Roman" w:cs="Times New Roman"/>
                <w:b/>
                <w:bCs/>
              </w:rPr>
              <w:t>2025.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756085" w:rsidRPr="0064355F">
              <w:rPr>
                <w:rFonts w:ascii="Times New Roman" w:eastAsia="Times New Roman" w:hAnsi="Times New Roman" w:cs="Times New Roman"/>
                <w:b/>
                <w:bCs/>
              </w:rPr>
              <w:t>godine</w:t>
            </w:r>
          </w:p>
        </w:tc>
      </w:tr>
      <w:tr w:rsidR="00000A7B" w:rsidRPr="0064355F" w14:paraId="42B945DA" w14:textId="77777777" w:rsidTr="00000A7B">
        <w:trPr>
          <w:trHeight w:val="300"/>
        </w:trPr>
        <w:tc>
          <w:tcPr>
            <w:tcW w:w="2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ACD5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53C55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850A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BB3DB0" w14:textId="7FFBD3F2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3A37B1" w14:textId="2112E9B3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776854" w14:textId="1C90F647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EA2F10" w14:textId="68B6D50B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C5CC5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FB0E1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1943B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09C3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68CED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00A7B" w:rsidRPr="0064355F" w14:paraId="7CEF077E" w14:textId="77777777" w:rsidTr="00000A7B">
        <w:trPr>
          <w:trHeight w:val="735"/>
        </w:trPr>
        <w:tc>
          <w:tcPr>
            <w:tcW w:w="2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9894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4FEE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4AD8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C1EF4E" w14:textId="105C91DC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066650" w14:textId="1139E178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900950" w14:textId="3856D775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C244D1" w14:textId="34624EAD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6B80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FB86B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2CEC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40721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25E79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CC4C03" w:rsidRPr="0064355F" w14:paraId="4DF26196" w14:textId="77777777" w:rsidTr="00000A7B">
        <w:trPr>
          <w:trHeight w:val="73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F6E2C" w14:textId="77777777" w:rsidR="00CC4C03" w:rsidRPr="0064355F" w:rsidRDefault="00CC4C03" w:rsidP="00CC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II.2.1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2827F" w14:textId="2D4168E7" w:rsidR="00CC4C03" w:rsidRPr="0064355F" w:rsidRDefault="00CC4C03" w:rsidP="00CC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Izrada Zakona o obnovljivim izvorima energije.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52D5B" w14:textId="254D4E3D" w:rsidR="00CC4C03" w:rsidRPr="0064355F" w:rsidRDefault="00CC4C03" w:rsidP="00CC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9F990" w14:textId="43E40433" w:rsidR="00CC4C03" w:rsidRPr="0064355F" w:rsidRDefault="00CC4C03" w:rsidP="00CC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€ 12,000.00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7ECBF" w14:textId="1FD993B1" w:rsidR="00CC4C03" w:rsidRPr="0064355F" w:rsidRDefault="00CC4C03" w:rsidP="00CC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2,000.00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105D" w14:textId="77777777" w:rsidR="00CC4C03" w:rsidRPr="0064355F" w:rsidRDefault="00CC4C03" w:rsidP="00CC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 -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A835F" w14:textId="77777777" w:rsidR="00CC4C03" w:rsidRPr="0064355F" w:rsidRDefault="00CC4C03" w:rsidP="00CC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EA736" w14:textId="079CE6E6" w:rsidR="00CC4C03" w:rsidRPr="0064355F" w:rsidRDefault="00CC4C03" w:rsidP="00CC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donatori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1805B" w14:textId="77777777" w:rsidR="00CC4C03" w:rsidRPr="0064355F" w:rsidRDefault="00CC4C03" w:rsidP="00CC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616AC" w14:textId="1304EABA" w:rsidR="00CC4C03" w:rsidRPr="0064355F" w:rsidRDefault="00CC4C03" w:rsidP="00CC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Zakon o OIE izrađen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 usvojen.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0A8BD" w14:textId="3B5CEDAC" w:rsidR="00CC4C03" w:rsidRPr="0064355F" w:rsidRDefault="00CC4C03" w:rsidP="00CC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635FF" w14:textId="60DB66F9" w:rsidR="00CC4C03" w:rsidRPr="0064355F" w:rsidRDefault="00CC4C03" w:rsidP="00CC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22D1" w:rsidRPr="0064355F" w14:paraId="5AB38894" w14:textId="77777777" w:rsidTr="00A835FC">
        <w:trPr>
          <w:trHeight w:val="430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968B2F" w14:textId="77777777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II.2.2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F9593" w14:textId="77777777" w:rsidR="000922D1" w:rsidRPr="0064355F" w:rsidRDefault="000922D1" w:rsidP="000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Usvajanje podzakonskih akata u vezi sa Zakonom o obnovljivim izvorima energije</w:t>
            </w:r>
          </w:p>
          <w:p w14:paraId="38668628" w14:textId="1BA0231A" w:rsidR="000922D1" w:rsidRPr="0064355F" w:rsidRDefault="000922D1" w:rsidP="000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(OIE).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57E94" w14:textId="3903F15E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5C9A3" w14:textId="77777777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- 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52BD6" w14:textId="00A62FEC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8,000.00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F7E5F" w14:textId="6272BAF6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8,000.00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FBCE1" w14:textId="77777777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DF0AE" w14:textId="6B468594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donatori.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74777" w14:textId="15A8172D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RUE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D4445" w14:textId="6D3D95A4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Usvojeno sekundarno zakonodavstvo.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0F311" w14:textId="3F65C497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28E56" w14:textId="0EF66E1F" w:rsidR="000922D1" w:rsidRPr="0064355F" w:rsidRDefault="000922D1" w:rsidP="000922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Sedamdeset odsto (70%)           </w:t>
            </w:r>
          </w:p>
          <w:p w14:paraId="4D1B1AA7" w14:textId="77777777" w:rsidR="000922D1" w:rsidRPr="0064355F" w:rsidRDefault="000922D1" w:rsidP="000922D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 Nacrt administrativnog uputstva (AU) o nacionalnom cilju obnovljive energije – nacrt je komentarisan i spreman je za preliminarnu i javnu raspravu.                             </w:t>
            </w:r>
          </w:p>
          <w:p w14:paraId="721841B0" w14:textId="279D0024" w:rsidR="000922D1" w:rsidRPr="0064355F" w:rsidRDefault="000922D1" w:rsidP="000922D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Nacrt uredbe o definisanju šema sertifikacije ili ekvivalentnih kvalifikacionih šema- </w:t>
            </w:r>
          </w:p>
          <w:p w14:paraId="2DE7229D" w14:textId="77777777" w:rsidR="000922D1" w:rsidRPr="0064355F" w:rsidRDefault="000922D1" w:rsidP="000922D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Nacrt Administrativnog uputstva (AU) za utvrđivanje krajnjih rokova i uslova za odobravanje podrške za proizvodnju toplotne energije iz Obnovljivih izvora energije (OIE) ili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visokoefikasne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kogeneracije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nacrt je izrađen i čekamo komentare članova Radne grupe kako bi se nacrt stavio na preliminarnu i javnu raspravu.</w:t>
            </w:r>
          </w:p>
          <w:p w14:paraId="07F27DB2" w14:textId="77777777" w:rsidR="000922D1" w:rsidRPr="0064355F" w:rsidRDefault="000922D1" w:rsidP="000922D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  Nacrt administrativnog uputstva (AU) o utvrđivanju mera za povećanje učešća obnovljivih izvora energije (OIE) u sektoru grejanja i hlađenja – čekamo komentare članova Radne grupe (RG) i nakon obrade komentara, nacrt će biti spreman za preliminarnu i javnu raspravu.</w:t>
            </w:r>
          </w:p>
          <w:p w14:paraId="62B15C8C" w14:textId="77777777" w:rsidR="000922D1" w:rsidRPr="0064355F" w:rsidRDefault="000922D1" w:rsidP="000922D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 Nacrt administrativnog uputstva  (AU) za One Stop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Shop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 obnovljive izvore energije (OIE) – čekamo komentare članova Radne grupe (RG) za nacrt koji će biti stavljen na preliminarnu i javnu raspravu.</w:t>
            </w:r>
          </w:p>
          <w:p w14:paraId="1230E9FD" w14:textId="255A2044" w:rsidR="000922D1" w:rsidRPr="0064355F" w:rsidRDefault="000922D1" w:rsidP="000922D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 Nacrt Administrativnog  uputstva (AU) za izračunavanje svih vrsta energenta u prodatoj električnoj energiji i način kontrole za proračune, čekamo komentare članova Radne grupe (RG) i nakon obrade komentara, nacrt će biti spreman za preliminarnu i javnu raspravu.</w:t>
            </w:r>
          </w:p>
          <w:p w14:paraId="73B954CD" w14:textId="404A18DD" w:rsidR="000922D1" w:rsidRPr="0064355F" w:rsidRDefault="000922D1" w:rsidP="000922D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7. Nacrt administrativnog uputstava (AU) za izračunavanje uticaja gasova staklene bašte (SB) iz biogoriva,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biotečnosti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derivata biomase. Nacrt je komentarisan i spreman je za preliminarnu i javnu raspravu. </w:t>
            </w:r>
          </w:p>
          <w:p w14:paraId="3159BCFA" w14:textId="43698792" w:rsidR="000922D1" w:rsidRPr="0064355F" w:rsidRDefault="000922D1" w:rsidP="00092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56EBF" w:rsidRPr="0064355F" w14:paraId="7813F1A7" w14:textId="77777777" w:rsidTr="00000A7B">
        <w:trPr>
          <w:trHeight w:val="1528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B73BA" w14:textId="77777777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II.2.3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377DE" w14:textId="28D7163A" w:rsidR="00256EBF" w:rsidRPr="0064355F" w:rsidRDefault="00256EBF" w:rsidP="00256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Izrada sekundarnog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zakonodavstvao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proizvođačima-potrošačima.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A5C90" w14:textId="3E9CD402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DBCC8" w14:textId="6913AACC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6,000.00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00E89" w14:textId="77777777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-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A7B5B" w14:textId="77777777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 -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B26E2" w14:textId="77777777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F50E3" w14:textId="77777777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Donatori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F1BC8" w14:textId="28FFA938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RUE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9C9A8" w14:textId="67BCD016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Usvojeno sekundarno zakonodavstvo.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A1191" w14:textId="50C28FC3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Pravila za potrošače.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0B1DA" w14:textId="252EE6C1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EBF" w:rsidRPr="0064355F" w14:paraId="60DC1E7B" w14:textId="77777777" w:rsidTr="00000A7B">
        <w:trPr>
          <w:trHeight w:val="49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A7E5E" w14:textId="77777777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II.2.4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EA8CC" w14:textId="139A2865" w:rsidR="00256EBF" w:rsidRPr="0064355F" w:rsidRDefault="00256EBF" w:rsidP="00256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Finalizacija OSD priključenja poreske metodologije.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E9358" w14:textId="7EDADDDD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76CC3" w14:textId="52AD7440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€ 20,000.00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44DDA" w14:textId="77777777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-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B9C4F" w14:textId="77777777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 -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83CC6" w14:textId="77777777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022A3" w14:textId="691077E6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RUE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DB597" w14:textId="3F3AED62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ERO, OSD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C1B54" w14:textId="741195A4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Mrežna integracija.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12534" w14:textId="5E13C67A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Mrežni kod.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D24DE" w14:textId="501C6A68" w:rsidR="00256EBF" w:rsidRPr="0064355F" w:rsidRDefault="00256EBF" w:rsidP="00256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85F" w:rsidRPr="0064355F" w14:paraId="4622B053" w14:textId="77777777" w:rsidTr="00000A7B">
        <w:trPr>
          <w:trHeight w:val="2257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A399C" w14:textId="77777777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II.2.5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10937" w14:textId="70EA2422" w:rsidR="0091485F" w:rsidRPr="0064355F" w:rsidRDefault="0091485F" w:rsidP="0091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Izrada Nacionalnog energetskog i klimatskog plana za period 2025. - 2030.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B3A0D" w14:textId="6D0DE384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EF1F8" w14:textId="77777777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58A7E" w14:textId="2805D5CE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30,000.00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EBD9F" w14:textId="1CA3D9BB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10,000.00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D38EE" w14:textId="77777777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DD6D4" w14:textId="77777777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GIZ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77116" w14:textId="7D5BF47E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MŽSPPI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A2C64" w14:textId="13D4E317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PKEK finalizovan i </w:t>
            </w:r>
            <w:r w:rsidR="00BA0F21">
              <w:rPr>
                <w:rFonts w:ascii="Times New Roman" w:eastAsia="Times New Roman" w:hAnsi="Times New Roman" w:cs="Times New Roman"/>
                <w:sz w:val="18"/>
                <w:szCs w:val="18"/>
              </w:rPr>
              <w:t>odobren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5B22C" w14:textId="5EDBBEAE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12485" w14:textId="6D2B0879" w:rsidR="0091485F" w:rsidRPr="0064355F" w:rsidRDefault="0091485F" w:rsidP="009148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1485F" w:rsidRPr="0064355F" w14:paraId="27BE21CE" w14:textId="77777777" w:rsidTr="00000A7B">
        <w:trPr>
          <w:trHeight w:val="735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327DC" w14:textId="77777777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II.2.6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CF63E" w14:textId="220BC923" w:rsidR="0091485F" w:rsidRPr="0064355F" w:rsidRDefault="0091485F" w:rsidP="0091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Najava prve pilot aukcije.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F81C3" w14:textId="64A2C02C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1FC7E" w14:textId="1526C168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4,000.00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041C5" w14:textId="5F5155CF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20,000.00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7EDCB" w14:textId="77777777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 -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A6CAC" w14:textId="77777777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7D9DA" w14:textId="26370B34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(BK).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D5218" w14:textId="66AB429E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RUE</w:t>
            </w:r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32AA6" w14:textId="2085CD11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Organizovanje konkurentnih aukcija radi povećanja učešća OIE-a sa 100 MW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80A87" w14:textId="3A87A4DB" w:rsidR="0091485F" w:rsidRPr="0064355F" w:rsidRDefault="0091485F" w:rsidP="0091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8D05B" w14:textId="000D5DC9" w:rsidR="0091485F" w:rsidRPr="0064355F" w:rsidRDefault="0091485F" w:rsidP="00914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55F">
              <w:rPr>
                <w:rFonts w:ascii="Times New Roman" w:eastAsia="Times New Roman" w:hAnsi="Times New Roman" w:cs="Times New Roman"/>
                <w:sz w:val="20"/>
                <w:szCs w:val="20"/>
              </w:rPr>
              <w:t>Završen je 2023. godine.</w:t>
            </w:r>
          </w:p>
        </w:tc>
      </w:tr>
      <w:tr w:rsidR="00000A7B" w:rsidRPr="0064355F" w14:paraId="01C97B9E" w14:textId="77777777" w:rsidTr="00000A7B">
        <w:trPr>
          <w:trHeight w:val="735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3A12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II.2.7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9E2F5" w14:textId="39300162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Dodela i ugovaranje prve pilot aukcije.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494AB" w14:textId="613432E5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8186B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- 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DB8D5" w14:textId="40D82E9E" w:rsidR="00571EAF" w:rsidRPr="0064355F" w:rsidRDefault="0091485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€       4,000.00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895CE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 -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7ABD1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762AB" w14:textId="02EFA2C2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</w:t>
            </w:r>
            <w:r w:rsidR="0091485F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BK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1099E" w14:textId="478C3B00" w:rsidR="00571EAF" w:rsidRPr="0064355F" w:rsidRDefault="00910351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ME, </w:t>
            </w:r>
            <w:r w:rsidR="0091485F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RUE</w:t>
            </w: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5AE7E2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EC21C" w14:textId="36867F48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84D10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2031.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E9936D" w14:textId="1E1E3E8A" w:rsidR="00571EAF" w:rsidRPr="0064355F" w:rsidRDefault="00DE06F0" w:rsidP="00DE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Završen je </w:t>
            </w:r>
            <w:r w:rsidR="00D84D10" w:rsidRPr="006435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2024.</w:t>
            </w:r>
            <w:r w:rsidRPr="006435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D1A39" w:rsidRPr="006435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godine</w:t>
            </w:r>
            <w:r w:rsidR="006A5188" w:rsidRPr="006435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0922D1" w:rsidRPr="0064355F" w14:paraId="4C4254C4" w14:textId="77777777" w:rsidTr="00ED22A4">
        <w:trPr>
          <w:trHeight w:val="70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806A9" w14:textId="77777777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II.2.8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445F5" w14:textId="746BA526" w:rsidR="000922D1" w:rsidRPr="0064355F" w:rsidRDefault="000922D1" w:rsidP="000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Izgradnja kapaciteta od 100 MW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C9A32" w14:textId="1FB879F8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47A54" w14:textId="77777777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-  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5E69F" w14:textId="77777777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-   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D3036" w14:textId="45DF6E6A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75,000,000.00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F6846" w14:textId="77777777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02B69" w14:textId="77777777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Privatne investicije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E16C9" w14:textId="219C5EC5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RUE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D0D57" w14:textId="21C96CC0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Izgradnja PV solarne elektrane 100 MW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580DE" w14:textId="4D30719F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0DE88" w14:textId="77777777" w:rsidR="000922D1" w:rsidRPr="0064355F" w:rsidRDefault="000922D1" w:rsidP="000922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Trideset odsto (30%)</w:t>
            </w:r>
          </w:p>
          <w:p w14:paraId="2137D270" w14:textId="4AFFAC5D" w:rsidR="000922D1" w:rsidRPr="0064355F" w:rsidRDefault="000922D1" w:rsidP="000922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Razvijač projekta je obezbedio potrebne dozvole Ministarstva životne sredine, prostornog planiranja i infrastrukture (MŽSPPI) i trenutno je u procesu podnošenja zahteva za konačno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odobrenje Regulatornog ureda za energetiku (RUE). U međuvremenu je završena ponovna procena postupka izbora nezavisnog inženjera i izabran je relevantni ekonomski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eperater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(EO). Takođe, pripremljen je i ugovor o zakupu zemljišta između Opštine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Orahovac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Ministarstva ekonomije (ME).</w:t>
            </w:r>
          </w:p>
          <w:p w14:paraId="719DC2AD" w14:textId="4BDB3FBE" w:rsidR="000922D1" w:rsidRPr="0064355F" w:rsidRDefault="000922D1" w:rsidP="000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C4639" w:rsidRPr="0064355F" w14:paraId="6A46E5AD" w14:textId="77777777" w:rsidTr="00ED22A4">
        <w:trPr>
          <w:trHeight w:val="12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ACF07" w14:textId="77777777" w:rsidR="00DC4639" w:rsidRPr="0064355F" w:rsidRDefault="00DC4639" w:rsidP="00D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II.2.9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501A1" w14:textId="1672A496" w:rsidR="00DC4639" w:rsidRPr="0064355F" w:rsidRDefault="00DC4639" w:rsidP="00DC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Uspostavljanje jedinice za razvoj kapaciteta OIE.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C5F46" w14:textId="6AB06D53" w:rsidR="00DC4639" w:rsidRPr="0064355F" w:rsidRDefault="00DC4639" w:rsidP="00D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FB57A" w14:textId="77777777" w:rsidR="00DC4639" w:rsidRPr="0064355F" w:rsidRDefault="00DC4639" w:rsidP="00D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-  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1FA3D" w14:textId="77777777" w:rsidR="00DC4639" w:rsidRPr="0064355F" w:rsidRDefault="00DC4639" w:rsidP="00D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- 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9C5CE" w14:textId="6F29D665" w:rsidR="00DC4639" w:rsidRPr="0064355F" w:rsidRDefault="00DC4639" w:rsidP="00D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36,000.00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67343" w14:textId="77777777" w:rsidR="00DC4639" w:rsidRPr="0064355F" w:rsidRDefault="00DC4639" w:rsidP="00D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09BE5" w14:textId="6F191DFC" w:rsidR="00DC4639" w:rsidRPr="0064355F" w:rsidRDefault="00DC4639" w:rsidP="00D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96FC3" w14:textId="77777777" w:rsidR="00DC4639" w:rsidRPr="0064355F" w:rsidRDefault="00DC4639" w:rsidP="00D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1884C" w14:textId="36DE9D48" w:rsidR="00DC4639" w:rsidRPr="0064355F" w:rsidRDefault="00DC4639" w:rsidP="00D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Jedinica za razvoj kapaciteta po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etabliranim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OIE.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69A23" w14:textId="199FB4D5" w:rsidR="00DC4639" w:rsidRPr="0064355F" w:rsidRDefault="00DC4639" w:rsidP="00D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2022.-2031. 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3F1FA" w14:textId="34F33BEF" w:rsidR="00DC4639" w:rsidRPr="0064355F" w:rsidRDefault="00DC4639" w:rsidP="00D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Šezdeset posto (60%)</w:t>
            </w:r>
          </w:p>
        </w:tc>
      </w:tr>
      <w:tr w:rsidR="000922D1" w:rsidRPr="0064355F" w14:paraId="4AB93F72" w14:textId="77777777" w:rsidTr="00A835FC">
        <w:trPr>
          <w:trHeight w:val="2145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E6003B" w14:textId="77777777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II.2.10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39DDD" w14:textId="593A66B4" w:rsidR="000922D1" w:rsidRPr="0064355F" w:rsidRDefault="000922D1" w:rsidP="000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Izgradnja solarne elektrane 100 MW u KEK-u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C1D99" w14:textId="48198495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84928" w14:textId="77777777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- 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B3D74" w14:textId="4BEF0B49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500,000.00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14E46" w14:textId="4875AC82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65,000,000.00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4CA0B" w14:textId="5C86F6EE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40,000,000.00 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7D014" w14:textId="069BD772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55F">
              <w:rPr>
                <w:rFonts w:ascii="Times New Roman" w:hAnsi="Times New Roman" w:cs="Times New Roman"/>
                <w:sz w:val="20"/>
                <w:szCs w:val="20"/>
              </w:rPr>
              <w:t xml:space="preserve">10.000.000 € </w:t>
            </w:r>
            <w:proofErr w:type="spellStart"/>
            <w:r w:rsidRPr="0064355F">
              <w:rPr>
                <w:rFonts w:ascii="Times New Roman" w:hAnsi="Times New Roman" w:cs="Times New Roman"/>
                <w:sz w:val="20"/>
                <w:szCs w:val="20"/>
              </w:rPr>
              <w:t>KEKdonacija</w:t>
            </w:r>
            <w:proofErr w:type="spellEnd"/>
            <w:r w:rsidRPr="0064355F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proofErr w:type="spellStart"/>
            <w:r w:rsidRPr="0064355F">
              <w:rPr>
                <w:rFonts w:ascii="Times New Roman" w:hAnsi="Times New Roman" w:cs="Times New Roman"/>
                <w:sz w:val="20"/>
                <w:szCs w:val="20"/>
              </w:rPr>
              <w:t>KfW</w:t>
            </w:r>
            <w:proofErr w:type="spellEnd"/>
            <w:r w:rsidRPr="0064355F">
              <w:rPr>
                <w:rFonts w:ascii="Times New Roman" w:hAnsi="Times New Roman" w:cs="Times New Roman"/>
                <w:sz w:val="20"/>
                <w:szCs w:val="20"/>
              </w:rPr>
              <w:t xml:space="preserve">, EIB Trošak projekta 104 miliona €. Trideset odsto (30%) </w:t>
            </w:r>
            <w:proofErr w:type="spellStart"/>
            <w:r w:rsidRPr="0064355F">
              <w:rPr>
                <w:rFonts w:ascii="Times New Roman" w:hAnsi="Times New Roman" w:cs="Times New Roman"/>
                <w:sz w:val="20"/>
                <w:szCs w:val="20"/>
              </w:rPr>
              <w:t>granta</w:t>
            </w:r>
            <w:proofErr w:type="spellEnd"/>
            <w:r w:rsidRPr="0064355F">
              <w:rPr>
                <w:rFonts w:ascii="Times New Roman" w:hAnsi="Times New Roman" w:cs="Times New Roman"/>
                <w:sz w:val="20"/>
                <w:szCs w:val="20"/>
              </w:rPr>
              <w:t xml:space="preserve"> za projekat iz EU, trideset odsto (30%) kredita od </w:t>
            </w:r>
            <w:proofErr w:type="spellStart"/>
            <w:r w:rsidRPr="0064355F">
              <w:rPr>
                <w:rFonts w:ascii="Times New Roman" w:hAnsi="Times New Roman" w:cs="Times New Roman"/>
                <w:sz w:val="20"/>
                <w:szCs w:val="20"/>
              </w:rPr>
              <w:t>Kfw</w:t>
            </w:r>
            <w:proofErr w:type="spellEnd"/>
            <w:r w:rsidRPr="006435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3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i trideset odsto (30%) kredita od Evropske investicione banke.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65F11" w14:textId="54F57353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9D3D0" w14:textId="4BFD56DC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Izgradnja solarne elektrane od 100 MW, za koju se očekuje da će biti operativna 2025. godine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F94B9" w14:textId="6CA67726" w:rsidR="000922D1" w:rsidRPr="0064355F" w:rsidRDefault="000922D1" w:rsidP="0009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. Strategija razvoja KEK-a za period 2021.-2025.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9B9A3" w14:textId="6F6FDA90" w:rsidR="000922D1" w:rsidRPr="0064355F" w:rsidRDefault="000922D1" w:rsidP="0009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Deset odsto (10%)</w:t>
            </w:r>
          </w:p>
          <w:p w14:paraId="3120B55C" w14:textId="77777777" w:rsidR="000922D1" w:rsidRPr="0064355F" w:rsidRDefault="000922D1" w:rsidP="00092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67A0C7E" w14:textId="286E037B" w:rsidR="000922D1" w:rsidRPr="0064355F" w:rsidRDefault="000922D1" w:rsidP="000922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Pripremljen je tenderski dosije za fazu I /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predkvalifikacije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, za koju se očekuje da će biti objavljena u avgustu 2025. godine.  Zatim se nastavlja u drugoj fazi sa kompanijama koje su unapred kvalifikovane za realizaciju projekta.</w:t>
            </w:r>
          </w:p>
          <w:p w14:paraId="31A965F5" w14:textId="4F77CFBF" w:rsidR="000922D1" w:rsidRPr="0064355F" w:rsidRDefault="000922D1" w:rsidP="0009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7605" w:rsidRPr="0064355F" w14:paraId="3E6D8E86" w14:textId="77777777" w:rsidTr="00000A7B">
        <w:trPr>
          <w:trHeight w:val="258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3D148" w14:textId="77777777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II.2.11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07AF7" w14:textId="77981345" w:rsidR="00AC7605" w:rsidRPr="0064355F" w:rsidRDefault="00AC7605" w:rsidP="00AC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Studija izvodljivosti za identifikaciju odgovarajućih javnih zemljišta za FV i vetar faza tri.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A3E56" w14:textId="2809FC74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60C3C" w14:textId="77777777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- 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02CF9" w14:textId="3317E37A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299,000.00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A0866" w14:textId="77777777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 -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116E2" w14:textId="77777777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7B03E" w14:textId="77777777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Evropska komisija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13A0C" w14:textId="72AE8CC6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ME, MŽSPPI  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CE48E" w14:textId="63708DF9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Procena pogodnih lokacija obnovljivih izvora energije u javnom vlasništvu.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901B7" w14:textId="34791B69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43930F" w14:textId="3E8014A0" w:rsidR="00AC7605" w:rsidRPr="0064355F" w:rsidRDefault="00AC7605" w:rsidP="00AC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5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7605" w:rsidRPr="0064355F" w14:paraId="5956157F" w14:textId="77777777" w:rsidTr="00911F78">
        <w:trPr>
          <w:trHeight w:val="385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18FFC" w14:textId="77777777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II.2.12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D8034" w14:textId="7729FCAD" w:rsidR="00AC7605" w:rsidRPr="0064355F" w:rsidRDefault="00AC7605" w:rsidP="00AC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Pripremni radovi za početak druge specifične tehnološke aukcije.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C1392" w14:textId="0FEE7124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2023.-2024.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7A939" w14:textId="77777777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3B9BC" w14:textId="537B5401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9,000.00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94CD2" w14:textId="2213CBA6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9,000.00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4E0DD" w14:textId="77777777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3708D" w14:textId="674EB0E9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donatori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1AB35" w14:textId="77777777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2163B" w14:textId="061E16DD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Izrada tenderskog dosijea i najava aukcije.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B8037" w14:textId="6FCCB65A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267F4" w14:textId="3F001376" w:rsidR="00AC7605" w:rsidRPr="0064355F" w:rsidRDefault="00AC7605" w:rsidP="00AC76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Pedeset odsto (50%)</w:t>
            </w:r>
          </w:p>
          <w:p w14:paraId="6B16C24B" w14:textId="7EBE868F" w:rsidR="00AC7605" w:rsidRPr="0064355F" w:rsidRDefault="00AC7605" w:rsidP="00AC760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Odluka o pokretanju druge aukcije objavljena je 21. novembra 2024. </w:t>
            </w:r>
            <w:r w:rsidR="00AC3B6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 skladu sa Odlukom br. Protokol br. 6929. Faza kvalifikacionih uslova završena je 17. aprila 2025. </w:t>
            </w:r>
            <w:r w:rsidR="00AC3B6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a ME završava proces objavljivanja 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druge faze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zahteva za podnošenje predloga.</w:t>
            </w:r>
          </w:p>
          <w:p w14:paraId="6672B351" w14:textId="1EA13644" w:rsidR="00AC7605" w:rsidRPr="0064355F" w:rsidRDefault="00AC7605" w:rsidP="00AC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437E" w:rsidRPr="0064355F" w14:paraId="15D34283" w14:textId="77777777" w:rsidTr="00911F78">
        <w:trPr>
          <w:trHeight w:val="385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0A79" w14:textId="4B421DBF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</w:rPr>
              <w:lastRenderedPageBreak/>
              <w:t>II.2.13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D559268" w14:textId="427C05D3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Podrška kapacitetima za proizvodnju vetra, uključujući i tehničku pripremu konkretnih projekata.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6DE8071" w14:textId="39D8047F" w:rsidR="002B437E" w:rsidRPr="0064355F" w:rsidRDefault="007E6C13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0F22ED1" w14:textId="0F50F92B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€              - 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5FAD182" w14:textId="3073A078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€ 500,000.00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24429F1" w14:textId="5EDFD7C2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Ukupno € 1,000,000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C09C17E" w14:textId="4C652835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€ 500,000.00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D50C86E" w14:textId="5FC46752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Donatori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F2603A2" w14:textId="0CBCAE7A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Donatori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0664D20" w14:textId="3D7E3132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Tehničke studije, oprema za merenje vetra i druga relevantna tehnička pomoć.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FA96DFC" w14:textId="134FBDC2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Energetska strategija </w:t>
            </w:r>
            <w:r w:rsidR="007E6C13" w:rsidRPr="0064355F">
              <w:rPr>
                <w:rFonts w:ascii="Times New Roman" w:hAnsi="Times New Roman" w:cs="Times New Roman"/>
                <w:sz w:val="18"/>
                <w:szCs w:val="18"/>
              </w:rPr>
              <w:t>2022.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84D10" w:rsidRPr="0064355F">
              <w:rPr>
                <w:rFonts w:ascii="Times New Roman" w:hAnsi="Times New Roman" w:cs="Times New Roman"/>
                <w:sz w:val="18"/>
                <w:szCs w:val="18"/>
              </w:rPr>
              <w:t>2031.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B4702E" w14:textId="56694CAC" w:rsidR="00ED22A4" w:rsidRPr="0064355F" w:rsidRDefault="00ED22A4" w:rsidP="00911F7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  <w:r w:rsidR="00402CA7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Deset odsto  </w:t>
            </w:r>
            <w:r w:rsidR="002C5E47" w:rsidRPr="006435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(10%)</w:t>
            </w:r>
          </w:p>
          <w:p w14:paraId="51ED4094" w14:textId="587F1DDB" w:rsidR="002B437E" w:rsidRPr="0064355F" w:rsidRDefault="002B437E" w:rsidP="00702F9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 strane ME, pripremljeni su i dostavljeni ESCP i SEP dokumenti, koji su bili preduslov za potpisivanje ugovora o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grantu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 </w:t>
            </w:r>
            <w:r w:rsidR="00AC3B6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ugradnju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vetromera. Tokom meseca maja, Svetska banka i </w:t>
            </w:r>
            <w:r w:rsidR="004F3B08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KOSTT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 izvršili terenske posete potencijalnim lokacijama za izradu preliminarnih studija i </w:t>
            </w:r>
            <w:r w:rsidR="00AC3B6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ugradnju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vetromera.</w:t>
            </w:r>
          </w:p>
        </w:tc>
      </w:tr>
      <w:tr w:rsidR="00AC7605" w:rsidRPr="0064355F" w14:paraId="07BAFF64" w14:textId="77777777" w:rsidTr="00000A7B">
        <w:trPr>
          <w:trHeight w:val="225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B20F2" w14:textId="77777777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II.2.14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B9A64" w14:textId="0A623756" w:rsidR="00AC7605" w:rsidRPr="0064355F" w:rsidRDefault="00AC7605" w:rsidP="00AC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Promovisanje i olakšavanje integracije obnovljivih izvora energije (OIE) i energetske efikasnosti (EE) prakse.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EA3D3" w14:textId="74F18AF9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2026.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FCA04" w14:textId="77777777" w:rsidR="00AC7605" w:rsidRPr="0064355F" w:rsidRDefault="00AC7605" w:rsidP="00AC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5D8AB" w14:textId="567BE352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264,100.00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5CA1A" w14:textId="6C574180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2,413,100.00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700D8" w14:textId="3290FF2A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1,715,300.00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81730" w14:textId="4517CCDF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Lux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Dev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E7988" w14:textId="36C57D79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FKEE, MŽSPPI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9423A" w14:textId="1423BC6A" w:rsidR="00AC7605" w:rsidRPr="0064355F" w:rsidRDefault="009F6134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Sprovođenje</w:t>
            </w:r>
            <w:r w:rsidR="00AC7605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EE &amp; OIE </w:t>
            </w:r>
            <w:r w:rsidR="00AC7605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mera, pomoć u izradi regulatornog okvira za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EE &amp; OIE</w:t>
            </w:r>
            <w:r w:rsidR="00AC7605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i obezbeđivanje pristupa mehanizmima finansiranja za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EE &amp; OIE </w:t>
            </w:r>
            <w:r w:rsidR="00AC7605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 malom obimu.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E9398" w14:textId="3B9A4BF4" w:rsidR="00AC7605" w:rsidRPr="0064355F" w:rsidRDefault="00AC7605" w:rsidP="00AC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2B1872" w14:textId="01B97BF5" w:rsidR="00AC7605" w:rsidRPr="0064355F" w:rsidRDefault="00AC7605" w:rsidP="00AC76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Devedeset pet odsto (95%)   </w:t>
            </w:r>
          </w:p>
          <w:p w14:paraId="5BDA6F48" w14:textId="77777777" w:rsidR="00AC3B67" w:rsidRPr="0064355F" w:rsidRDefault="00AC7605" w:rsidP="00AC760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Izrada opštinskog vodiča za sopstvenu potrošnju - Ministarstvo </w:t>
            </w:r>
            <w:r w:rsidR="00AC3B6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ekonomije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Centar za usluge na jednom mestu</w:t>
            </w:r>
          </w:p>
          <w:p w14:paraId="50ABEAA1" w14:textId="2B1B7C5F" w:rsidR="00AC3B67" w:rsidRPr="0064355F" w:rsidRDefault="00AC7605" w:rsidP="00AC760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Izrada  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Administrativn</w:t>
            </w:r>
            <w:r w:rsidR="00AC3B67" w:rsidRPr="0064355F">
              <w:rPr>
                <w:rFonts w:ascii="Times New Roman" w:hAnsi="Times New Roman" w:cs="Times New Roman"/>
                <w:sz w:val="18"/>
                <w:szCs w:val="18"/>
              </w:rPr>
              <w:t>og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3B67" w:rsidRPr="0064355F">
              <w:rPr>
                <w:rFonts w:ascii="Times New Roman" w:hAnsi="Times New Roman" w:cs="Times New Roman"/>
                <w:sz w:val="18"/>
                <w:szCs w:val="18"/>
              </w:rPr>
              <w:t>uputstva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(ME) br. __/2025. o merama za povećanje učešća obnovljivih izvora energije u sektoru grejanja i hlađen</w:t>
            </w:r>
            <w:r w:rsidR="00AC3B67" w:rsidRPr="0064355F">
              <w:rPr>
                <w:rFonts w:ascii="Times New Roman" w:hAnsi="Times New Roman" w:cs="Times New Roman"/>
                <w:sz w:val="18"/>
                <w:szCs w:val="18"/>
              </w:rPr>
              <w:t>je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br/>
              <w:t>Izrada Administrativn</w:t>
            </w:r>
            <w:r w:rsidR="00AC3B67" w:rsidRPr="0064355F">
              <w:rPr>
                <w:rFonts w:ascii="Times New Roman" w:hAnsi="Times New Roman" w:cs="Times New Roman"/>
                <w:sz w:val="18"/>
                <w:szCs w:val="18"/>
              </w:rPr>
              <w:t>og uputstva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(ME) br. __/2025.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 uslovima pružanja podrške za proizvodnju toplotne energije iz obnovljivih izvora ili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kogeneracije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visoke efikasnosti.</w:t>
            </w:r>
          </w:p>
          <w:p w14:paraId="1E2514C1" w14:textId="622ADA0B" w:rsidR="00AC7605" w:rsidRPr="0064355F" w:rsidRDefault="00AC7605" w:rsidP="00AC760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Unapređenje tehničkih i administrativnih kapaciteta za projektovanje aukcija solarne i vetroelektrane, integraciju mreže i </w:t>
            </w:r>
            <w:r w:rsidR="00AC3B6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izradu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tržišta. Opremanje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Ministarstva životne sredine, prostornog planiranja i infrastrukture (</w:t>
            </w:r>
            <w:r w:rsidR="00AC3B6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MŽSPPI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sa povećanim kapacitetima za osmišljavanje i usklađivanje energetskih politika sa direktivama EU</w:t>
            </w:r>
            <w:r w:rsidR="00AC3B6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sa fokusom na obnovljive izvore energije i energetsku efikasnost,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multisektorski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program koji poboljšava mogućnosti dizajniranja i </w:t>
            </w:r>
            <w:r w:rsidR="00AC3B6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sprovođenja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politika u svim oblastima energetske efikasnosti.</w:t>
            </w:r>
          </w:p>
          <w:p w14:paraId="671356A5" w14:textId="77777777" w:rsidR="00AC7605" w:rsidRPr="0064355F" w:rsidRDefault="00AC7605" w:rsidP="00AC76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06116F8" w14:textId="201D4677" w:rsidR="00AC7605" w:rsidRPr="0064355F" w:rsidRDefault="00AC7605" w:rsidP="00AC76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437E" w:rsidRPr="0064355F" w14:paraId="69CB716C" w14:textId="77777777" w:rsidTr="00000A7B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E443E5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II.3</w:t>
            </w:r>
          </w:p>
        </w:tc>
        <w:tc>
          <w:tcPr>
            <w:tcW w:w="375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0D743E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Specifični cilj: Promovisanje održivog korišćenja obnovljivih izvora energije za grejanje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1565F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B437E" w:rsidRPr="0064355F" w14:paraId="773CB781" w14:textId="77777777" w:rsidTr="00000A7B">
        <w:trPr>
          <w:trHeight w:val="73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CCB2044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7A196FC" w14:textId="62BE2D2D" w:rsidR="002B437E" w:rsidRPr="0064355F" w:rsidRDefault="00EF1AF1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</w:p>
        </w:tc>
        <w:tc>
          <w:tcPr>
            <w:tcW w:w="9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D2A29EB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Osnovna vrednost 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5971D8D" w14:textId="2782AB2A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Kratkoročni cilj </w:t>
            </w:r>
            <w:r w:rsidR="007E6C13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556365" w14:textId="2C7AADBC" w:rsidR="002B437E" w:rsidRPr="0064355F" w:rsidRDefault="00391394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Cilj prošle godine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2031.</w:t>
            </w:r>
          </w:p>
        </w:tc>
        <w:tc>
          <w:tcPr>
            <w:tcW w:w="11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D2E3E0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CB51C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B437E" w:rsidRPr="0064355F" w14:paraId="4EA29E65" w14:textId="77777777" w:rsidTr="00000A7B">
        <w:trPr>
          <w:trHeight w:val="735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58C2E0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3904AF" w14:textId="4143540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Instalirani kapacitet </w:t>
            </w:r>
            <w:r w:rsidR="0018406C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OIE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 sistemima centralnog grejanja </w:t>
            </w:r>
            <w:r w:rsidR="0018406C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(CG)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01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5758A6A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MWog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94BBA01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Minimalno 65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MWth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2BACBA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 se utvrdi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Studijom ekonomske opravdanosti</w:t>
            </w:r>
          </w:p>
        </w:tc>
        <w:tc>
          <w:tcPr>
            <w:tcW w:w="1151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8E38C8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52900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437E" w:rsidRPr="0064355F" w14:paraId="4B5DDA1A" w14:textId="77777777" w:rsidTr="00000A7B">
        <w:trPr>
          <w:trHeight w:val="315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A367C6" w14:textId="537FF69D" w:rsidR="002B437E" w:rsidRPr="0064355F" w:rsidRDefault="006A5188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D10406" w14:textId="01BCA710" w:rsidR="002B437E" w:rsidRPr="0064355F" w:rsidRDefault="00395B4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Akcija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944600" w14:textId="02BFB339" w:rsidR="002B437E" w:rsidRPr="0064355F" w:rsidRDefault="00391394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Krajnji rok</w:t>
            </w:r>
          </w:p>
        </w:tc>
        <w:tc>
          <w:tcPr>
            <w:tcW w:w="145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64E5674" w14:textId="477F3A12" w:rsidR="002B437E" w:rsidRPr="0064355F" w:rsidRDefault="00D84D10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Budžet</w:t>
            </w:r>
          </w:p>
        </w:tc>
        <w:tc>
          <w:tcPr>
            <w:tcW w:w="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575B90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Izvor finansiranja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60585C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Vodeća i prateća institucija</w:t>
            </w:r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2AB256" w14:textId="77B7A174" w:rsidR="002B437E" w:rsidRPr="0064355F" w:rsidRDefault="00D84D10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Proizvod</w:t>
            </w: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08832D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Reference u dokumentima</w:t>
            </w:r>
          </w:p>
        </w:tc>
        <w:tc>
          <w:tcPr>
            <w:tcW w:w="10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9D51F4" w14:textId="04DB9258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Napredak u </w:t>
            </w:r>
            <w:r w:rsidR="008E5EC3"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sprovođenju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januar-jun </w:t>
            </w:r>
            <w:r w:rsidR="004A664A"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2025.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E5EC3"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godine</w:t>
            </w:r>
          </w:p>
        </w:tc>
      </w:tr>
      <w:tr w:rsidR="002B437E" w:rsidRPr="0064355F" w14:paraId="1F6A25B9" w14:textId="77777777" w:rsidTr="00000A7B">
        <w:trPr>
          <w:trHeight w:val="300"/>
        </w:trPr>
        <w:tc>
          <w:tcPr>
            <w:tcW w:w="2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4F6D4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E05A0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A8019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812909" w14:textId="069C3BB6" w:rsidR="002B437E" w:rsidRPr="0064355F" w:rsidRDefault="00D84D10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0FEBC1" w14:textId="7403AA75" w:rsidR="002B437E" w:rsidRPr="0064355F" w:rsidRDefault="00D84D10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D40868" w14:textId="1E75D7A4" w:rsidR="002B437E" w:rsidRPr="0064355F" w:rsidRDefault="00D84D10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534797" w14:textId="56E27C89" w:rsidR="002B437E" w:rsidRPr="0064355F" w:rsidRDefault="00D84D10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E1C1C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9371C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41E51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BC78A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2E93A" w14:textId="77777777" w:rsidR="002B437E" w:rsidRPr="0064355F" w:rsidRDefault="002B437E" w:rsidP="002B43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2B437E" w:rsidRPr="0064355F" w14:paraId="6301FB79" w14:textId="77777777" w:rsidTr="00000A7B">
        <w:trPr>
          <w:trHeight w:val="840"/>
        </w:trPr>
        <w:tc>
          <w:tcPr>
            <w:tcW w:w="2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5E0E8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1EEB0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E9794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79C0BD" w14:textId="252FE38B" w:rsidR="002B437E" w:rsidRPr="0064355F" w:rsidRDefault="007E6C13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E3E070" w14:textId="42D0A9A9" w:rsidR="002B437E" w:rsidRPr="0064355F" w:rsidRDefault="007E6C13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25F0FF" w14:textId="4FC32456" w:rsidR="002B437E" w:rsidRPr="0064355F" w:rsidRDefault="007E6C13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9B24FB" w14:textId="67C472C7" w:rsidR="002B437E" w:rsidRPr="0064355F" w:rsidRDefault="007E6C13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66975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870CA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BD392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047E1" w14:textId="77777777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25349" w14:textId="77777777" w:rsidR="002B437E" w:rsidRPr="0064355F" w:rsidRDefault="002B437E" w:rsidP="002B43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8406C" w:rsidRPr="0064355F" w14:paraId="191BCDEF" w14:textId="77777777" w:rsidTr="00577B88">
        <w:trPr>
          <w:trHeight w:val="169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936A2" w14:textId="77777777" w:rsidR="0018406C" w:rsidRPr="0064355F" w:rsidRDefault="0018406C" w:rsidP="001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II.3.1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51D15A" w14:textId="121B344A" w:rsidR="0018406C" w:rsidRPr="0064355F" w:rsidRDefault="0018406C" w:rsidP="0018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Studija izvodljivosti i Procena uticaja na životnu sredinu i društvo (PUŽSD) za sisteme centralnog grejanja (CG) u devet (9) opština Kosova: Gnjilane, Uroševac, Prizren, Peć, Glogovac, Obilić, Severna i Južna Mitrovica &amp;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Zvečan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91DC5" w14:textId="3A926C9C" w:rsidR="0018406C" w:rsidRPr="0064355F" w:rsidRDefault="0018406C" w:rsidP="001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7F19F" w14:textId="3C0FBEEB" w:rsidR="0018406C" w:rsidRPr="0064355F" w:rsidRDefault="0018406C" w:rsidP="001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€ 1,000,000.00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D3F8D" w14:textId="2529A185" w:rsidR="0018406C" w:rsidRPr="0064355F" w:rsidRDefault="0018406C" w:rsidP="001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€ 1,350,000.00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BAF16" w14:textId="77777777" w:rsidR="0018406C" w:rsidRPr="0064355F" w:rsidRDefault="0018406C" w:rsidP="001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 -  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88E93" w14:textId="77777777" w:rsidR="0018406C" w:rsidRPr="0064355F" w:rsidRDefault="0018406C" w:rsidP="001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25DFE" w14:textId="77777777" w:rsidR="0018406C" w:rsidRPr="0064355F" w:rsidRDefault="0018406C" w:rsidP="001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WBIF / IPF10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CA2C6" w14:textId="30795288" w:rsidR="0018406C" w:rsidRPr="0064355F" w:rsidRDefault="0018406C" w:rsidP="001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MŽSPPI, Opštine, MFRT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D8D67" w14:textId="6147FFD9" w:rsidR="0018406C" w:rsidRPr="0064355F" w:rsidRDefault="0018406C" w:rsidP="001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Studija izvodljivosti i </w:t>
            </w:r>
            <w:r w:rsidR="002A202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PUŽSD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su završeni.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66B7B" w14:textId="11E8D216" w:rsidR="0018406C" w:rsidRPr="0064355F" w:rsidRDefault="0018406C" w:rsidP="0018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616F7" w14:textId="4AEB4A33" w:rsidR="0018406C" w:rsidRPr="0064355F" w:rsidRDefault="0018406C" w:rsidP="0018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Završen je 2024. godine.</w:t>
            </w:r>
          </w:p>
        </w:tc>
      </w:tr>
      <w:tr w:rsidR="002B437E" w:rsidRPr="0064355F" w14:paraId="39E3428B" w14:textId="77777777" w:rsidTr="00577B88">
        <w:trPr>
          <w:trHeight w:val="205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8193F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II.3.2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3AD7467" w14:textId="69D8EF0B" w:rsidR="002B437E" w:rsidRPr="0064355F" w:rsidRDefault="002B437E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Solar4Kosovo – Studija izvodljivosti za razvoj solarnog projekta </w:t>
            </w:r>
            <w:r w:rsidR="002A202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solarnog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centralnog grejanja (</w:t>
            </w:r>
            <w:r w:rsidR="002A202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CG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7908D" w14:textId="07635B01" w:rsidR="002B437E" w:rsidRPr="0064355F" w:rsidRDefault="007E6C13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131BD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-  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DE232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-   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B7D65" w14:textId="638DB6A8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A202B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1,000,000.00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64E60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9AC0A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KfW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, EBRD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9DC71" w14:textId="77777777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AA899" w14:textId="29452218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Studija izvodljivosti je završena.</w:t>
            </w:r>
          </w:p>
        </w:tc>
        <w:tc>
          <w:tcPr>
            <w:tcW w:w="40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2F5B6" w14:textId="67F94846" w:rsidR="002B437E" w:rsidRPr="0064355F" w:rsidRDefault="002B437E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84D10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2031.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Plan razvoja Termokosa za period 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8345A7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2031.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A202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0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4997D" w14:textId="4DB9FC83" w:rsidR="00ED22A4" w:rsidRPr="0064355F" w:rsidRDefault="0050075A" w:rsidP="00577B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Devedeset šest odsto   </w:t>
            </w:r>
            <w:r w:rsidRPr="0064355F">
              <w:rPr>
                <w:rFonts w:ascii="Times New Roman" w:hAnsi="Times New Roman" w:cs="Times New Roman"/>
                <w:b/>
                <w:sz w:val="18"/>
                <w:szCs w:val="18"/>
              </w:rPr>
              <w:t>(96%)</w:t>
            </w:r>
          </w:p>
          <w:p w14:paraId="23EE4585" w14:textId="77777777" w:rsidR="008E5EC3" w:rsidRPr="0064355F" w:rsidRDefault="008E5EC3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CA7EB7" w14:textId="77777777" w:rsidR="008E5EC3" w:rsidRPr="0064355F" w:rsidRDefault="002B437E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Projekat obuhvata </w:t>
            </w:r>
            <w:r w:rsidR="008E5EC3" w:rsidRPr="0064355F">
              <w:rPr>
                <w:rFonts w:ascii="Times New Roman" w:hAnsi="Times New Roman" w:cs="Times New Roman"/>
                <w:sz w:val="18"/>
                <w:szCs w:val="18"/>
              </w:rPr>
              <w:t>izgradnju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termoelektrane i integraciju u postojeći sistem centralnog grejanja </w:t>
            </w:r>
            <w:r w:rsidR="0018406C" w:rsidRPr="0064355F">
              <w:rPr>
                <w:rFonts w:ascii="Times New Roman" w:hAnsi="Times New Roman" w:cs="Times New Roman"/>
                <w:sz w:val="18"/>
                <w:szCs w:val="18"/>
              </w:rPr>
              <w:t>(CG)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, uključujući proširenje mreže do 50MVTH.                                                     Što se tiče razvoja ovog projekta, sledeće je završeno:</w:t>
            </w:r>
          </w:p>
          <w:p w14:paraId="2C6C8B1F" w14:textId="77777777" w:rsidR="008E5EC3" w:rsidRPr="0064355F" w:rsidRDefault="002B437E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1. Studija izvodljivosti; </w:t>
            </w:r>
          </w:p>
          <w:p w14:paraId="3E2FEA62" w14:textId="77777777" w:rsidR="008E5EC3" w:rsidRPr="0064355F" w:rsidRDefault="002B437E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2. Projekat procene uticaja na životnu sredinu i društvo (</w:t>
            </w:r>
            <w:r w:rsidR="008E5EC3" w:rsidRPr="0064355F">
              <w:rPr>
                <w:rFonts w:ascii="Times New Roman" w:hAnsi="Times New Roman" w:cs="Times New Roman"/>
                <w:sz w:val="18"/>
                <w:szCs w:val="18"/>
              </w:rPr>
              <w:t>PUŽSD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), na kojem je radio CES-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iC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i finansirao KFW; </w:t>
            </w:r>
          </w:p>
          <w:p w14:paraId="4AA209E2" w14:textId="1E484AB7" w:rsidR="008E5EC3" w:rsidRPr="0064355F" w:rsidRDefault="002B437E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3. Definisana je i </w:t>
            </w:r>
            <w:r w:rsidR="008E5EC3" w:rsidRPr="0064355F">
              <w:rPr>
                <w:rFonts w:ascii="Times New Roman" w:hAnsi="Times New Roman" w:cs="Times New Roman"/>
                <w:sz w:val="18"/>
                <w:szCs w:val="18"/>
              </w:rPr>
              <w:t>odobrena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lokacija na području Hade e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Re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od dvadeset pet hektara (25 ha) zemljišta, za ug</w:t>
            </w:r>
            <w:r w:rsidR="00AF0D80">
              <w:rPr>
                <w:rFonts w:ascii="Times New Roman" w:hAnsi="Times New Roman" w:cs="Times New Roman"/>
                <w:sz w:val="18"/>
                <w:szCs w:val="18"/>
              </w:rPr>
              <w:t>radnja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solarnih panela i rezervoara za toplotnu energiju; </w:t>
            </w:r>
          </w:p>
          <w:p w14:paraId="44A84A49" w14:textId="77777777" w:rsidR="008E5EC3" w:rsidRPr="0064355F" w:rsidRDefault="002B437E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4. Ugovor je potpisan sa konsultantskom </w:t>
            </w:r>
            <w:r w:rsidR="008E5EC3" w:rsidRPr="0064355F">
              <w:rPr>
                <w:rFonts w:ascii="Times New Roman" w:hAnsi="Times New Roman" w:cs="Times New Roman"/>
                <w:sz w:val="18"/>
                <w:szCs w:val="18"/>
              </w:rPr>
              <w:t>kompanijom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za projekat,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iC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– CES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Consulenten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iz Beča, u januaru </w:t>
            </w:r>
            <w:r w:rsidR="00D84D10" w:rsidRPr="0064355F">
              <w:rPr>
                <w:rFonts w:ascii="Times New Roman" w:hAnsi="Times New Roman" w:cs="Times New Roman"/>
                <w:sz w:val="18"/>
                <w:szCs w:val="18"/>
              </w:rPr>
              <w:t>2024.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1A39" w:rsidRPr="0064355F"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  <w:r w:rsidR="006A5188" w:rsidRPr="006435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• Budući da su aktivnosti koje su sprovedene i u toku u vezi sa ovim projektom u šestomesečnom periodu januar – jun </w:t>
            </w:r>
            <w:r w:rsidR="004A664A" w:rsidRPr="0064355F">
              <w:rPr>
                <w:rFonts w:ascii="Times New Roman" w:hAnsi="Times New Roman" w:cs="Times New Roman"/>
                <w:sz w:val="18"/>
                <w:szCs w:val="18"/>
              </w:rPr>
              <w:t>2025.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5EC3" w:rsidRPr="0064355F">
              <w:rPr>
                <w:rFonts w:ascii="Times New Roman" w:hAnsi="Times New Roman" w:cs="Times New Roman"/>
                <w:sz w:val="18"/>
                <w:szCs w:val="18"/>
              </w:rPr>
              <w:t>godini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6562CD8F" w14:textId="77777777" w:rsidR="008E5EC3" w:rsidRPr="0064355F" w:rsidRDefault="002B437E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1. Dobili smo saglasnost za električnu energiju u KEDS-u (priključenje postrojenja na metro 110/10(20)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kV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) i za uslove priključenja na vodovodnu mrežu "</w:t>
            </w:r>
            <w:r w:rsidR="008E5EC3" w:rsidRPr="0064355F">
              <w:rPr>
                <w:rFonts w:ascii="Times New Roman" w:hAnsi="Times New Roman" w:cs="Times New Roman"/>
                <w:sz w:val="18"/>
                <w:szCs w:val="18"/>
              </w:rPr>
              <w:t>RKV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Priština";</w:t>
            </w:r>
          </w:p>
          <w:p w14:paraId="0C5123D8" w14:textId="77777777" w:rsidR="008E5EC3" w:rsidRPr="0064355F" w:rsidRDefault="002B437E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2. Izveštaj </w:t>
            </w:r>
            <w:proofErr w:type="spellStart"/>
            <w:r w:rsidR="008E5EC3" w:rsidRPr="0064355F">
              <w:rPr>
                <w:rFonts w:ascii="Times New Roman" w:hAnsi="Times New Roman" w:cs="Times New Roman"/>
                <w:sz w:val="18"/>
                <w:szCs w:val="18"/>
              </w:rPr>
              <w:t>Planing</w:t>
            </w:r>
            <w:proofErr w:type="spellEnd"/>
            <w:r w:rsidR="008E5EC3"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Project </w:t>
            </w:r>
            <w:proofErr w:type="spellStart"/>
            <w:r w:rsidR="008E5EC3" w:rsidRPr="0064355F">
              <w:rPr>
                <w:rFonts w:ascii="Times New Roman" w:hAnsi="Times New Roman" w:cs="Times New Roman"/>
                <w:sz w:val="18"/>
                <w:szCs w:val="18"/>
              </w:rPr>
              <w:t>Report</w:t>
            </w:r>
            <w:proofErr w:type="spellEnd"/>
            <w:r w:rsidR="008E5EC3"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(PPR) je </w:t>
            </w:r>
            <w:r w:rsidR="008E5EC3" w:rsidRPr="0064355F">
              <w:rPr>
                <w:rFonts w:ascii="Times New Roman" w:hAnsi="Times New Roman" w:cs="Times New Roman"/>
                <w:sz w:val="18"/>
                <w:szCs w:val="18"/>
              </w:rPr>
              <w:t>odobren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C993F96" w14:textId="77777777" w:rsidR="008E5EC3" w:rsidRPr="0064355F" w:rsidRDefault="002B437E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3. Novi Master plan za proširenje mreže u okviru ovog projekta je u principu </w:t>
            </w:r>
            <w:r w:rsidR="008E5EC3" w:rsidRPr="0064355F">
              <w:rPr>
                <w:rFonts w:ascii="Times New Roman" w:hAnsi="Times New Roman" w:cs="Times New Roman"/>
                <w:sz w:val="18"/>
                <w:szCs w:val="18"/>
              </w:rPr>
              <w:t>odobren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4.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je angažovao licencirane konsultantske kompanije u vezi sa razradom eksproprijacije /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služnosti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koridora gasovoda i isporukom ministru finansija, rada i transfera (MF</w:t>
            </w:r>
            <w:r w:rsidR="008E5EC3" w:rsidRPr="0064355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T);</w:t>
            </w:r>
            <w:r w:rsidR="008E5EC3"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7E0273" w14:textId="77777777" w:rsidR="008E5EC3" w:rsidRPr="0064355F" w:rsidRDefault="002B437E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5. Pripremljen je optimizovan projekat za solarnu termoelektranu, proračun CO₂, plan bezbednosti brane (rezervoara vode),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geomehanička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merenja, laboratorijski uzorci zemljišta i sl.;                                                                                                                    6. Angažovana je konsultantska služba FOPIP/ESAP, ugovor je potpisan u maju </w:t>
            </w:r>
            <w:r w:rsidR="004A664A" w:rsidRPr="0064355F">
              <w:rPr>
                <w:rFonts w:ascii="Times New Roman" w:hAnsi="Times New Roman" w:cs="Times New Roman"/>
                <w:sz w:val="18"/>
                <w:szCs w:val="18"/>
              </w:rPr>
              <w:t>2025.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5EC3" w:rsidRPr="0064355F"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;    </w:t>
            </w:r>
          </w:p>
          <w:p w14:paraId="604B1669" w14:textId="77777777" w:rsidR="00985E90" w:rsidRPr="0064355F" w:rsidRDefault="002B437E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985E90"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Aplicirali smo u relevantnim institucijama 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za neophodne saglasnosti / dozvole;  </w:t>
            </w:r>
          </w:p>
          <w:p w14:paraId="285D8B47" w14:textId="77777777" w:rsidR="00985E90" w:rsidRPr="0064355F" w:rsidRDefault="002B437E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8. U toku je razrada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eksproprija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za deo trase koridora A i B; </w:t>
            </w:r>
          </w:p>
          <w:p w14:paraId="7708B3FD" w14:textId="77777777" w:rsidR="00985E90" w:rsidRPr="0064355F" w:rsidRDefault="002B437E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9. KFW je odobrio "Projektni zadatak" za raspisivanje tendera za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pretkvalifikaciju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5E90" w:rsidRPr="0064355F">
              <w:rPr>
                <w:rFonts w:ascii="Times New Roman" w:hAnsi="Times New Roman" w:cs="Times New Roman"/>
                <w:sz w:val="18"/>
                <w:szCs w:val="18"/>
              </w:rPr>
              <w:t>kompanija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zainteresovanih da učestvuju u projektu;</w:t>
            </w:r>
          </w:p>
          <w:p w14:paraId="5F1B018A" w14:textId="77777777" w:rsidR="00985E90" w:rsidRPr="0064355F" w:rsidRDefault="002B437E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10. Raspisan je tender za Lot 1 – Centralna toplana "Solar4Kosovo SDH II", u januaru </w:t>
            </w:r>
            <w:r w:rsidR="004A664A" w:rsidRPr="0064355F">
              <w:rPr>
                <w:rFonts w:ascii="Times New Roman" w:hAnsi="Times New Roman" w:cs="Times New Roman"/>
                <w:sz w:val="18"/>
                <w:szCs w:val="18"/>
              </w:rPr>
              <w:t>2025.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5E90" w:rsidRPr="0064355F"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;  </w:t>
            </w:r>
          </w:p>
          <w:p w14:paraId="606911F8" w14:textId="0786141F" w:rsidR="002B437E" w:rsidRPr="0064355F" w:rsidRDefault="002B437E" w:rsidP="0070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11. Završen je proces </w:t>
            </w:r>
            <w:r w:rsidR="00985E90" w:rsidRPr="0064355F">
              <w:rPr>
                <w:rFonts w:ascii="Times New Roman" w:hAnsi="Times New Roman" w:cs="Times New Roman"/>
                <w:sz w:val="18"/>
                <w:szCs w:val="18"/>
              </w:rPr>
              <w:t>procene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prijava za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pretkvalifikaciju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na tender "Solar 4 Kosova II" i izveštaj o vrednovanju prekvalifikacije upućen je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KfW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banci na </w:t>
            </w:r>
            <w:r w:rsidR="00985E90" w:rsidRPr="0064355F">
              <w:rPr>
                <w:rFonts w:ascii="Times New Roman" w:hAnsi="Times New Roman" w:cs="Times New Roman"/>
                <w:sz w:val="18"/>
                <w:szCs w:val="18"/>
              </w:rPr>
              <w:t>odobrenje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. Nakon usvajanja ovog izveštaja, počinje tenderski postupak za izvođenje radova.</w:t>
            </w:r>
          </w:p>
        </w:tc>
      </w:tr>
      <w:tr w:rsidR="008011C1" w:rsidRPr="0064355F" w14:paraId="3D194669" w14:textId="77777777" w:rsidTr="00577B88">
        <w:trPr>
          <w:trHeight w:val="205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4FDAB" w14:textId="77777777" w:rsidR="008011C1" w:rsidRPr="0064355F" w:rsidRDefault="008011C1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DA0C54" w14:textId="5322863F" w:rsidR="00542BA7" w:rsidRPr="0064355F" w:rsidRDefault="00542BA7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17A9BE" w14:textId="77777777" w:rsidR="008011C1" w:rsidRPr="0064355F" w:rsidRDefault="008011C1" w:rsidP="002B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2D78C7C" w14:textId="77777777" w:rsidR="008011C1" w:rsidRPr="0064355F" w:rsidRDefault="008011C1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3515D7" w14:textId="77777777" w:rsidR="008011C1" w:rsidRPr="0064355F" w:rsidRDefault="008011C1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99393B3" w14:textId="77777777" w:rsidR="008011C1" w:rsidRPr="0064355F" w:rsidRDefault="008011C1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D962C84" w14:textId="77777777" w:rsidR="008011C1" w:rsidRPr="0064355F" w:rsidRDefault="008011C1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536B2C5" w14:textId="77777777" w:rsidR="008011C1" w:rsidRPr="0064355F" w:rsidRDefault="008011C1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752234" w14:textId="77777777" w:rsidR="008011C1" w:rsidRPr="0064355F" w:rsidRDefault="008011C1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AE21A5" w14:textId="77777777" w:rsidR="008011C1" w:rsidRPr="0064355F" w:rsidRDefault="008011C1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4DA16B" w14:textId="77777777" w:rsidR="008011C1" w:rsidRPr="0064355F" w:rsidRDefault="008011C1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363DB2" w14:textId="77777777" w:rsidR="008011C1" w:rsidRPr="0064355F" w:rsidRDefault="008011C1" w:rsidP="002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99582" w14:textId="77777777" w:rsidR="008011C1" w:rsidRPr="0064355F" w:rsidRDefault="008011C1" w:rsidP="00577B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71E9B" w:rsidRPr="0064355F" w14:paraId="3E28BA42" w14:textId="77777777" w:rsidTr="00577B88">
        <w:trPr>
          <w:trHeight w:val="145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C941A" w14:textId="77777777" w:rsidR="00371E9B" w:rsidRPr="0064355F" w:rsidRDefault="00371E9B" w:rsidP="0037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II.3.3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A9FD4" w14:textId="5AAF9AC4" w:rsidR="00371E9B" w:rsidRPr="0064355F" w:rsidRDefault="00371E9B" w:rsidP="003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Izgradnja solarnog centralnog grejanja (CG) – Solar4Kosovo.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287EC" w14:textId="77777777" w:rsidR="00371E9B" w:rsidRPr="0064355F" w:rsidRDefault="00371E9B" w:rsidP="0037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51E9B" w14:textId="77777777" w:rsidR="00371E9B" w:rsidRPr="0064355F" w:rsidRDefault="00371E9B" w:rsidP="0037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-  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41127" w14:textId="77777777" w:rsidR="00371E9B" w:rsidRPr="0064355F" w:rsidRDefault="00371E9B" w:rsidP="0037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2CDC6" w14:textId="79B18FD2" w:rsidR="00371E9B" w:rsidRPr="0064355F" w:rsidRDefault="00371E9B" w:rsidP="0037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45,520,162.00 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CFF24" w14:textId="6710DE28" w:rsidR="00371E9B" w:rsidRPr="0064355F" w:rsidRDefault="00371E9B" w:rsidP="0037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36,000,000.00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4FC97" w14:textId="43F8FCB4" w:rsidR="00371E9B" w:rsidRPr="0064355F" w:rsidRDefault="00371E9B" w:rsidP="0037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KfV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, EBRD, WBIF, Nacionalni doprinos.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B1802" w14:textId="77777777" w:rsidR="00371E9B" w:rsidRPr="0064355F" w:rsidRDefault="00371E9B" w:rsidP="0037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4AE77" w14:textId="77777777" w:rsidR="00371E9B" w:rsidRPr="0064355F" w:rsidRDefault="00371E9B" w:rsidP="0037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Dodatnih 50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MWth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solarne energije za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koristi do 12.000 domaćinstava. </w:t>
            </w:r>
          </w:p>
        </w:tc>
        <w:tc>
          <w:tcPr>
            <w:tcW w:w="4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5C560" w14:textId="613E746F" w:rsidR="00371E9B" w:rsidRPr="0064355F" w:rsidRDefault="00371E9B" w:rsidP="0037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Plan razvoja Termokosa za period 2022.-2031. godine</w:t>
            </w:r>
          </w:p>
        </w:tc>
        <w:tc>
          <w:tcPr>
            <w:tcW w:w="10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949F4DE" w14:textId="7E026F35" w:rsidR="00371E9B" w:rsidRPr="0064355F" w:rsidRDefault="00371E9B" w:rsidP="00371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Nula </w:t>
            </w:r>
            <w:r w:rsidR="00756085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odsto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(0%)</w:t>
            </w:r>
          </w:p>
          <w:p w14:paraId="5E3B6030" w14:textId="77777777" w:rsidR="00371E9B" w:rsidRPr="0064355F" w:rsidRDefault="00371E9B" w:rsidP="00371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BFA18E2" w14:textId="62B4CEB5" w:rsidR="00371E9B" w:rsidRPr="0064355F" w:rsidRDefault="00985E90" w:rsidP="00371E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Realizacija</w:t>
            </w:r>
            <w:r w:rsidR="00371E9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projekta još nije počela.</w:t>
            </w:r>
          </w:p>
          <w:p w14:paraId="53AA5692" w14:textId="542B9EF3" w:rsidR="00371E9B" w:rsidRPr="0064355F" w:rsidRDefault="00371E9B" w:rsidP="0037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Krajnji rok: 2026-2029 – planirana je realizacija projekta.</w:t>
            </w:r>
          </w:p>
          <w:p w14:paraId="48C7FAE7" w14:textId="77777777" w:rsidR="00371E9B" w:rsidRPr="0064355F" w:rsidRDefault="00371E9B" w:rsidP="0037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F13DEB" w14:textId="3A518071" w:rsidR="00371E9B" w:rsidRPr="0064355F" w:rsidRDefault="00371E9B" w:rsidP="0037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Budžet: Tokom 2024. </w:t>
            </w:r>
            <w:r w:rsidR="00985E90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realizovano je 1.235.548,00 €.</w:t>
            </w:r>
          </w:p>
          <w:p w14:paraId="53E13D95" w14:textId="526069D3" w:rsidR="00371E9B" w:rsidRPr="0064355F" w:rsidRDefault="00371E9B" w:rsidP="0037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Dok je za 2025. godinu planirano da se realizuje iznos od 1.032.206,00 €, od čega je 501.543,00 € realizovano do juna 2025. godine.</w:t>
            </w:r>
          </w:p>
          <w:p w14:paraId="13F1CBEB" w14:textId="03045579" w:rsidR="00371E9B" w:rsidRPr="0064355F" w:rsidRDefault="00371E9B" w:rsidP="0037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Izvor finansiranja: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KfW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EBRD, WBIF, Nacionalni doprinos i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0B136859" w14:textId="0296C825" w:rsidR="00E07348" w:rsidRPr="0064355F" w:rsidRDefault="00E07348" w:rsidP="00000A7B">
      <w:pPr>
        <w:rPr>
          <w:rFonts w:ascii="Times New Roman" w:hAnsi="Times New Roman" w:cs="Times New Roman"/>
          <w:b/>
          <w:sz w:val="28"/>
          <w:szCs w:val="24"/>
        </w:rPr>
      </w:pPr>
    </w:p>
    <w:p w14:paraId="31E2D75E" w14:textId="666CF448" w:rsidR="008D0C63" w:rsidRPr="0064355F" w:rsidRDefault="008D0C63" w:rsidP="00BA03D5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827"/>
        <w:gridCol w:w="678"/>
        <w:gridCol w:w="723"/>
        <w:gridCol w:w="771"/>
        <w:gridCol w:w="771"/>
        <w:gridCol w:w="602"/>
        <w:gridCol w:w="953"/>
        <w:gridCol w:w="629"/>
        <w:gridCol w:w="816"/>
        <w:gridCol w:w="849"/>
        <w:gridCol w:w="4831"/>
      </w:tblGrid>
      <w:tr w:rsidR="00C43F29" w:rsidRPr="0064355F" w14:paraId="36C5F1A3" w14:textId="77777777" w:rsidTr="00FE03F4">
        <w:trPr>
          <w:trHeight w:val="480"/>
        </w:trPr>
        <w:tc>
          <w:tcPr>
            <w:tcW w:w="31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24D583" w14:textId="77777777" w:rsidR="00814391" w:rsidRPr="0064355F" w:rsidRDefault="000559B5" w:rsidP="00571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lastRenderedPageBreak/>
              <w:t xml:space="preserve">PRAĆENJE </w:t>
            </w:r>
            <w:r w:rsidR="00571EAF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SPROVOĐENJ</w:t>
            </w: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A </w:t>
            </w:r>
            <w:r w:rsidR="00571EAF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ZVSP-A ZA PERIOD </w:t>
            </w:r>
            <w:r w:rsidR="007E6C13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2022.</w:t>
            </w:r>
            <w:r w:rsidR="00571EAF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-</w:t>
            </w:r>
            <w:r w:rsidR="007E6C13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2025.</w:t>
            </w:r>
            <w:r w:rsidR="00571EAF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783BD94" w14:textId="4AFD369C" w:rsidR="00571EAF" w:rsidRPr="0064355F" w:rsidRDefault="00571EAF" w:rsidP="00571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STRATEŠKI CILJ 3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CB69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43F29" w:rsidRPr="0064355F" w14:paraId="44E227C3" w14:textId="77777777" w:rsidTr="00FE03F4">
        <w:trPr>
          <w:trHeight w:val="930"/>
        </w:trPr>
        <w:tc>
          <w:tcPr>
            <w:tcW w:w="3122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2D3BCD3" w14:textId="786D33FD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>SO3: POVEĆANJE ENERGETSKE EFIKASNOSTI (EE)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FD6D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525AE" w:rsidRPr="0064355F" w14:paraId="3500739A" w14:textId="77777777" w:rsidTr="00FE03F4">
        <w:trPr>
          <w:trHeight w:val="1275"/>
        </w:trPr>
        <w:tc>
          <w:tcPr>
            <w:tcW w:w="1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31C3118" w14:textId="14A0F1C6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B94239C" w14:textId="5BB12B95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Strateški i specifični ciljevi, </w:t>
            </w:r>
            <w:r w:rsidR="00EF1AF1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 akcije</w:t>
            </w:r>
          </w:p>
        </w:tc>
        <w:tc>
          <w:tcPr>
            <w:tcW w:w="834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D26F2DC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Osnovna vrednost</w:t>
            </w:r>
          </w:p>
        </w:tc>
        <w:tc>
          <w:tcPr>
            <w:tcW w:w="5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A3FBDEF" w14:textId="4F065579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Privremeni cilj</w:t>
            </w:r>
            <w:r w:rsidR="007E6C13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A6655C3" w14:textId="7BC910BA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Prošl</w:t>
            </w:r>
            <w:r w:rsidR="000922D1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ogodišnji cilj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2031.</w:t>
            </w:r>
          </w:p>
        </w:tc>
        <w:tc>
          <w:tcPr>
            <w:tcW w:w="882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2F4EED0" w14:textId="3140B576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Rezultat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A544B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52753" w:rsidRPr="0064355F" w14:paraId="2EC24B98" w14:textId="77777777" w:rsidTr="00FE03F4">
        <w:trPr>
          <w:trHeight w:val="31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5FA7CF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2927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9B5AF18" w14:textId="31409862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STRATEŠKI CILJ 3: POVEĆANJE ENERGETSKE EFIKASNOSTI (EE)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AE365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525AE" w:rsidRPr="0064355F" w14:paraId="50ADBAB6" w14:textId="77777777" w:rsidTr="00FE03F4">
        <w:trPr>
          <w:trHeight w:val="49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ADF02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A32EE" w14:textId="32219139" w:rsidR="00571EAF" w:rsidRPr="0064355F" w:rsidRDefault="007E6C13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Pokazatelj</w:t>
            </w:r>
            <w:r w:rsidR="00571EAF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Nivo konačne potrošnje </w:t>
            </w:r>
            <w:r w:rsidR="00571EAF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energije.</w:t>
            </w:r>
          </w:p>
        </w:tc>
        <w:tc>
          <w:tcPr>
            <w:tcW w:w="834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570C12E" w14:textId="62673052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1516 </w:t>
            </w:r>
            <w:proofErr w:type="spellStart"/>
            <w:r w:rsidR="00814391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  <w:r w:rsidR="00814391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[2017] </w:t>
            </w:r>
          </w:p>
        </w:tc>
        <w:tc>
          <w:tcPr>
            <w:tcW w:w="52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1AFF10E" w14:textId="7583E3F6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1709 </w:t>
            </w:r>
            <w:proofErr w:type="spellStart"/>
            <w:r w:rsidR="00814391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F7CC7" w14:textId="70BDECCA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1877 </w:t>
            </w:r>
            <w:proofErr w:type="spellStart"/>
            <w:r w:rsidR="00814391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</w:p>
        </w:tc>
        <w:tc>
          <w:tcPr>
            <w:tcW w:w="882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E22BE3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7978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25AE" w:rsidRPr="0064355F" w14:paraId="0D379A21" w14:textId="77777777" w:rsidTr="00FE03F4">
        <w:trPr>
          <w:trHeight w:val="73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0C4D7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C3516" w14:textId="71FBDB78" w:rsidR="00571EAF" w:rsidRPr="0064355F" w:rsidRDefault="007E6C13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Pokazatelj</w:t>
            </w:r>
            <w:r w:rsidR="00571EAF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Kumulativne uštede energije ostvarene u građevinskom sektoru </w:t>
            </w:r>
            <w:r w:rsidR="00571EAF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.</w:t>
            </w:r>
          </w:p>
        </w:tc>
        <w:tc>
          <w:tcPr>
            <w:tcW w:w="8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0BD63B0" w14:textId="4D75AA4B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2.7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[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] </w:t>
            </w:r>
          </w:p>
        </w:tc>
        <w:tc>
          <w:tcPr>
            <w:tcW w:w="52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CA6107B" w14:textId="4BA7AA58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17.76 </w:t>
            </w:r>
            <w:proofErr w:type="spellStart"/>
            <w:r w:rsidR="00814391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32BB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266.4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</w:p>
        </w:tc>
        <w:tc>
          <w:tcPr>
            <w:tcW w:w="88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407D3E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1A01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2753" w:rsidRPr="0064355F" w14:paraId="657F76B6" w14:textId="77777777" w:rsidTr="00FE03F4">
        <w:trPr>
          <w:trHeight w:val="31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209C90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III.1</w:t>
            </w:r>
          </w:p>
        </w:tc>
        <w:tc>
          <w:tcPr>
            <w:tcW w:w="2927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22F91B" w14:textId="04D8A929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Specifični cilj projekta: Unapređenje energetske efikasnosti </w:t>
            </w:r>
            <w:r w:rsidR="008F26F5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(EE) 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 zgradama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B74DF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525AE" w:rsidRPr="0064355F" w14:paraId="3C022E6C" w14:textId="77777777" w:rsidTr="00FE03F4">
        <w:trPr>
          <w:trHeight w:val="73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5FA0CF1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4CF57D0" w14:textId="10D168A3" w:rsidR="00571EAF" w:rsidRPr="0064355F" w:rsidRDefault="00EF1AF1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</w:p>
        </w:tc>
        <w:tc>
          <w:tcPr>
            <w:tcW w:w="8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1688D5E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Osnovna vrednost </w:t>
            </w:r>
          </w:p>
        </w:tc>
        <w:tc>
          <w:tcPr>
            <w:tcW w:w="5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30441F1" w14:textId="30D5E1E3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Kratkoročni cilj </w:t>
            </w:r>
            <w:r w:rsidR="007E6C13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627884" w14:textId="1ECBABB4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Cilj prošle godine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2031.</w:t>
            </w:r>
          </w:p>
        </w:tc>
        <w:tc>
          <w:tcPr>
            <w:tcW w:w="88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B6421D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31B12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525AE" w:rsidRPr="0064355F" w14:paraId="15EACDF0" w14:textId="77777777" w:rsidTr="00FE03F4">
        <w:trPr>
          <w:trHeight w:val="49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BB782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BBAA3" w14:textId="0D68611F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Ukupna kumulativna ušteda energije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u javnim zgradama.</w:t>
            </w:r>
          </w:p>
        </w:tc>
        <w:tc>
          <w:tcPr>
            <w:tcW w:w="8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BB3D2D5" w14:textId="0D8362A2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2.6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[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5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AC2A7E" w14:textId="12B1BDED" w:rsidR="00571EAF" w:rsidRPr="0064355F" w:rsidRDefault="00571EAF" w:rsidP="00571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4355F">
              <w:rPr>
                <w:rFonts w:ascii="Calibri" w:eastAsia="Times New Roman" w:hAnsi="Calibri" w:cs="Calibri"/>
                <w:sz w:val="18"/>
                <w:szCs w:val="18"/>
              </w:rPr>
              <w:t xml:space="preserve">3.3 </w:t>
            </w:r>
            <w:proofErr w:type="spellStart"/>
            <w:r w:rsidR="008F26F5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E6FA04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33.9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F1247EA" w14:textId="7FCA5D11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DBB64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25AE" w:rsidRPr="0064355F" w14:paraId="414198A0" w14:textId="77777777" w:rsidTr="00FE03F4">
        <w:trPr>
          <w:trHeight w:val="73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B252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D7FD8" w14:textId="7401F005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Ukupna kumulativna ušteda energije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u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stambenim i poslovnim zgradama.</w:t>
            </w:r>
          </w:p>
        </w:tc>
        <w:tc>
          <w:tcPr>
            <w:tcW w:w="834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61E5550" w14:textId="2C3D822D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0.1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[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4BBC1B8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14.46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379A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232.5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</w:p>
        </w:tc>
        <w:tc>
          <w:tcPr>
            <w:tcW w:w="88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A5EABE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655A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25AE" w:rsidRPr="0064355F" w14:paraId="4041A8A0" w14:textId="77777777" w:rsidTr="00FE03F4">
        <w:trPr>
          <w:trHeight w:val="49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916C2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AC1C9" w14:textId="373F0D98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Broj zgrada sa potrošnjom energije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blizu nule.</w:t>
            </w:r>
          </w:p>
        </w:tc>
        <w:tc>
          <w:tcPr>
            <w:tcW w:w="8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328DD11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1B58C9F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CE0B07D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2DF87A6" w14:textId="2E2AD99B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Poboljšanje energetske efikasnosti novih javnih zgrada.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3B5C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2753" w:rsidRPr="0064355F" w14:paraId="49E8A591" w14:textId="77777777" w:rsidTr="00FE03F4">
        <w:trPr>
          <w:trHeight w:val="315"/>
        </w:trPr>
        <w:tc>
          <w:tcPr>
            <w:tcW w:w="1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EEDC57" w14:textId="1AB0B7BE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87C3C2" w14:textId="1AC68398" w:rsidR="00571EAF" w:rsidRPr="0064355F" w:rsidRDefault="00395B4E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Akcija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6DAE42" w14:textId="773C1AD8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Krajnji rok</w:t>
            </w:r>
          </w:p>
        </w:tc>
        <w:tc>
          <w:tcPr>
            <w:tcW w:w="110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CC31070" w14:textId="1795A603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Budžet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5A794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Izvor finansiranja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EB2B14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Vodeća i prateća institucija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E05E08" w14:textId="249528EE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Proizvod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84227D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Reference u dokumentima</w:t>
            </w:r>
          </w:p>
        </w:tc>
        <w:tc>
          <w:tcPr>
            <w:tcW w:w="18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2BD71F" w14:textId="1989D79F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Napredak u </w:t>
            </w:r>
            <w:r w:rsidR="008F26F5"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sprovođenju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januar-jun </w:t>
            </w:r>
            <w:r w:rsidR="004A664A"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2025.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35DF4" w:rsidRPr="00643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godine</w:t>
            </w:r>
          </w:p>
        </w:tc>
      </w:tr>
      <w:tr w:rsidR="00B52753" w:rsidRPr="0064355F" w14:paraId="0C12E9C8" w14:textId="77777777" w:rsidTr="00FE03F4">
        <w:trPr>
          <w:trHeight w:val="300"/>
        </w:trPr>
        <w:tc>
          <w:tcPr>
            <w:tcW w:w="1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47554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6068E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67D48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A10B32" w14:textId="03263D00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37676A" w14:textId="06D057D8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8716B7" w14:textId="4046F62B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7F2FB7" w14:textId="34D42E51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6530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BFB54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57972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0B92B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C8DA5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52753" w:rsidRPr="0064355F" w14:paraId="68F29020" w14:textId="77777777" w:rsidTr="00FE03F4">
        <w:trPr>
          <w:trHeight w:val="525"/>
        </w:trPr>
        <w:tc>
          <w:tcPr>
            <w:tcW w:w="1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F546E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6D156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98DC2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D02A2F" w14:textId="3DF19904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EF3DB1" w14:textId="01F198C4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1E895E" w14:textId="65BEAD91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889B5C" w14:textId="185E96F7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3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D0BD0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AF9E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24732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2240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DED39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52753" w:rsidRPr="0064355F" w14:paraId="7C28618A" w14:textId="77777777" w:rsidTr="00FE03F4">
        <w:trPr>
          <w:trHeight w:val="2230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01575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III.1.1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410AD" w14:textId="7DBD4508" w:rsidR="00000A7B" w:rsidRPr="0064355F" w:rsidRDefault="00000A7B" w:rsidP="0000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Revizija Zakona o energetskoj efikasnosti (EE).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0C1A0" w14:textId="0545B868" w:rsidR="00000A7B" w:rsidRPr="0064355F" w:rsidRDefault="007E6C13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0C581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5D06A" w14:textId="1BA227B5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803F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€                    10,800.00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93138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-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232D2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47755" w14:textId="208EC083" w:rsidR="00000A7B" w:rsidRPr="0064355F" w:rsidRDefault="008803FD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</w:t>
            </w:r>
            <w:r w:rsidR="00000A7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(BK), donatori.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2D7EF" w14:textId="0BD2E579" w:rsidR="00000A7B" w:rsidRPr="0064355F" w:rsidRDefault="008803FD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</w:t>
            </w:r>
            <w:r w:rsidR="00000A7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MŽSPPI</w:t>
            </w:r>
            <w:r w:rsidR="00000A7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KFEE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2E6C8" w14:textId="55DA9A1D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Usvojen je Zakon o energetskoj efikasnosti.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C6345" w14:textId="2413A15C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84D10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2031.</w:t>
            </w:r>
          </w:p>
        </w:tc>
        <w:tc>
          <w:tcPr>
            <w:tcW w:w="1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A59472C" w14:textId="57431AFA" w:rsidR="00147B23" w:rsidRPr="0064355F" w:rsidRDefault="00147B23" w:rsidP="00577B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Pedeset odsto (50%)</w:t>
            </w:r>
          </w:p>
          <w:p w14:paraId="446ED099" w14:textId="77777777" w:rsidR="00327C38" w:rsidRPr="0064355F" w:rsidRDefault="00327C38" w:rsidP="00577B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C791505" w14:textId="5473990E" w:rsidR="00000A7B" w:rsidRPr="0064355F" w:rsidRDefault="00000A7B" w:rsidP="0070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Nacrt zakona o energetskoj efikasnosti (EE), konačni nacrt, izradila je Radna grupa (</w:t>
            </w:r>
            <w:r w:rsidR="004B2D5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RG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uz podršku konsultantske kuće GIZ. Očekuje se da će nacrt zakona biti upućen na preliminarnu i javnu raspravu. Tokom ovog perioda usvojeno je četrnaest (14) podzakonskih akata i održane su dve (2) radionice u okviru izrade sekundarnog zakonodavstva. Prema zakonodavnom planu, </w:t>
            </w:r>
            <w:r w:rsidR="004B2D5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odobrenje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je predviđeno krajem </w:t>
            </w:r>
            <w:r w:rsidR="004A664A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D1A39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="006A5188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B52753" w:rsidRPr="0064355F" w14:paraId="3F228268" w14:textId="77777777" w:rsidTr="00FE03F4">
        <w:trPr>
          <w:trHeight w:val="700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2EDBC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III.1.2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70FDA" w14:textId="33882061" w:rsidR="00000A7B" w:rsidRPr="0064355F" w:rsidRDefault="00000A7B" w:rsidP="0000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Donošenje podzakonskih akata u vezi sa Zakonom o energetskoj efikasnosti (EE).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7EDC4" w14:textId="57D7476E" w:rsidR="00000A7B" w:rsidRPr="0064355F" w:rsidRDefault="007E6C13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974A8" w14:textId="79B38A61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- </w:t>
            </w:r>
            <w:r w:rsidR="008803F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D45FF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30FF1" w14:textId="3BB42334" w:rsidR="00000A7B" w:rsidRPr="0064355F" w:rsidRDefault="005613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€                  90,000.00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77542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A1D40" w14:textId="2B0FA2E8" w:rsidR="00000A7B" w:rsidRPr="0064355F" w:rsidRDefault="00543849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(BK), donatori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0E389" w14:textId="4043E4C4" w:rsidR="00000A7B" w:rsidRPr="0064355F" w:rsidRDefault="008803FD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MŽSPPI, KFEE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5DCF5" w14:textId="33F25C52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Usvajanje sekundarnog zakonodavstva u vezi sa Zakonom o energetskoj efikasnosti (EE).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A62D8" w14:textId="47C6008A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Zakon o energetskoj efikasnosti (EE).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A5A172A" w14:textId="3F529CE6" w:rsidR="00147B23" w:rsidRPr="0064355F" w:rsidRDefault="00147B23" w:rsidP="00577B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="00C81BD6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Deset odsto (10%)</w:t>
            </w:r>
          </w:p>
          <w:p w14:paraId="62C5297A" w14:textId="77777777" w:rsidR="00C81BD6" w:rsidRPr="0064355F" w:rsidRDefault="00C81BD6" w:rsidP="00577B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26EC905" w14:textId="2E922566" w:rsidR="00000A7B" w:rsidRPr="0064355F" w:rsidRDefault="00000A7B" w:rsidP="0070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Nakon usvajanja Zakona o energetskoj efikasnosti, počeće izrada i usvajanje podzakonskih akata, gde su do sada identifikovan</w:t>
            </w:r>
            <w:r w:rsidR="00F505C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Administrativn</w:t>
            </w:r>
            <w:r w:rsidR="00F505C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uputstva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</w:t>
            </w:r>
            <w:r w:rsidR="00151A1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Uredbe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B52753" w:rsidRPr="0064355F" w14:paraId="6E1BFF3D" w14:textId="77777777" w:rsidTr="00FE03F4">
        <w:trPr>
          <w:trHeight w:val="1470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1B576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III.1.3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B3600" w14:textId="61551DBF" w:rsidR="00000A7B" w:rsidRPr="0064355F" w:rsidRDefault="00000A7B" w:rsidP="00000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Revizija Zakona o energetskim svojstvima zgrada.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37870" w14:textId="093C3002" w:rsidR="00000A7B" w:rsidRPr="0064355F" w:rsidRDefault="007E6C13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043BE" w14:textId="2E33E449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803F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22,600.00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3AECF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60C6D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7612D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7E24C" w14:textId="12DF67E6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(BK), donatori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1847A" w14:textId="6126F946" w:rsidR="00000A7B" w:rsidRPr="0064355F" w:rsidRDefault="008803FD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MŽSPPI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43ABA" w14:textId="5C0CF348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Usvojen je Zakon o energetskim performansama zgrada.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DB588" w14:textId="05CE79A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Nacionalni razvojni plan za period od </w:t>
            </w:r>
            <w:r w:rsidR="00DD1A39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2023.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 </w:t>
            </w:r>
            <w:r w:rsid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 godine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7B229" w14:textId="1636A857" w:rsidR="00147B23" w:rsidRPr="0064355F" w:rsidRDefault="00147B23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="00116FA5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Sto </w:t>
            </w:r>
            <w:r w:rsidR="00151A1B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odsto</w:t>
            </w:r>
            <w:r w:rsidR="00116FA5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(100%)</w:t>
            </w:r>
          </w:p>
          <w:p w14:paraId="191A4A6F" w14:textId="77777777" w:rsidR="00116FA5" w:rsidRPr="0064355F" w:rsidRDefault="00116FA5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439F294" w14:textId="4556793E" w:rsidR="00000A7B" w:rsidRPr="0064355F" w:rsidRDefault="00000A7B" w:rsidP="0070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Zakon br. 08/L-242 o energetsk</w:t>
            </w:r>
            <w:r w:rsidR="00151A1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oj efikasno</w:t>
            </w:r>
            <w:r w:rsidR="006A1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151A1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zgrada objavljen u "Službenom </w:t>
            </w:r>
            <w:r w:rsidR="00151A1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listu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1A1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SL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" od 12. juna </w:t>
            </w:r>
            <w:r w:rsidR="00D84D10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1A1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D84D10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odin</w:t>
            </w:r>
            <w:r w:rsidR="00151A1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je </w:t>
            </w:r>
            <w:r w:rsidR="00151A1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odobren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usvojen.</w:t>
            </w:r>
          </w:p>
        </w:tc>
      </w:tr>
      <w:tr w:rsidR="00B52753" w:rsidRPr="0064355F" w14:paraId="4F13631D" w14:textId="77777777" w:rsidTr="00FE03F4">
        <w:trPr>
          <w:trHeight w:val="1470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BC185" w14:textId="77777777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III.1.4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BD69F" w14:textId="2E92508D" w:rsidR="00543849" w:rsidRPr="0064355F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Usvajanje podzakonskih akata koji se odnose na energetsku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učinkovitost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zgrada.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55A4A" w14:textId="09C852B4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2024.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5C27D" w14:textId="1D87DBAD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€         150,000.00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32E1E" w14:textId="48857B50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€                    20,000.00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D26B6" w14:textId="77777777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-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310F3" w14:textId="77777777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E056F" w14:textId="432E0065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(BK), donatori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32DEC" w14:textId="73E1BD70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MŽSPPI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56BDD" w14:textId="200B392A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Usvajanje sekundarnih zakonskih propisa u vezi sa energets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kim svojstvima zgrada.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7A872" w14:textId="1C40AF7E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(Zakon o energetskim svojstvima zgrada).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7575" w14:textId="6CE016F5" w:rsidR="00543849" w:rsidRPr="0064355F" w:rsidRDefault="00543849" w:rsidP="0054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Trideset odsto (30%)</w:t>
            </w:r>
          </w:p>
          <w:p w14:paraId="705CA960" w14:textId="77777777" w:rsidR="00543849" w:rsidRPr="0064355F" w:rsidRDefault="00543849" w:rsidP="005438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195E8DD" w14:textId="0080E580" w:rsidR="00543849" w:rsidRPr="0064355F" w:rsidRDefault="00543849" w:rsidP="0054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 Nacrt </w:t>
            </w:r>
            <w:r w:rsidR="00151A1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uredbe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 Nacionalnoj metodologiji energetskog učinka u zgradama izrađen je u skladu sa novim EN standardima.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2. Radi</w:t>
            </w:r>
            <w:r w:rsidR="00151A1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se na optimalnim troškovima u zgradama na nivou energetsk</w:t>
            </w:r>
            <w:r w:rsidR="00151A1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 učinka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što je dovelo do najnižih troškova tokom procene ekonomskog životnog ciklusa tokom njegove proce</w:t>
            </w:r>
            <w:r w:rsidR="00151A1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3. Izrađen je inicijalni Nacrt uredbe o obuci, kvalifikaciji i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licenciranju energetskih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procjenitelja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nezavisnih energetskih stručnjaka.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4. Inicijalni Nacrt kodeksa prakse za nezavisne stručnjake je izrađen.</w:t>
            </w:r>
          </w:p>
        </w:tc>
      </w:tr>
      <w:tr w:rsidR="00B52753" w:rsidRPr="0064355F" w14:paraId="4E6A0085" w14:textId="77777777" w:rsidTr="00FE03F4">
        <w:trPr>
          <w:trHeight w:val="1470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E40E7" w14:textId="77777777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III.1.5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CB0F0" w14:textId="442313AF" w:rsidR="00543849" w:rsidRPr="0064355F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Izrada nacionalnog registra energetskog učinka u zgradama.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CCAEB" w14:textId="57D5E358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16A25" w14:textId="02B63408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90,000.00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1DFEF" w14:textId="71FB150C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20,000.00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8D380" w14:textId="77777777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-  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6C31E" w14:textId="77777777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84C24" w14:textId="77777777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Budžet Kosova: € 20,000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Donatori: €90,000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DA652" w14:textId="4E2DC30A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MŽSPPI, ME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255D5" w14:textId="6A8BBDB5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Postoji funkcionalan nacionalni registar.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38F23" w14:textId="73444F7D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Zakon o energetskoj efikasnosti &amp; Zakon o energetskom učinku zgrada.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D50AA" w14:textId="7D637071" w:rsidR="00543849" w:rsidRPr="0064355F" w:rsidRDefault="00543849" w:rsidP="0054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Šezdeset pet odsto (65%)</w:t>
            </w:r>
          </w:p>
          <w:p w14:paraId="312E2E1F" w14:textId="77777777" w:rsidR="00543849" w:rsidRPr="0064355F" w:rsidRDefault="00543849" w:rsidP="005438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D262EBE" w14:textId="77777777" w:rsidR="00151A1B" w:rsidRPr="0064355F" w:rsidRDefault="00543849" w:rsidP="00543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nadležnosti ME, u komponenti energetskih revizora, izvršena je instalacija i ažuriranje sistema na osnovu sertifikacije i licenciranja, dok Ministarstvo životne sredine, prostornog planiranja i infrastrukture (</w:t>
            </w:r>
            <w:r w:rsidR="00151A1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MŽSPPI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mora da izveštava o ostalom.                                                                     </w:t>
            </w:r>
          </w:p>
          <w:p w14:paraId="1D472BDA" w14:textId="6A8D6F6D" w:rsidR="00543849" w:rsidRPr="0064355F" w:rsidRDefault="00543849" w:rsidP="0054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Projekat - platforma za centralizaciju informacija u oblasti energetske efikasnosti (EE) "Nacionalni registar za oblast energetske efikasnosti (EE) u zgradama" kao sistem instaliran na serverima AS-a testiran je u izdavanju dva energetska sertifikata u zgradama, a sada je u fazi ažuriranja novim Zakonom o energetsk</w:t>
            </w:r>
            <w:r w:rsidR="00151A1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oj </w:t>
            </w:r>
            <w:proofErr w:type="spellStart"/>
            <w:r w:rsidR="00151A1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efikasnostii</w:t>
            </w:r>
            <w:proofErr w:type="spellEnd"/>
            <w:r w:rsidR="00151A1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zgrada (</w:t>
            </w:r>
            <w:r w:rsidR="00D42034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EEZ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</w:tc>
      </w:tr>
      <w:tr w:rsidR="00B52753" w:rsidRPr="0064355F" w14:paraId="7706E88F" w14:textId="77777777" w:rsidTr="00FE03F4">
        <w:trPr>
          <w:trHeight w:val="1380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2BC3E" w14:textId="77777777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III.1.6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C6CC5" w14:textId="6D40380E" w:rsidR="00543849" w:rsidRPr="0064355F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Izrada i odobravanje strategije obnove zgrada.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577AA" w14:textId="1E8A21F5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C9424" w14:textId="77777777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-  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C0BB0" w14:textId="77777777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         -  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913EA" w14:textId="0F00E19C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25,000.00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DBB99" w14:textId="77777777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289EA" w14:textId="77777777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Donatori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1ABBA" w14:textId="381D0761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MŽSPPI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5D09F" w14:textId="116A3308" w:rsidR="00543849" w:rsidRPr="0064355F" w:rsidRDefault="00BA0F21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Usvojena</w:t>
            </w:r>
            <w:r w:rsidR="00543849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strategija obnove zgrade.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11344" w14:textId="0394DBC8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Zakon o energetskoj efikasnosti &amp; Zakon o energetskom učinku zgrada.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9DE52" w14:textId="46DB62A4" w:rsidR="00543849" w:rsidRPr="0064355F" w:rsidRDefault="00543849" w:rsidP="00543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Deset odsto (10%)</w:t>
            </w:r>
          </w:p>
          <w:p w14:paraId="6964022C" w14:textId="77777777" w:rsidR="00543849" w:rsidRPr="0064355F" w:rsidRDefault="00543849" w:rsidP="00543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C8CF7AF" w14:textId="60C06846" w:rsidR="00543849" w:rsidRPr="0064355F" w:rsidRDefault="00543849" w:rsidP="0054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Procedure za izbor kompanije koja će izraditi ovaj dokument razvio je donator LUX DEV, kompanija je izabrana i čekamo procedure od donatora za početak aktivnosti.</w:t>
            </w:r>
          </w:p>
        </w:tc>
      </w:tr>
      <w:tr w:rsidR="00B52753" w:rsidRPr="0064355F" w14:paraId="39CA7BE8" w14:textId="77777777" w:rsidTr="00FE03F4">
        <w:trPr>
          <w:trHeight w:val="97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4BD0B" w14:textId="77777777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III.1.7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53C04" w14:textId="7ACE3F26" w:rsidR="00543849" w:rsidRPr="0064355F" w:rsidRDefault="00543849" w:rsidP="0054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Kampanja za podizanje svesti javnosti.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FC4A4F" w14:textId="77777777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Godišnji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B7EE7" w14:textId="7009968A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10,000.00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06BAF" w14:textId="68FEED20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5,000.00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01DDF" w14:textId="0AF52110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5,000.00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6D340" w14:textId="77777777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2EC8E" w14:textId="724F107C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(BK), donatori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09E72B" w14:textId="67925272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KFEE, MŽSPPI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F63677" w14:textId="307C30FE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Organizovane su kampanje za podizanje svesti javnosti.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41E8A" w14:textId="57CC610E" w:rsidR="00543849" w:rsidRPr="0064355F" w:rsidRDefault="00543849" w:rsidP="0054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6054F" w14:textId="388566F0" w:rsidR="00543849" w:rsidRPr="0064355F" w:rsidRDefault="00543849" w:rsidP="0054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     </w:t>
            </w:r>
            <w:r w:rsidRPr="006435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Pedeset odsto (50%)</w:t>
            </w:r>
          </w:p>
          <w:p w14:paraId="70CAD5E2" w14:textId="77777777" w:rsidR="00543849" w:rsidRPr="0064355F" w:rsidRDefault="00543849" w:rsidP="0054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A646D86" w14:textId="0D71DF5E" w:rsidR="00543849" w:rsidRPr="0064355F" w:rsidRDefault="00543849" w:rsidP="0054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Pokrenut je zahtev za</w:t>
            </w:r>
            <w:r w:rsidR="0013490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publikaciju i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objavljivanje postupaka nabavke.</w:t>
            </w:r>
          </w:p>
        </w:tc>
      </w:tr>
      <w:tr w:rsidR="00B52753" w:rsidRPr="0064355F" w14:paraId="218502A1" w14:textId="77777777" w:rsidTr="00FE03F4">
        <w:trPr>
          <w:trHeight w:val="199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03F09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III.1.8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7F0840" w14:textId="6AAA80D4" w:rsidR="00000A7B" w:rsidRPr="0064355F" w:rsidRDefault="00000A7B" w:rsidP="0000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Primena mera energetske efikasnosti (EE) u javnim zgradama (centralni nivo).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6C39C5" w14:textId="0E0FF047" w:rsidR="00000A7B" w:rsidRPr="0064355F" w:rsidRDefault="007E6C13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F10F15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-  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C94A3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€ 2,400,000.00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3EFC5E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-   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64831B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F067E4D" w14:textId="08974A3A" w:rsidR="00000A7B" w:rsidRPr="0064355F" w:rsidRDefault="0096044E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</w:t>
            </w:r>
            <w:r w:rsidR="00000A7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BK</w:t>
            </w:r>
            <w:r w:rsidR="00000A7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</w:t>
            </w:r>
            <w:r w:rsidR="00000A7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Donatori (SB).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27FB23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DA12CE" w14:textId="6201F2B8" w:rsidR="00000A7B" w:rsidRPr="0064355F" w:rsidRDefault="00000A7B" w:rsidP="0000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Dvanaest (12) javnih zgrada na centralnom nivou (05.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03F4F" w14:textId="5AA4FD00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84D10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2031.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39E1E41" w14:textId="35E04CA6" w:rsidR="00147B23" w:rsidRPr="0064355F" w:rsidRDefault="00147B23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     Sto </w:t>
            </w:r>
            <w:r w:rsidR="00134907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odsto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(100%)</w:t>
            </w:r>
          </w:p>
          <w:p w14:paraId="7BF978D2" w14:textId="77777777" w:rsidR="006C7983" w:rsidRPr="0064355F" w:rsidRDefault="006C7983" w:rsidP="00702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A595E58" w14:textId="5F77ED0B" w:rsidR="00000A7B" w:rsidRPr="0064355F" w:rsidRDefault="00000A7B" w:rsidP="0070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LOT 1 - Renoviranje šest (6) bolničkih zgrada koje se nalaze u Bolničkom centru u </w:t>
            </w:r>
            <w:r w:rsidR="0013490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UBKCK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radovi na četiri (4) bolnička objekta završeni su u maju </w:t>
            </w:r>
            <w:r w:rsidR="00D84D10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D1A39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="006A5188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LOT-2 - Ugovor za renoviranje šest (6) javnih objekata, tri (3) bolnička objekta i tri (3) administrativna objekta u Prištini, Prizrenu, </w:t>
            </w:r>
            <w:r w:rsidR="0013490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Đakovici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G</w:t>
            </w:r>
            <w:r w:rsidR="0013490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jilanu - radovi su završeni krajem </w:t>
            </w:r>
            <w:r w:rsidR="00D84D10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490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D84D10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odi</w:t>
            </w:r>
            <w:r w:rsidR="0013490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a počeo je jednogodišnji garantni </w:t>
            </w:r>
            <w:r w:rsidR="0013490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period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B52753" w:rsidRPr="0064355F" w14:paraId="3A1CC06C" w14:textId="77777777" w:rsidTr="00FE03F4">
        <w:trPr>
          <w:trHeight w:val="457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2A584" w14:textId="77777777" w:rsidR="0096044E" w:rsidRPr="0064355F" w:rsidRDefault="0096044E" w:rsidP="0096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III.1.9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545DBD" w14:textId="61410E4E" w:rsidR="0096044E" w:rsidRPr="0064355F" w:rsidRDefault="0096044E" w:rsidP="0096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Primena mera energetske efikasnosti (EE) u javnim zgradama (na opštinskom nivou).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39D22FB" w14:textId="77777777" w:rsidR="0096044E" w:rsidRPr="0064355F" w:rsidRDefault="0096044E" w:rsidP="0096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Godišnji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53D2D3" w14:textId="60D2DB85" w:rsidR="0096044E" w:rsidRPr="0064355F" w:rsidRDefault="0096044E" w:rsidP="0096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6,435,061.23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BA1C0" w14:textId="6D6F0298" w:rsidR="0096044E" w:rsidRPr="0064355F" w:rsidRDefault="0096044E" w:rsidP="0096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9,924,938.77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0905F5" w14:textId="77777777" w:rsidR="0096044E" w:rsidRPr="0064355F" w:rsidRDefault="0096044E" w:rsidP="0096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€ 500,000.00 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368595" w14:textId="77777777" w:rsidR="0096044E" w:rsidRPr="0064355F" w:rsidRDefault="0096044E" w:rsidP="0096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########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AF8F73" w14:textId="5AF876BA" w:rsidR="0096044E" w:rsidRPr="0064355F" w:rsidRDefault="0096044E" w:rsidP="0096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Budžet Kosova (BK),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Donatori (EU, BB-KEEREP).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1F2550" w14:textId="1049233F" w:rsidR="0096044E" w:rsidRPr="0064355F" w:rsidRDefault="0096044E" w:rsidP="0096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KFEE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E755B1" w14:textId="5CF34DAF" w:rsidR="0096044E" w:rsidRPr="0064355F" w:rsidRDefault="0096044E" w:rsidP="0096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Ušteda energije oko 3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godišnje.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F22CB" w14:textId="159AD5AF" w:rsidR="0096044E" w:rsidRPr="0064355F" w:rsidRDefault="0096044E" w:rsidP="0096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23622" w14:textId="66B4DFDB" w:rsidR="0096044E" w:rsidRPr="0064355F" w:rsidRDefault="0096044E" w:rsidP="009604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Osamdeset šest odsto (86%)</w:t>
            </w:r>
          </w:p>
          <w:p w14:paraId="6F02BC6E" w14:textId="77777777" w:rsidR="0096044E" w:rsidRPr="0064355F" w:rsidRDefault="0096044E" w:rsidP="009604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FDFC207" w14:textId="21DE62E8" w:rsidR="0096044E" w:rsidRPr="0064355F" w:rsidRDefault="0048448E" w:rsidP="009604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KFEE</w:t>
            </w:r>
            <w:r w:rsidR="0096044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je objavio dva javna poziva u 2020. i 2021. godini pozivajući sve opštine da se prijave za javne zgrade i sisteme uličnog osvetljenja, u cilju poboljšanja energetske efikasnosti (EE) u okviru projekta opštinske energetske efikasnosti (EE), </w:t>
            </w:r>
            <w:r w:rsidR="0096044E"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MEEP </w:t>
            </w:r>
            <w:r w:rsidR="0096044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podržanog od strane Svetske banke (SB),  Evropska unija (EU) i Vlada Republike Kosovo (</w:t>
            </w:r>
            <w:r w:rsidR="001739BC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VRK</w:t>
            </w:r>
            <w:r w:rsidR="0096044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). Iz ovih poziva potpisano je sto pedeset (150) ugovora o početku projekta, a od njih za osamdeset šest (86) objekata, </w:t>
            </w:r>
            <w:r w:rsidR="001739BC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KF</w:t>
            </w:r>
            <w:r w:rsidR="0096044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EE je potpisao sporazume o energetskim uslugama sa opštinama. U okviru ovih projekata zaključeni su ugovori za konsultantske usluge (energetski pregled, projektovanje i nadzor) i ugovore za izvođenje radova. U periodu januar-jun 2024. </w:t>
            </w:r>
            <w:r w:rsidR="001739BC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</w:t>
            </w:r>
            <w:r w:rsidR="006A12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1739BC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</w:t>
            </w:r>
            <w:r w:rsidR="0096044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završen je energetski pregled i projektovanje trideset četiri (34) nove zgrade iz preliminarnih javnih poziva. Za sedamnaest (17) njih zaključen je tenderski postupak za glavne radove i ugovore o nadzoru. Krajem 2024. </w:t>
            </w:r>
            <w:r w:rsidR="00221C02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="0096044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potpisani su ugovori o energetskim uslugama za sedamnaest (17) zgrada sa šest (6) opština naše zemlje. U periodu januar – jun 2025. </w:t>
            </w:r>
            <w:r w:rsidR="00221C02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="0096044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potpisani su ugovori o radovima sa četiri (4) </w:t>
            </w:r>
            <w:r w:rsidR="00221C02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ekonomska operatera</w:t>
            </w:r>
            <w:r w:rsidR="0096044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(OE) i počeo je proces </w:t>
            </w:r>
            <w:r w:rsidR="00221C02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sprovođenja</w:t>
            </w:r>
            <w:r w:rsidR="0096044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 sedamnaest (17) javnih zgrada. Jedan od projekata nije uspešno završen i trenutno čeka dobijanje dozvole za renoviranje od Regionalnog centra za očuvanje kulturnog nasleđa (RC</w:t>
            </w:r>
            <w:r w:rsidR="00221C02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OKN</w:t>
            </w:r>
            <w:r w:rsidR="0096044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), kako bi se omogućio dalji nastavak radova. Ukupan broj do sada završenih projekata je osamdeset pet (85), dok vrednost uštede energije iznosi 1,7 </w:t>
            </w:r>
            <w:proofErr w:type="spellStart"/>
            <w:r w:rsidR="0096044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ktoe</w:t>
            </w:r>
            <w:proofErr w:type="spellEnd"/>
            <w:r w:rsidR="0096044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godišnje.</w:t>
            </w:r>
          </w:p>
          <w:p w14:paraId="4376A821" w14:textId="1688AC56" w:rsidR="00221C02" w:rsidRPr="0064355F" w:rsidRDefault="00221C02" w:rsidP="0096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B52753" w:rsidRPr="0064355F" w14:paraId="2CD24726" w14:textId="77777777" w:rsidTr="00FE03F4">
        <w:trPr>
          <w:trHeight w:val="73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EBF2E" w14:textId="77777777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III.1.10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940A5" w14:textId="0B9124E7" w:rsidR="00A05889" w:rsidRPr="0064355F" w:rsidRDefault="00A05889" w:rsidP="00A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Sprovođenje mera energets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ke efikasnosti (EE) u javnim zgradama (na opštinskom nivou).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1DA60" w14:textId="4B1D71FC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2023.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365F3" w14:textId="77777777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-  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AE349" w14:textId="77777777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E305A" w14:textId="0B7B4A07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2,500,000.00 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1B572" w14:textId="77777777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########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AE4EE" w14:textId="08DAEF54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</w:t>
            </w:r>
            <w:r w:rsidR="002204D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BK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KfW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, WBIF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D4486" w14:textId="77777777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ME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A75C9" w14:textId="36E886D3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Osam (8) školskih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objekata (1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58733" w14:textId="71CE27E6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Energetska strategija za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period 2022.-2031.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04E556" w14:textId="1200CD48" w:rsidR="00A05889" w:rsidRPr="0064355F" w:rsidRDefault="00A05889" w:rsidP="00A058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                           Pedeset odsto (50%)</w:t>
            </w:r>
          </w:p>
          <w:p w14:paraId="5797861C" w14:textId="77777777" w:rsidR="00A05889" w:rsidRPr="0064355F" w:rsidRDefault="00A05889" w:rsidP="00A058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7406792" w14:textId="46E11AC6" w:rsidR="00A05889" w:rsidRPr="0064355F" w:rsidRDefault="00A05889" w:rsidP="00A0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Mere energetske efikasnosti (EE) u javnim zgradama na opštinskom nivou na Kosovu" je u toku, tj. prihvatanje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Neprigovora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 strane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KfW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-a je u procesu slanja zahteva za finansijsku ponudu intervencija u školama u opštinama: Priština, </w:t>
            </w:r>
            <w:r w:rsidR="0021154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Gnjilane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</w:t>
            </w:r>
            <w:r w:rsidR="0021154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Uroševac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kako su te opštine izabrale – prve kvalifikovane </w:t>
            </w:r>
            <w:r w:rsidR="0021154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ekonomske </w:t>
            </w:r>
            <w:proofErr w:type="spellStart"/>
            <w:r w:rsidR="0021154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operaere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="0021154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EO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 Ovaj proces pregovaranja o finansijskoj ponudi, shodno tome, određuje fokus na 1 ili 2 škole po opštini, u zavisnosti od finansijske ponude i planiranih budžetskih ograničen</w:t>
            </w:r>
            <w:r w:rsidR="0021154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Stoga će se broj školskih objekata razmatrati zajedno sa opštinama korisnicama. Što se tiče Opštine </w:t>
            </w:r>
            <w:r w:rsidR="0021154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Đakovica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postupak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predkvalifikacije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je ponovljen, nakon prethodnog neuspeha, i prihvatili smo zahtev </w:t>
            </w:r>
            <w:r w:rsidR="0021154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ekonomskih operatera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(OE), koji je ocenjen i ponovo upućen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KfW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-u na usaglašavanje (bez prigovora). Proces se nastavlja odobravanjem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predkvalifikacione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procene u </w:t>
            </w:r>
            <w:r w:rsidR="0021154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Đakovici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pripremom dokumentacije za tendersku – finansijsku ponudu koja se prosleđuje </w:t>
            </w:r>
            <w:r w:rsidR="0021154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ekonomskim operaterima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="0021154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EO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slično kao što je to slučaj u drugim opštinama koje su gore razrađe</w:t>
            </w:r>
            <w:r w:rsidR="0021154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Planirano je da se u narednim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mjesecima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započnu intervencije, radovi u školama,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gdje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 prioritet daje intervencijama u školama u opštini Priština zbog velikog broja učenika, tako da je intervencije potrebno uraditi bez uzimanja u obzir kretanja učenika.</w:t>
            </w:r>
          </w:p>
        </w:tc>
      </w:tr>
      <w:tr w:rsidR="00B52753" w:rsidRPr="0064355F" w14:paraId="2E0BC3C4" w14:textId="77777777" w:rsidTr="00FE03F4">
        <w:trPr>
          <w:trHeight w:val="145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040FE" w14:textId="77777777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III.1.11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A0EFE" w14:textId="5E94C7CD" w:rsidR="00A05889" w:rsidRPr="0064355F" w:rsidRDefault="00A05889" w:rsidP="00A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Okvir zelenih gradova 2 Prozor 2 – Energetska efikasnost (EE) u javnim zgradama u Prištini.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DDB05" w14:textId="7D002210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84A3A" w14:textId="77777777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-  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44CC4" w14:textId="4F406D91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1,000,000.00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1CFCC" w14:textId="35AE5304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2,000,000.00 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DA1B9" w14:textId="77777777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########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1FD2B" w14:textId="77777777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Kredit od EBRD 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A0E9F" w14:textId="77777777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Opštine Priština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FC5DA" w14:textId="433E00E7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Sprovođenje mera  energetske efikasnosti (EE) do četrdeset sedam (47) zgrada u vlasništvu opštine. Ušteda energije 1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5F8BC" w14:textId="2B9796CC" w:rsidR="00A05889" w:rsidRPr="0064355F" w:rsidRDefault="00A05889" w:rsidP="00A0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243B81" w14:textId="625020D3" w:rsidR="00A05889" w:rsidRPr="0064355F" w:rsidRDefault="00A05889" w:rsidP="00A0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2753" w:rsidRPr="0064355F" w14:paraId="56015CF5" w14:textId="77777777" w:rsidTr="00FE03F4">
        <w:trPr>
          <w:trHeight w:val="790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2125E" w14:textId="77777777" w:rsidR="00B63779" w:rsidRPr="0064355F" w:rsidRDefault="00B63779" w:rsidP="00B6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III.1.12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763A9" w14:textId="00B5A7DA" w:rsidR="00B63779" w:rsidRPr="0064355F" w:rsidRDefault="00B63779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Sprovođenje mera energets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ke efikasnosti (EE) u javnim zgradama u Prizrenu.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7171F" w14:textId="5434F440" w:rsidR="00B63779" w:rsidRPr="0064355F" w:rsidRDefault="00B63779" w:rsidP="00B6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2025.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EDA19" w14:textId="77777777" w:rsidR="00B63779" w:rsidRPr="0064355F" w:rsidRDefault="00B63779" w:rsidP="00B6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-  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1E91F" w14:textId="209041FC" w:rsidR="00B63779" w:rsidRPr="0064355F" w:rsidRDefault="00B63779" w:rsidP="00B6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1,000,000.00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8FD70" w14:textId="0AA617D9" w:rsidR="00B63779" w:rsidRPr="0064355F" w:rsidRDefault="00B63779" w:rsidP="00B6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2,000,000.00 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F8DD9" w14:textId="77777777" w:rsidR="00B63779" w:rsidRPr="0064355F" w:rsidRDefault="00B63779" w:rsidP="00B6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########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1A7B6" w14:textId="77777777" w:rsidR="00B63779" w:rsidRPr="0064355F" w:rsidRDefault="00B63779" w:rsidP="00B6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Kredit od EBRD 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B977B" w14:textId="77777777" w:rsidR="00B63779" w:rsidRPr="0064355F" w:rsidRDefault="00B63779" w:rsidP="00B6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Opština Prizren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F2385" w14:textId="69F12398" w:rsidR="00B63779" w:rsidRPr="0064355F" w:rsidRDefault="00B63779" w:rsidP="00B6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Sprovođenje  mera energets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ke efikasnosti (EE) do </w:t>
            </w:r>
            <w:r w:rsidRPr="0064355F">
              <w:rPr>
                <w:rFonts w:ascii="Times New Roman" w:eastAsia="Times New Roman" w:hAnsi="Times New Roman" w:cs="Times New Roman"/>
                <w:color w:val="202122"/>
                <w:sz w:val="18"/>
                <w:szCs w:val="18"/>
              </w:rPr>
              <w:t xml:space="preserve">četrdeset sedam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(47) zgrada u vlasništvu opštine Ušteda energije 1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A29D5B" w14:textId="7731DCC0" w:rsidR="00B63779" w:rsidRPr="0064355F" w:rsidRDefault="00B63779" w:rsidP="00B6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Energetska strategija za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period 2022.-2031.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7B5F3C" w14:textId="4F43ED0E" w:rsidR="00B63779" w:rsidRPr="0064355F" w:rsidRDefault="00B63779" w:rsidP="00B6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B52753" w:rsidRPr="0064355F" w14:paraId="0B4A2FCD" w14:textId="77777777" w:rsidTr="00FE03F4">
        <w:trPr>
          <w:trHeight w:val="121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81858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III.1.13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AACAF" w14:textId="100C5404" w:rsidR="00000A7B" w:rsidRPr="0064355F" w:rsidRDefault="00000A7B" w:rsidP="0000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Sprovođenje mera energetske efikasnosti (EE) u stambenom sektoru </w:t>
            </w:r>
            <w:r w:rsidRPr="0064355F">
              <w:rPr>
                <w:rFonts w:ascii="Times New Roman" w:eastAsia="Times New Roman" w:hAnsi="Times New Roman" w:cs="Times New Roman"/>
                <w:color w:val="202122"/>
                <w:sz w:val="18"/>
                <w:szCs w:val="18"/>
              </w:rPr>
              <w:t xml:space="preserve">dvadeset šest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(26)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višestambenih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zgrada (</w:t>
            </w:r>
            <w:r w:rsidR="00A152BA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VSZ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F5857" w14:textId="3C00E802" w:rsidR="00000A7B" w:rsidRPr="0064355F" w:rsidRDefault="007E6C13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CE63D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€ 4,850,000.00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96377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         -  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993A3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-   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1B206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779E7" w14:textId="36961A08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MMC-</w:t>
            </w:r>
            <w:r w:rsidR="00A152BA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52BA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Millennium</w:t>
            </w:r>
            <w:proofErr w:type="spellEnd"/>
            <w:r w:rsidR="00A152BA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52BA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Foundation</w:t>
            </w:r>
            <w:proofErr w:type="spellEnd"/>
            <w:r w:rsidR="00A152BA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Kosovo 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C7813" w14:textId="2F2B4545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MFK, ME, </w:t>
            </w:r>
            <w:r w:rsidR="00A152BA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Opština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72C9E" w14:textId="6DC69BC3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Dvadeset šest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(26)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višestambenih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zgrada renovirano, postižući uštede do </w:t>
            </w:r>
            <w:r w:rsidRPr="00643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trideset </w:t>
            </w:r>
            <w:r w:rsidR="00A152BA" w:rsidRPr="0064355F">
              <w:rPr>
                <w:rFonts w:ascii="Times New Roman" w:eastAsia="Times New Roman" w:hAnsi="Times New Roman" w:cs="Times New Roman"/>
                <w:sz w:val="20"/>
                <w:szCs w:val="20"/>
              </w:rPr>
              <w:t>odsto</w:t>
            </w:r>
            <w:r w:rsidRPr="00643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30%).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97A0B0" w14:textId="22479A8A" w:rsidR="00000A7B" w:rsidRPr="0064355F" w:rsidRDefault="00000A7B" w:rsidP="0000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Zakon o energetskoj efikasnosti (EE), Zakon o energetskim svojstvima zgrada, IV Nacionalni akcioni plan za energetsku efikasnost (EE).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C3A01" w14:textId="5B5FC5B6" w:rsidR="00000A7B" w:rsidRPr="0064355F" w:rsidRDefault="00000A7B" w:rsidP="0057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52753" w:rsidRPr="0064355F" w14:paraId="578C9A7B" w14:textId="77777777" w:rsidTr="00FE03F4">
        <w:trPr>
          <w:trHeight w:val="73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893A1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III.1.14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45E42" w14:textId="2B2ED89A" w:rsidR="00000A7B" w:rsidRPr="0064355F" w:rsidRDefault="00000A7B" w:rsidP="0000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Studija ekonomske opravdanosti za sprovođenje mera energets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ke efikasnosti (EE) u stambenom i privatnom sektoru.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0CA7D" w14:textId="0C710DDC" w:rsidR="00000A7B" w:rsidRPr="0064355F" w:rsidRDefault="007E6C13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2024.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50650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FE9EE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E1225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€ 200,000.00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B089B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6031D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Donatori (WBIF)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26373" w14:textId="6A5B2CD9" w:rsidR="00000A7B" w:rsidRPr="0064355F" w:rsidRDefault="00A152BA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KFEE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E0C8C" w14:textId="73AF5F50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Studija izvodljivosti završena.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3FB32" w14:textId="36AC29B3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84D10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2031.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58B10A" w14:textId="5B5D7489" w:rsidR="00000A7B" w:rsidRPr="0064355F" w:rsidRDefault="00000A7B" w:rsidP="0057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2753" w:rsidRPr="0064355F" w14:paraId="5F350505" w14:textId="77777777" w:rsidTr="00FE03F4">
        <w:trPr>
          <w:trHeight w:val="5010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F5652" w14:textId="77777777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III.1.15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F6F6860" w14:textId="03A0542C" w:rsidR="00A152BA" w:rsidRPr="0064355F" w:rsidRDefault="00A152BA" w:rsidP="00A1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Sprovođenje mera energetske efikasnosti (EE) u stambenom sektoru (pojedinačne kuće).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03E385" w14:textId="33C16894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3C4B71" w14:textId="77777777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-  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71DFE" w14:textId="568A77F3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5,000,000.00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BB6817F" w14:textId="45788757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5,000,000.00 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92D861" w14:textId="77777777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3C2CD" w14:textId="77777777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Evropska komisija / IPA fondovi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D509D8" w14:textId="75A34BAE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KFEE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E74F01" w14:textId="77777777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Ušteda energije – 2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/godišnje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EA14C" w14:textId="775D882D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96B473A" w14:textId="797B9081" w:rsidR="00A152BA" w:rsidRPr="0064355F" w:rsidRDefault="00A152BA" w:rsidP="00A152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6435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Sto </w:t>
            </w:r>
            <w:r w:rsidR="0021154B" w:rsidRPr="006435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odsto</w:t>
            </w:r>
            <w:r w:rsidRPr="006435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(100%)</w:t>
            </w:r>
          </w:p>
          <w:p w14:paraId="1B24C6F0" w14:textId="77777777" w:rsidR="00A152BA" w:rsidRPr="0064355F" w:rsidRDefault="00A152BA" w:rsidP="00A152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5D9CC1A" w14:textId="4470434B" w:rsidR="002433F0" w:rsidRPr="0064355F" w:rsidRDefault="00A152BA" w:rsidP="00A1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Tokom 2023. </w:t>
            </w:r>
            <w:r w:rsidR="005552DE" w:rsidRPr="0064355F"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552DE" w:rsidRPr="0064355F">
              <w:rPr>
                <w:rFonts w:ascii="Times New Roman" w:hAnsi="Times New Roman" w:cs="Times New Roman"/>
                <w:sz w:val="18"/>
                <w:szCs w:val="18"/>
              </w:rPr>
              <w:t>KF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EE je objavio "Javni poziv za podnošenje </w:t>
            </w:r>
            <w:r w:rsidR="005552DE" w:rsidRPr="0064355F">
              <w:rPr>
                <w:rFonts w:ascii="Times New Roman" w:hAnsi="Times New Roman" w:cs="Times New Roman"/>
                <w:sz w:val="18"/>
                <w:szCs w:val="18"/>
              </w:rPr>
              <w:t>aplikacija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" za realizaciju Hitnog projekta za sprovođenje mera energetske efikasnosti za pojedinačne stambene kuće uz podršku Evropske unije (EU) u okviru IPA programa, Paket energetske podrške Vlade Kosova uz podršku Evropske unije (EU) u okviru IPA programa,  Paket energetske podrške Vlade Kosova. Od ovog poziva, 3321 je pregledano, 2148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predodo</w:t>
            </w:r>
            <w:r w:rsidR="005552DE" w:rsidRPr="0064355F">
              <w:rPr>
                <w:rFonts w:ascii="Times New Roman" w:hAnsi="Times New Roman" w:cs="Times New Roman"/>
                <w:sz w:val="18"/>
                <w:szCs w:val="18"/>
              </w:rPr>
              <w:t>brenja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su izdata, dok je iznos rezervisan prema pismima pre odo</w:t>
            </w:r>
            <w:r w:rsidR="005552DE" w:rsidRPr="0064355F">
              <w:rPr>
                <w:rFonts w:ascii="Times New Roman" w:hAnsi="Times New Roman" w:cs="Times New Roman"/>
                <w:sz w:val="18"/>
                <w:szCs w:val="18"/>
              </w:rPr>
              <w:t>brenja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8.230.050 €, broj korisnika je 2100 porodica. Broj </w:t>
            </w:r>
            <w:r w:rsidR="005552DE" w:rsidRPr="0064355F">
              <w:rPr>
                <w:rFonts w:ascii="Times New Roman" w:hAnsi="Times New Roman" w:cs="Times New Roman"/>
                <w:sz w:val="18"/>
                <w:szCs w:val="18"/>
              </w:rPr>
              <w:t>aplikacija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koje su dobile isplatu je 1811, dok je iznos 6,7 miliona </w:t>
            </w:r>
            <w:r w:rsidR="005552DE" w:rsidRPr="0064355F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, dok je 1010 </w:t>
            </w:r>
            <w:r w:rsidR="005552DE" w:rsidRPr="0064355F">
              <w:rPr>
                <w:rFonts w:ascii="Times New Roman" w:hAnsi="Times New Roman" w:cs="Times New Roman"/>
                <w:sz w:val="18"/>
                <w:szCs w:val="18"/>
              </w:rPr>
              <w:t>aplikacija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bilo na listi čekanja (zbog nedostatka izveštaja revizora). </w:t>
            </w:r>
            <w:r w:rsidR="009E1F11" w:rsidRPr="0064355F">
              <w:rPr>
                <w:rFonts w:ascii="Times New Roman" w:hAnsi="Times New Roman" w:cs="Times New Roman"/>
                <w:sz w:val="18"/>
                <w:szCs w:val="18"/>
              </w:rPr>
              <w:t>KF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EE je napravio "Javni poziv" za ovu listu, a broj kandidata koji su se odazvali pozivu je 267. Ove </w:t>
            </w:r>
            <w:r w:rsidR="009E1F11" w:rsidRPr="0064355F">
              <w:rPr>
                <w:rFonts w:ascii="Times New Roman" w:hAnsi="Times New Roman" w:cs="Times New Roman"/>
                <w:sz w:val="18"/>
                <w:szCs w:val="18"/>
              </w:rPr>
              <w:t>aplikacije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su verifikovane od strane devet (9) kompanija koje je angažovao </w:t>
            </w:r>
            <w:r w:rsidR="009E1F11" w:rsidRPr="0064355F">
              <w:rPr>
                <w:rFonts w:ascii="Times New Roman" w:hAnsi="Times New Roman" w:cs="Times New Roman"/>
                <w:sz w:val="18"/>
                <w:szCs w:val="18"/>
              </w:rPr>
              <w:t>KF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EE, i 1789 sporazumi su potpisani. Budžet utrošen za ovaj proces ukupno je dostigao vrednost od 6.347.438,91 €. K</w:t>
            </w:r>
            <w:r w:rsidR="009E1F11" w:rsidRPr="0064355F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EE je od prvog poziva pokrenuo proces rešavanja liste čekanja i odazvalo se 239 kuća, od kojih 25 ima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izvještaj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o energetskom pregledu, dok je za 212 kuća K</w:t>
            </w:r>
            <w:r w:rsidR="009E1F11" w:rsidRPr="0064355F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EE pokrenuo tendersku proceduru za pripremu energetskih pregleda i proveru sprovođenja mera. Sa ove liste, do juna 2025. </w:t>
            </w:r>
            <w:r w:rsidR="002433F0" w:rsidRPr="0064355F"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potpisano je 85 ugovora u vrednosti od 301.002,06 evra. </w:t>
            </w:r>
            <w:r w:rsidR="002433F0"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192101" w14:textId="77777777" w:rsidR="00B52753" w:rsidRPr="0064355F" w:rsidRDefault="00A152BA" w:rsidP="00A1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Dana 26. avgusta 2024. </w:t>
            </w:r>
            <w:proofErr w:type="spellStart"/>
            <w:r w:rsidR="002433F0" w:rsidRPr="0064355F">
              <w:rPr>
                <w:rFonts w:ascii="Times New Roman" w:hAnsi="Times New Roman" w:cs="Times New Roman"/>
                <w:sz w:val="18"/>
                <w:szCs w:val="18"/>
              </w:rPr>
              <w:t>godinee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, K</w:t>
            </w:r>
            <w:r w:rsidR="002433F0" w:rsidRPr="0064355F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EE je nastavio sa drugim javnim pozivom za pojedinačne kuće, sa utvrđenim iznosom od 5 miliona </w:t>
            </w:r>
            <w:r w:rsidR="002433F0" w:rsidRPr="0064355F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. Tokom drugog poziva primljeno je 1296 važećih prijava, od kojih je 1237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predodo</w:t>
            </w:r>
            <w:r w:rsidR="002433F0" w:rsidRPr="0064355F">
              <w:rPr>
                <w:rFonts w:ascii="Times New Roman" w:hAnsi="Times New Roman" w:cs="Times New Roman"/>
                <w:sz w:val="18"/>
                <w:szCs w:val="18"/>
              </w:rPr>
              <w:t>brenja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, 43 odbijena, 16 podnosilaca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zahtjeva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povučeno iz subvencije. Iz ovog poziva potpisano je 1136 sporazuma, a budžet utrošen za ovaj proces ukupno je dostigao vrednost od 4.151.445,81 € do juna 2025. godine. </w:t>
            </w:r>
            <w:r w:rsidR="002433F0" w:rsidRPr="0064355F">
              <w:rPr>
                <w:rFonts w:ascii="Times New Roman" w:hAnsi="Times New Roman" w:cs="Times New Roman"/>
                <w:sz w:val="18"/>
                <w:szCs w:val="18"/>
              </w:rPr>
              <w:t>KF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EE je pokrenuo proces rešavanja liste čekanja iz drugog poziva i odo</w:t>
            </w:r>
            <w:r w:rsidR="00B52753" w:rsidRPr="0064355F">
              <w:rPr>
                <w:rFonts w:ascii="Times New Roman" w:hAnsi="Times New Roman" w:cs="Times New Roman"/>
                <w:sz w:val="18"/>
                <w:szCs w:val="18"/>
              </w:rPr>
              <w:t>brenja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je 500 kuća. Sa ove liste potpisano je 204 ugovora u vrednosti od 719.866,65 evra do juna 2025. godine. </w:t>
            </w:r>
          </w:p>
          <w:p w14:paraId="450EADF9" w14:textId="6BC5DBD3" w:rsidR="00A152BA" w:rsidRPr="0064355F" w:rsidRDefault="00A152BA" w:rsidP="00A1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Iz "Javnih poziva za </w:t>
            </w:r>
            <w:r w:rsidR="00B52753" w:rsidRPr="0064355F">
              <w:rPr>
                <w:rFonts w:ascii="Times New Roman" w:hAnsi="Times New Roman" w:cs="Times New Roman"/>
                <w:sz w:val="18"/>
                <w:szCs w:val="18"/>
              </w:rPr>
              <w:t>apliciranje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" za realizaciju Projekta za hitne slučajeve za sprovođenje mera energetske efikasnosti (EE) za pojedine stambene kuće, vrednost uštede energije iznosi 9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ktoe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/godišnje.</w:t>
            </w:r>
          </w:p>
        </w:tc>
      </w:tr>
      <w:tr w:rsidR="00B52753" w:rsidRPr="0064355F" w14:paraId="2B52CF48" w14:textId="77777777" w:rsidTr="00FE03F4">
        <w:trPr>
          <w:trHeight w:val="457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E694F" w14:textId="77777777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III.1.16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EAC309" w14:textId="14EC07DD" w:rsidR="00A152BA" w:rsidRPr="0064355F" w:rsidRDefault="00A152BA" w:rsidP="00A1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Sprovođenje mera energetske efikasnosti (EE) u stambenom sektoru Socijalna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višestambena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zgrada (VSZ) u vlasništvu opština. 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48E0C0" w14:textId="3647E8D6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E2ED3B" w14:textId="77777777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-  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3D535" w14:textId="3D7F0C82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5,000,000.00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075E4B" w14:textId="4AACAEFC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5,000,000.00 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B94FD2" w14:textId="77777777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37E656" w14:textId="77777777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Evropska komisija / IPA fondovi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8C29D0" w14:textId="4B4D0526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KFEE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42CEFBA" w14:textId="77777777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Ušteda energije – 2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/godišnje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56560" w14:textId="1B123B26" w:rsidR="00A152BA" w:rsidRPr="0064355F" w:rsidRDefault="00A152BA" w:rsidP="00A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76CC1FF" w14:textId="27E1E52C" w:rsidR="00A152BA" w:rsidRPr="0064355F" w:rsidRDefault="00A152BA" w:rsidP="00A152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Pedeset odsto (50%)</w:t>
            </w:r>
          </w:p>
          <w:p w14:paraId="22B45F64" w14:textId="77777777" w:rsidR="00A152BA" w:rsidRPr="0064355F" w:rsidRDefault="00A152BA" w:rsidP="00A152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31C2194" w14:textId="77777777" w:rsidR="00B52753" w:rsidRPr="0064355F" w:rsidRDefault="00A152BA" w:rsidP="00A1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Tokom 2023. </w:t>
            </w:r>
            <w:r w:rsidR="00B52753" w:rsidRPr="0064355F">
              <w:rPr>
                <w:rFonts w:ascii="Times New Roman" w:hAnsi="Times New Roman" w:cs="Times New Roman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, K</w:t>
            </w:r>
            <w:r w:rsidR="00B52753" w:rsidRPr="0064355F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EE je objavio "Javni poziv", "Javni poziv za </w:t>
            </w:r>
            <w:r w:rsidR="00B52753" w:rsidRPr="0064355F">
              <w:rPr>
                <w:rFonts w:ascii="Times New Roman" w:hAnsi="Times New Roman" w:cs="Times New Roman"/>
                <w:sz w:val="18"/>
                <w:szCs w:val="18"/>
              </w:rPr>
              <w:t>apliciranje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" za hitni projekat mera energetske efikasnosti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višestambenih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zgrada (</w:t>
            </w:r>
            <w:r w:rsidR="00B52753" w:rsidRPr="0064355F">
              <w:rPr>
                <w:rFonts w:ascii="Times New Roman" w:hAnsi="Times New Roman" w:cs="Times New Roman"/>
                <w:sz w:val="18"/>
                <w:szCs w:val="18"/>
              </w:rPr>
              <w:t>VSZ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) u vlasništvu opština uz podršku Evropske unije (EU) u okviru IPA programa, Paket energetske podrške Vlade Kosova uz podršku Evropske unije (EU) u okviru IPA programa,  Paket energetske podrške Vlade Kosova. Iz ovog poziva potpisani su sporazumi o pokretanju projekta za 28 socijalnih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višestambenih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zgrada (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višestambene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zgrade) u trinaest (13) opština. </w:t>
            </w:r>
          </w:p>
          <w:p w14:paraId="533ECD32" w14:textId="7A07CC8F" w:rsidR="00A152BA" w:rsidRPr="0064355F" w:rsidRDefault="00A152BA" w:rsidP="00A1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Nedavno je K</w:t>
            </w:r>
            <w:r w:rsidR="00B52753" w:rsidRPr="0064355F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EE potpisao "Sporazum o sufinansiranju" sa dvanaest (12) opština za dvadeset pet (25) socijalnih 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višestambenih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zgrada (</w:t>
            </w:r>
            <w:r w:rsidR="00B52753" w:rsidRPr="0064355F">
              <w:rPr>
                <w:rFonts w:ascii="Times New Roman" w:hAnsi="Times New Roman" w:cs="Times New Roman"/>
                <w:sz w:val="18"/>
                <w:szCs w:val="18"/>
              </w:rPr>
              <w:t>VSZ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) i kroz osam (8) glavnih kompanija, počela je primena mera energetske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efikasnosti u ovim zgradama. Budžet utrošen za ovaj proces ukupno je dostigao vrednost od 3.401.205,62 €.</w:t>
            </w:r>
          </w:p>
        </w:tc>
      </w:tr>
      <w:tr w:rsidR="00B52753" w:rsidRPr="0064355F" w14:paraId="338973CA" w14:textId="77777777" w:rsidTr="00FE03F4">
        <w:trPr>
          <w:trHeight w:val="1170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6C803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III.1.17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3E02D" w14:textId="4AF33FEE" w:rsidR="00000A7B" w:rsidRPr="0064355F" w:rsidRDefault="00A152BA" w:rsidP="0000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Sprovođenje</w:t>
            </w:r>
            <w:r w:rsidR="00000A7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mera energetske efikasnosti (EE) u stambenom sektoru i </w:t>
            </w:r>
            <w:r w:rsidR="0091220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MMSP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BE3F4" w14:textId="31FB5318" w:rsidR="00000A7B" w:rsidRPr="0064355F" w:rsidRDefault="007E6C13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4FE06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-  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22C16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         -  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1FDDF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-   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4F820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########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FD299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Donatori (WBIF)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EEB6F" w14:textId="771A06CF" w:rsidR="00000A7B" w:rsidRPr="0064355F" w:rsidRDefault="00374A55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KFEE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ACF7A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Ušteda energije 0.14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ktoe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6401A" w14:textId="6C358B31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84D10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2031.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A61BE8" w14:textId="51FFEA0B" w:rsidR="00000A7B" w:rsidRPr="0064355F" w:rsidRDefault="00000A7B" w:rsidP="0057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2753" w:rsidRPr="0064355F" w14:paraId="447DA0C8" w14:textId="77777777" w:rsidTr="00FE03F4">
        <w:trPr>
          <w:trHeight w:val="1650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BE46D" w14:textId="77777777" w:rsidR="00374A55" w:rsidRPr="0064355F" w:rsidRDefault="00374A55" w:rsidP="0037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III.1.18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6ED7C" w14:textId="04EE54EB" w:rsidR="00374A55" w:rsidRPr="0064355F" w:rsidRDefault="00374A55" w:rsidP="0037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Sprovođenje mera energetske efikasnosti (EE) u stamben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om sektoru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17741" w14:textId="37C9DDFF" w:rsidR="00374A55" w:rsidRPr="0064355F" w:rsidRDefault="00374A55" w:rsidP="0037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2022./2023.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8BDD8" w14:textId="154A3B72" w:rsidR="00374A55" w:rsidRPr="0064355F" w:rsidRDefault="00374A55" w:rsidP="0037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5,000,000.00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80161" w14:textId="6AE3F35C" w:rsidR="00374A55" w:rsidRPr="0064355F" w:rsidRDefault="00374A55" w:rsidP="0037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10,000,000.00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9AE06" w14:textId="77777777" w:rsidR="00374A55" w:rsidRPr="0064355F" w:rsidRDefault="00374A55" w:rsidP="0037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-  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5D01C" w14:textId="77777777" w:rsidR="00374A55" w:rsidRPr="0064355F" w:rsidRDefault="00374A55" w:rsidP="0037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D70ED" w14:textId="73F04F8F" w:rsidR="00374A55" w:rsidRPr="0064355F" w:rsidRDefault="00374A55" w:rsidP="0037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</w:t>
            </w:r>
            <w:r w:rsidR="0091220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BK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Donatori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21B1F" w14:textId="77777777" w:rsidR="00374A55" w:rsidRPr="0064355F" w:rsidRDefault="00374A55" w:rsidP="0037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76B2D" w14:textId="0CC0F94E" w:rsidR="00374A55" w:rsidRPr="0064355F" w:rsidRDefault="00374A55" w:rsidP="0037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Šeme subvencija za efikasnu opremu za grejanje,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efikasne kućne aparate i solarne sisteme.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75AF1" w14:textId="24F42389" w:rsidR="00374A55" w:rsidRPr="0064355F" w:rsidRDefault="00374A55" w:rsidP="0037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Energetska strategija za period 2022.-2031.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88EDE" w14:textId="7DB6C384" w:rsidR="00374A55" w:rsidRPr="0064355F" w:rsidRDefault="00374A55" w:rsidP="0037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52753" w:rsidRPr="0064355F" w14:paraId="7CF026B0" w14:textId="77777777" w:rsidTr="00FE03F4">
        <w:trPr>
          <w:trHeight w:val="202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DF319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III.1.19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3C2C6" w14:textId="396120AC" w:rsidR="00000A7B" w:rsidRPr="0064355F" w:rsidRDefault="0091220E" w:rsidP="0000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Sprovođenje</w:t>
            </w:r>
            <w:r w:rsidR="00000A7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mera energetske efikasnosti (EE) u stambenom sektoru mikro, malih i srednjih preduzeća (MMSP).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404B7" w14:textId="497CD173" w:rsidR="00000A7B" w:rsidRPr="0064355F" w:rsidRDefault="007E6C13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5B1B4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-  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F1C56" w14:textId="6A8D8285" w:rsidR="00000A7B" w:rsidRPr="0064355F" w:rsidRDefault="0091220E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€               5,000,000.00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ECFD4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-   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7E7E2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7AA48" w14:textId="766FD083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Evropska komisija / IPA fondovi</w:t>
            </w:r>
            <w:r w:rsidR="0091220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C7C8C" w14:textId="77777777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2F261" w14:textId="6C0A30DE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Šeme subvencija za efikasnu opremu za grejanje, efikasnu radnu opremu i solarne sisteme.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9662E" w14:textId="4500BA95" w:rsidR="00000A7B" w:rsidRPr="0064355F" w:rsidRDefault="00000A7B" w:rsidP="0000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84D10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2031.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1BEC3" w14:textId="70A36FFC" w:rsidR="00000A7B" w:rsidRPr="0064355F" w:rsidRDefault="00000A7B" w:rsidP="0057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52753" w:rsidRPr="0064355F" w14:paraId="72570375" w14:textId="77777777" w:rsidTr="00FE03F4">
        <w:trPr>
          <w:trHeight w:val="880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924B3" w14:textId="77777777" w:rsidR="0091220E" w:rsidRPr="0064355F" w:rsidRDefault="0091220E" w:rsidP="009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III.1.20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1BD20" w14:textId="64207579" w:rsidR="0091220E" w:rsidRPr="0064355F" w:rsidRDefault="0091220E" w:rsidP="0091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Instalacija solarnih PV sistema u regionalnim vodovodnim kompanijama (RKV). 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11CC9" w14:textId="6FB52816" w:rsidR="0091220E" w:rsidRPr="0064355F" w:rsidRDefault="0091220E" w:rsidP="009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A32A5" w14:textId="77777777" w:rsidR="0091220E" w:rsidRPr="0064355F" w:rsidRDefault="0091220E" w:rsidP="009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-  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5C5CC" w14:textId="38D1CBB6" w:rsidR="0091220E" w:rsidRPr="0064355F" w:rsidRDefault="0091220E" w:rsidP="009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100,000.00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2057D" w14:textId="61E20F94" w:rsidR="0091220E" w:rsidRPr="0064355F" w:rsidRDefault="0091220E" w:rsidP="009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14,900,000.00 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97936" w14:textId="77777777" w:rsidR="0091220E" w:rsidRPr="0064355F" w:rsidRDefault="0091220E" w:rsidP="009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BB635" w14:textId="6A617449" w:rsidR="0091220E" w:rsidRPr="0064355F" w:rsidRDefault="0091220E" w:rsidP="009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KfW</w:t>
            </w:r>
            <w:proofErr w:type="spellEnd"/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9BB78" w14:textId="77777777" w:rsidR="0091220E" w:rsidRPr="0064355F" w:rsidRDefault="0091220E" w:rsidP="009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 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6B99526" w14:textId="1EE28D31" w:rsidR="0091220E" w:rsidRPr="0064355F" w:rsidRDefault="0091220E" w:rsidP="009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Diverzifikacija izvora energije u </w:t>
            </w:r>
            <w:r w:rsidR="003136F2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RKV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oko </w:t>
            </w:r>
            <w:r w:rsidRPr="0064355F">
              <w:rPr>
                <w:rFonts w:ascii="Times New Roman" w:eastAsia="Times New Roman" w:hAnsi="Times New Roman" w:cs="Times New Roman"/>
                <w:color w:val="202122"/>
                <w:sz w:val="20"/>
                <w:szCs w:val="20"/>
              </w:rPr>
              <w:t xml:space="preserve">dvadeset šest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odsto (26%) potrošnje energije će biti pokriveno OIE.   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BAB9D" w14:textId="2CDEBB04" w:rsidR="0091220E" w:rsidRPr="0064355F" w:rsidRDefault="0091220E" w:rsidP="009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13815F" w14:textId="6FEB7441" w:rsidR="0091220E" w:rsidRPr="0064355F" w:rsidRDefault="0091220E" w:rsidP="0091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2753" w:rsidRPr="0064355F" w14:paraId="75D34380" w14:textId="77777777" w:rsidTr="00FE03F4">
        <w:trPr>
          <w:trHeight w:val="1780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C9991" w14:textId="77777777" w:rsidR="002F2F7E" w:rsidRPr="0064355F" w:rsidRDefault="002F2F7E" w:rsidP="002F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III.1.21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BFF1B" w14:textId="77777777" w:rsidR="002F2F7E" w:rsidRPr="0064355F" w:rsidRDefault="002F2F7E" w:rsidP="002F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ESCO razvoj tržišta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687D4" w14:textId="1871F6D3" w:rsidR="002F2F7E" w:rsidRPr="0064355F" w:rsidRDefault="002F2F7E" w:rsidP="002F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 /2025.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D57B65" w14:textId="77777777" w:rsidR="002F2F7E" w:rsidRPr="0064355F" w:rsidRDefault="002F2F7E" w:rsidP="002F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-   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BD86A" w14:textId="77777777" w:rsidR="002F2F7E" w:rsidRPr="0064355F" w:rsidRDefault="002F2F7E" w:rsidP="002F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         -  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A24C4" w14:textId="6CE83F34" w:rsidR="002F2F7E" w:rsidRPr="0064355F" w:rsidRDefault="002F2F7E" w:rsidP="002F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10,000.00 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126E7" w14:textId="77777777" w:rsidR="002F2F7E" w:rsidRPr="0064355F" w:rsidRDefault="002F2F7E" w:rsidP="002F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########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E5280" w14:textId="77777777" w:rsidR="002F2F7E" w:rsidRPr="0064355F" w:rsidRDefault="002F2F7E" w:rsidP="002F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Donatori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F9F3E" w14:textId="77777777" w:rsidR="002F2F7E" w:rsidRPr="0064355F" w:rsidRDefault="002F2F7E" w:rsidP="002F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CBD7B" w14:textId="1788D563" w:rsidR="002F2F7E" w:rsidRPr="0064355F" w:rsidRDefault="002F2F7E" w:rsidP="002F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Razvijene su tri vrste modela ugovora za ESCO i metodologija za određivanje ESCO-a.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DEBC1" w14:textId="1F12F346" w:rsidR="002F2F7E" w:rsidRPr="0064355F" w:rsidRDefault="002F2F7E" w:rsidP="002F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Administrativno uputstvo  (AU) za pružaoce energetskih usluga.</w:t>
            </w:r>
          </w:p>
        </w:tc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C8CB6FE" w14:textId="1908DD84" w:rsidR="002F2F7E" w:rsidRPr="0064355F" w:rsidRDefault="002F2F7E" w:rsidP="002F2F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Nula odsto (0%)</w:t>
            </w:r>
          </w:p>
          <w:p w14:paraId="06C9F3EF" w14:textId="77777777" w:rsidR="002F2F7E" w:rsidRPr="0064355F" w:rsidRDefault="002F2F7E" w:rsidP="002F2F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5CA1D4F" w14:textId="036B0EB5" w:rsidR="002F2F7E" w:rsidRPr="0064355F" w:rsidRDefault="002F2F7E" w:rsidP="002F2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Nema razvoja, Administrativn</w:t>
            </w:r>
            <w:r w:rsidR="00B52753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uputstvo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(AU) će biti usvojen</w:t>
            </w:r>
            <w:r w:rsidR="009525A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nakon usvajanja Zakona o energetskoj efikasnosti (EE).</w:t>
            </w:r>
          </w:p>
        </w:tc>
      </w:tr>
      <w:tr w:rsidR="00B52753" w:rsidRPr="0064355F" w14:paraId="14031C55" w14:textId="77777777" w:rsidTr="00FE03F4">
        <w:trPr>
          <w:trHeight w:val="31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D1839B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III.2</w:t>
            </w:r>
          </w:p>
        </w:tc>
        <w:tc>
          <w:tcPr>
            <w:tcW w:w="2927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B29FC2" w14:textId="2B585A51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Specifični cilj projekta: Promovisanje efikasne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kogeneracije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 efikasnih sistema </w:t>
            </w:r>
            <w:r w:rsidR="00EE00DE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Centralnog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grejanja (</w:t>
            </w:r>
            <w:r w:rsidR="00EE00DE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CG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7B622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525AE" w:rsidRPr="0064355F" w14:paraId="1473B6A4" w14:textId="77777777" w:rsidTr="00FE03F4">
        <w:trPr>
          <w:trHeight w:val="73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662A48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14E72A3" w14:textId="6300A42A" w:rsidR="00571EAF" w:rsidRPr="0064355F" w:rsidRDefault="00EF1AF1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</w:p>
        </w:tc>
        <w:tc>
          <w:tcPr>
            <w:tcW w:w="8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9909567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Osnovna vrednost </w:t>
            </w:r>
          </w:p>
        </w:tc>
        <w:tc>
          <w:tcPr>
            <w:tcW w:w="5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AC0877B" w14:textId="6B5E9FF2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Kratkoročni cilj </w:t>
            </w:r>
            <w:r w:rsidR="007E6C13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1A4536" w14:textId="7D5BC8E7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Cilj prošle godine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2031.</w:t>
            </w:r>
          </w:p>
        </w:tc>
        <w:tc>
          <w:tcPr>
            <w:tcW w:w="88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DE060D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B0DF7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525AE" w:rsidRPr="0064355F" w14:paraId="172627FF" w14:textId="77777777" w:rsidTr="00FE03F4">
        <w:trPr>
          <w:trHeight w:val="73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2795C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96698B6" w14:textId="7144FE14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Povećanje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kogeneracijskih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kapaciteta u "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Termokosu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" Priština.</w:t>
            </w:r>
          </w:p>
        </w:tc>
        <w:tc>
          <w:tcPr>
            <w:tcW w:w="8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FFD533B" w14:textId="7740D7F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140 </w:t>
            </w:r>
            <w:proofErr w:type="spellStart"/>
            <w:r w:rsidR="00EE00D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MWth</w:t>
            </w:r>
            <w:proofErr w:type="spellEnd"/>
          </w:p>
        </w:tc>
        <w:tc>
          <w:tcPr>
            <w:tcW w:w="5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46F0BD3" w14:textId="76B229DF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140 </w:t>
            </w:r>
            <w:proofErr w:type="spellStart"/>
            <w:r w:rsidR="00EE00D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MWth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DB3ED" w14:textId="700A07ED" w:rsidR="00EE00DE" w:rsidRPr="0064355F" w:rsidRDefault="00571EAF" w:rsidP="00EE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280 </w:t>
            </w:r>
            <w:proofErr w:type="spellStart"/>
            <w:r w:rsidR="00EE00D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MWth</w:t>
            </w:r>
            <w:proofErr w:type="spellEnd"/>
          </w:p>
          <w:p w14:paraId="23256E34" w14:textId="77777777" w:rsidR="00EE00DE" w:rsidRPr="0064355F" w:rsidRDefault="00EE00DE" w:rsidP="00EE00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E017E7B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E1A5C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25AE" w:rsidRPr="0064355F" w14:paraId="7B85D3B2" w14:textId="77777777" w:rsidTr="00FE03F4">
        <w:trPr>
          <w:trHeight w:val="2320"/>
        </w:trPr>
        <w:tc>
          <w:tcPr>
            <w:tcW w:w="1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D91CAF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1CAA2D" w14:textId="799DA62F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Veliki broj </w:t>
            </w:r>
            <w:r w:rsidR="00E63AC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potrošača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priključen na sisteme centralnog grejanja (</w:t>
            </w:r>
            <w:r w:rsidR="00EE00D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CG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u Prištini </w:t>
            </w:r>
            <w:r w:rsidR="00E63AC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&amp; Đakovica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75A5687D" w14:textId="77777777" w:rsidR="00DA3784" w:rsidRPr="0064355F" w:rsidRDefault="00DA3784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A994A4" w14:textId="77777777" w:rsidR="00DA3784" w:rsidRPr="0064355F" w:rsidRDefault="00DA3784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2CB1F3" w14:textId="77777777" w:rsidR="00DA3784" w:rsidRPr="0064355F" w:rsidRDefault="00DA3784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5B1C8E" w14:textId="77777777" w:rsidR="00DA3784" w:rsidRPr="0064355F" w:rsidRDefault="00DA3784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9BEE71" w14:textId="77777777" w:rsidR="00DA3784" w:rsidRPr="0064355F" w:rsidRDefault="00DA3784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107D19" w14:textId="77777777" w:rsidR="00DA3784" w:rsidRPr="0064355F" w:rsidRDefault="00DA3784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2E1E24" w14:textId="251F47C1" w:rsidR="00DA3784" w:rsidRPr="0064355F" w:rsidRDefault="00DA3784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D47509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17,791</w:t>
            </w:r>
          </w:p>
        </w:tc>
        <w:tc>
          <w:tcPr>
            <w:tcW w:w="5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3EBF1CB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24,560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A7EE75" w14:textId="318F375E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38.240 u Prištini i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204D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Đakovici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Za ostale opštine odlučiće se na osnovu studije ekonomske opravdanosti. </w:t>
            </w:r>
          </w:p>
        </w:tc>
        <w:tc>
          <w:tcPr>
            <w:tcW w:w="882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E73E60E" w14:textId="779038CD" w:rsidR="00571EAF" w:rsidRPr="0064355F" w:rsidRDefault="00D10434" w:rsidP="00D10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Broj potrošača planiran za </w:t>
            </w:r>
            <w:r w:rsidR="004A664A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godinu je -25,537 potrošača.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D8220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2753" w:rsidRPr="0064355F" w14:paraId="6731377A" w14:textId="77777777" w:rsidTr="00FE03F4">
        <w:trPr>
          <w:trHeight w:val="315"/>
        </w:trPr>
        <w:tc>
          <w:tcPr>
            <w:tcW w:w="1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175E35" w14:textId="24AC42BC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3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85EB8D" w14:textId="100D850F" w:rsidR="00571EAF" w:rsidRPr="0064355F" w:rsidRDefault="00395B4E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Akcija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AA40F7" w14:textId="35BA2AA8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Krajnji rok</w:t>
            </w:r>
          </w:p>
        </w:tc>
        <w:tc>
          <w:tcPr>
            <w:tcW w:w="110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58AF4D0" w14:textId="40550569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Budžet</w:t>
            </w:r>
          </w:p>
        </w:tc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DE8211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Izvor finansiranja</w:t>
            </w:r>
          </w:p>
        </w:tc>
        <w:tc>
          <w:tcPr>
            <w:tcW w:w="2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3089FC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Vodeća i prateća institucija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2A7125" w14:textId="5AA2096F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Proizvod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43882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Reference u dokumentima </w:t>
            </w:r>
          </w:p>
        </w:tc>
        <w:tc>
          <w:tcPr>
            <w:tcW w:w="18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ACB6010" w14:textId="6E549D4F" w:rsidR="00571EAF" w:rsidRPr="0064355F" w:rsidRDefault="00E5027B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Napredak u </w:t>
            </w:r>
            <w:r w:rsidR="00E63ACE" w:rsidRPr="0064355F">
              <w:rPr>
                <w:rFonts w:ascii="Times New Roman" w:eastAsia="Times New Roman" w:hAnsi="Times New Roman" w:cs="Times New Roman"/>
                <w:b/>
                <w:bCs/>
              </w:rPr>
              <w:t>sprovođenju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 januar - jun </w:t>
            </w:r>
            <w:r w:rsidR="004A664A" w:rsidRPr="0064355F">
              <w:rPr>
                <w:rFonts w:ascii="Times New Roman" w:eastAsia="Times New Roman" w:hAnsi="Times New Roman" w:cs="Times New Roman"/>
                <w:b/>
                <w:bCs/>
              </w:rPr>
              <w:t>2025.</w:t>
            </w:r>
          </w:p>
        </w:tc>
      </w:tr>
      <w:tr w:rsidR="00B52753" w:rsidRPr="0064355F" w14:paraId="1B1EE80B" w14:textId="77777777" w:rsidTr="00FE03F4">
        <w:trPr>
          <w:trHeight w:val="300"/>
        </w:trPr>
        <w:tc>
          <w:tcPr>
            <w:tcW w:w="1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A324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81B18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45C3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A32EA8" w14:textId="24B113BF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41BA19" w14:textId="57AFC84D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8D2D78" w14:textId="6CE3F403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162D02" w14:textId="41C165B9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98C75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E191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5E7E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EE462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C5E6A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52753" w:rsidRPr="0064355F" w14:paraId="17786365" w14:textId="77777777" w:rsidTr="00FE03F4">
        <w:trPr>
          <w:trHeight w:val="675"/>
        </w:trPr>
        <w:tc>
          <w:tcPr>
            <w:tcW w:w="1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8B82E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E6971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FFEC0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FCD866" w14:textId="3EEE9358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06BA4B" w14:textId="34A85722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257ED3" w14:textId="7E08B6C7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7F4B9A" w14:textId="5B175228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3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442F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9C66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D8B5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6DF8B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AC305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52753" w:rsidRPr="0064355F" w14:paraId="088DC2FC" w14:textId="77777777" w:rsidTr="00FE03F4">
        <w:trPr>
          <w:trHeight w:val="7635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9E599" w14:textId="77777777" w:rsidR="00E63ACE" w:rsidRPr="0064355F" w:rsidRDefault="00E63ACE" w:rsidP="00E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III.2.1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9D222" w14:textId="7C280BE2" w:rsidR="00E63ACE" w:rsidRPr="0064355F" w:rsidRDefault="00E63ACE" w:rsidP="00E6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Proširenje i rehabilitacija mreže centralnog grejanja u Prištini.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F3AFE" w14:textId="77777777" w:rsidR="00E63ACE" w:rsidRPr="0064355F" w:rsidRDefault="00E63ACE" w:rsidP="00E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Godišnje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70301" w14:textId="302E10ED" w:rsidR="00E63ACE" w:rsidRPr="0064355F" w:rsidRDefault="00E63ACE" w:rsidP="00E6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9,200,000.00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B2A4F" w14:textId="704E9910" w:rsidR="00E63ACE" w:rsidRPr="0064355F" w:rsidRDefault="00E63ACE" w:rsidP="00E6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6,676,063.00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2F697" w14:textId="12A8AEE5" w:rsidR="00E63ACE" w:rsidRPr="0064355F" w:rsidRDefault="00E63ACE" w:rsidP="00E63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2,835,663.00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AA2D2" w14:textId="77777777" w:rsidR="00E63ACE" w:rsidRPr="0064355F" w:rsidRDefault="00E63ACE" w:rsidP="00E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########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53352" w14:textId="77777777" w:rsidR="00E63ACE" w:rsidRPr="0064355F" w:rsidRDefault="00E63ACE" w:rsidP="00E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KfW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EB33E" w14:textId="77777777" w:rsidR="00E63ACE" w:rsidRPr="0064355F" w:rsidRDefault="00E63ACE" w:rsidP="00E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F4570" w14:textId="5B5C8B4F" w:rsidR="00E63ACE" w:rsidRPr="0064355F" w:rsidRDefault="00E63ACE" w:rsidP="00E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Proširena i rehabilitovana mreža centralnog grejanja (CG).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7B374" w14:textId="7EC5BB7F" w:rsidR="00E63ACE" w:rsidRPr="0064355F" w:rsidRDefault="00E63ACE" w:rsidP="00E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od 2022. do 2031. </w:t>
            </w:r>
            <w:r w:rsidR="0056137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Plan razvoja kompanije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 period 2022.-2031. </w:t>
            </w:r>
            <w:r w:rsidR="00D82612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8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DDEAEB" w14:textId="4A77F0BD" w:rsidR="00E63ACE" w:rsidRPr="0064355F" w:rsidRDefault="00E63ACE" w:rsidP="00E63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              Sto </w:t>
            </w:r>
            <w:r w:rsidR="00D82612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odsto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(100%)</w:t>
            </w:r>
          </w:p>
          <w:p w14:paraId="25132F08" w14:textId="77777777" w:rsidR="00E63ACE" w:rsidRPr="0064355F" w:rsidRDefault="00E63ACE" w:rsidP="00E63A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8970121" w14:textId="51B946B4" w:rsidR="00E63ACE" w:rsidRPr="0064355F" w:rsidRDefault="00E63ACE" w:rsidP="00E63A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Projekat proširenja i rehabilitacije mreže daljinskog </w:t>
            </w:r>
            <w:r w:rsidR="00D82612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grejanja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="00D82612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CG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u Prištini je završen i tokom izveštajnog perioda nije bilo aktivnosti za realizaciju projekta.</w:t>
            </w:r>
          </w:p>
          <w:p w14:paraId="1B8A48D1" w14:textId="13740029" w:rsidR="00E63ACE" w:rsidRPr="0064355F" w:rsidRDefault="00E63ACE" w:rsidP="00E6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Krajnji rok: 2025.- završetak projekta.</w:t>
            </w:r>
          </w:p>
          <w:p w14:paraId="668D12D5" w14:textId="77777777" w:rsidR="00E63ACE" w:rsidRPr="0064355F" w:rsidRDefault="00E63ACE" w:rsidP="00E6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184A54" w14:textId="0B1007AD" w:rsidR="00E63ACE" w:rsidRPr="0064355F" w:rsidRDefault="00E63ACE" w:rsidP="00E6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Budžet: Tokom 2022. </w:t>
            </w:r>
            <w:r w:rsidR="00D82612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isplaćeno je 6.667.833,00 € – plaćeno od strane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KfW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(donator) i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(kao </w:t>
            </w:r>
            <w:proofErr w:type="spellStart"/>
            <w:r w:rsidR="0068706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sufinansijer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  <w:p w14:paraId="75E83F2C" w14:textId="74353A07" w:rsidR="00E63ACE" w:rsidRPr="0064355F" w:rsidRDefault="00E63ACE" w:rsidP="00E6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Tokom 2023. </w:t>
            </w:r>
            <w:r w:rsidR="00D82612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isplaćeno je 5.522.272,11 </w:t>
            </w:r>
            <w:r w:rsidR="00D82612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€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koje su platili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KfW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(donator) i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(kao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sufinansijer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  <w:r w:rsidR="00D82612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9CC5FD6" w14:textId="3078B0E1" w:rsidR="00E63ACE" w:rsidRPr="0064355F" w:rsidRDefault="00E63ACE" w:rsidP="00E6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Tokom 2024. </w:t>
            </w:r>
            <w:r w:rsidR="0068706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plaćeno je 1.609.480,07 € - platio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Termokoss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sufinansijer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  <w:p w14:paraId="28EC33D9" w14:textId="3E7CB3F0" w:rsidR="00E63ACE" w:rsidRPr="0064355F" w:rsidRDefault="00E63ACE" w:rsidP="00E6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periodu januar – jun 2025. </w:t>
            </w:r>
            <w:r w:rsidR="00F22F9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nije izvršena nikakva plaćan</w:t>
            </w:r>
            <w:r w:rsidR="00F22F9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je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Dok je za period jul-decembar 2025. </w:t>
            </w:r>
            <w:r w:rsidR="00F22F9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planirano je da ga plati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preostali neplaćeni iznos za projekat od 300.000,00 € (za testove </w:t>
            </w:r>
            <w:r w:rsidR="00F22F9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učinka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poboljšanja SCADA sistema).</w:t>
            </w:r>
          </w:p>
        </w:tc>
      </w:tr>
      <w:tr w:rsidR="00B52753" w:rsidRPr="0064355F" w14:paraId="1C0F7589" w14:textId="77777777" w:rsidTr="00FE03F4">
        <w:trPr>
          <w:trHeight w:val="8190"/>
        </w:trPr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DE509" w14:textId="77777777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III.2.2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8598C" w14:textId="40A311B2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Studija ekonomske opravdanosti za povećanje toplotnih kapaciteta u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kogeneraciji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</w:t>
            </w:r>
            <w:r w:rsidR="0056137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"Kosovo B" sa 140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MWth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 280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MWth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00A14" w14:textId="497854E0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F8046" w14:textId="77777777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8E38E" w14:textId="0647880C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1,500,000.00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EAE88" w14:textId="77777777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-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A591E" w14:textId="77777777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9B934" w14:textId="77777777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IPA 2020 / Opština Priština /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2C98C" w14:textId="432863F8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KEK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AC889" w14:textId="54FBDF7A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Studija izvodljivosti završena.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C3751" w14:textId="3B4DF568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2022.-2031.,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 w:type="page"/>
              <w:t>Plan razvoja Termokosa 2022.-2031.</w:t>
            </w:r>
          </w:p>
        </w:tc>
        <w:tc>
          <w:tcPr>
            <w:tcW w:w="1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09D2E" w14:textId="20CF2570" w:rsidR="00FE03F4" w:rsidRPr="0064355F" w:rsidRDefault="00FE03F4" w:rsidP="00FE0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Devedeset dva odsto (92%)</w:t>
            </w:r>
          </w:p>
          <w:p w14:paraId="3A243555" w14:textId="77777777" w:rsidR="00FE03F4" w:rsidRPr="0064355F" w:rsidRDefault="00FE03F4" w:rsidP="00FE0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1C93630" w14:textId="77777777" w:rsidR="005B09B6" w:rsidRPr="0064355F" w:rsidRDefault="00FE03F4" w:rsidP="00FE03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Ovaj projekat je deo studije Master plana za proširenje mreže i obezbeđivanje dodatnih kapaciteta toplotne energije kroz udvostručenje proizvodnih kapaciteta, sa 140 na 280 MWTH, iz T</w:t>
            </w:r>
            <w:r w:rsidR="005B09B6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"Kosovo B".                                            </w:t>
            </w:r>
          </w:p>
          <w:p w14:paraId="44432F5C" w14:textId="77777777" w:rsidR="005B09B6" w:rsidRPr="0064355F" w:rsidRDefault="00FE03F4" w:rsidP="00FE03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Što se tiče razvoja ovog projekta, realizovano je sledeće: </w:t>
            </w:r>
          </w:p>
          <w:p w14:paraId="71ABBF36" w14:textId="77777777" w:rsidR="005B09B6" w:rsidRPr="0064355F" w:rsidRDefault="00FE03F4" w:rsidP="00FE03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 U junu 2022. </w:t>
            </w:r>
            <w:r w:rsidR="005B09B6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godini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potpisan je sporazum o saradnji između Evropske investicione banke (EIB), Ministarstva finansija Republike Kosovo i Termokosa, za fond u iznosu od 1,5 miliona € za finansiranje preliminarnih studija za ovaj projekat;</w:t>
            </w:r>
          </w:p>
          <w:p w14:paraId="383865C6" w14:textId="77777777" w:rsidR="005B09B6" w:rsidRPr="0064355F" w:rsidRDefault="00FE03F4" w:rsidP="00FE03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2.Projekat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dekarbonizacije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je odo</w:t>
            </w:r>
            <w:r w:rsidR="005B09B6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bren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od strane upravnog odbora </w:t>
            </w:r>
            <w:r w:rsidR="005B09B6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preduzeća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 januaru 2024. </w:t>
            </w:r>
            <w:r w:rsidR="005B09B6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14:paraId="57019C25" w14:textId="77777777" w:rsidR="005B09B6" w:rsidRPr="0064355F" w:rsidRDefault="00FE03F4" w:rsidP="00FE03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3.Konsultantska kompanija je predstavila inicijalni projekat za </w:t>
            </w:r>
            <w:r w:rsidR="005B09B6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ugradnju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cevi u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turbinsku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halu TUH, HES1&amp;HES2 kao i HES-2 HRS-2 mrežu;</w:t>
            </w:r>
          </w:p>
          <w:p w14:paraId="13EE1DE5" w14:textId="77777777" w:rsidR="005B09B6" w:rsidRPr="0064355F" w:rsidRDefault="00FE03F4" w:rsidP="00FE03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4.Kompanija je predstavila novo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zoniranje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(područja na kojima treba proširiti mrežu);</w:t>
            </w:r>
          </w:p>
          <w:p w14:paraId="0C139512" w14:textId="77777777" w:rsidR="005B09B6" w:rsidRPr="0064355F" w:rsidRDefault="00FE03F4" w:rsidP="00FE03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5.Predstavljena je predložena trasa za mrežu termoelektrane "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KosovaB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"-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14:paraId="7D3D00F9" w14:textId="77777777" w:rsidR="00B83EA5" w:rsidRPr="0064355F" w:rsidRDefault="00FE03F4" w:rsidP="00B83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6.Definisana je lokacija za HES-2 mrežu</w:t>
            </w:r>
            <w:r w:rsidR="00B83EA5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Postojeći objekat "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" biće izdvojen za ovu emisiju; </w:t>
            </w:r>
          </w:p>
          <w:p w14:paraId="3B77B2DD" w14:textId="77777777" w:rsidR="00B83EA5" w:rsidRPr="0064355F" w:rsidRDefault="00FE03F4" w:rsidP="00B83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7. Pripremljena je finansijska </w:t>
            </w:r>
            <w:r w:rsidR="00B83EA5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procena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projekta;    </w:t>
            </w:r>
          </w:p>
          <w:p w14:paraId="2924EC61" w14:textId="77777777" w:rsidR="00B83EA5" w:rsidRPr="0064355F" w:rsidRDefault="00FE03F4" w:rsidP="00B83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8. EIB je odobrila "Izveštaj o proceni uticaja na životnu sredinu i društvo" (EIA); </w:t>
            </w:r>
          </w:p>
          <w:p w14:paraId="260E350C" w14:textId="77777777" w:rsidR="00B83EA5" w:rsidRPr="0064355F" w:rsidRDefault="00FE03F4" w:rsidP="00B83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9. Predstavljen je Plan finansiranja projekta, ali još uvek nisu obezbeđeni grantovi i drugi oblici finansiranja projekata (zbog primene mera na Republiku Kosovo);   </w:t>
            </w:r>
          </w:p>
          <w:p w14:paraId="524AFE8A" w14:textId="2213CE0D" w:rsidR="00B83EA5" w:rsidRPr="0064355F" w:rsidRDefault="00FE03F4" w:rsidP="00B83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 Odo</w:t>
            </w:r>
            <w:r w:rsidR="00B83EA5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bren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je novi Master plan za proširenje mreže u okviru ovog projekta</w:t>
            </w:r>
            <w:r w:rsidR="00B83EA5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05856FE" w14:textId="77777777" w:rsidR="00B83EA5" w:rsidRPr="0064355F" w:rsidRDefault="00FE03F4" w:rsidP="00B83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B83EA5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ok su aktivnosti koje su sprovedene i u toku u vezi sa ovim projektom u šestomesečnom periodu januar – jun 2025. </w:t>
            </w:r>
            <w:r w:rsidR="00B83EA5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3BB3BC71" w14:textId="77777777" w:rsidR="00B83EA5" w:rsidRPr="0064355F" w:rsidRDefault="00B83EA5" w:rsidP="00B83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0947874" w14:textId="77777777" w:rsidR="00B83EA5" w:rsidRPr="0064355F" w:rsidRDefault="00FE03F4" w:rsidP="00B83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Konsultantska kompanija je završila inicijalni projekat za ug</w:t>
            </w:r>
            <w:r w:rsidR="00B83EA5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radnju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cevi u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turbinskoj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hali TUH, </w:t>
            </w:r>
            <w:r w:rsidR="00B83EA5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HES1&amp;HES2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kao i HES-2 HRS-2 mrežu;                            </w:t>
            </w:r>
          </w:p>
          <w:p w14:paraId="6D05160F" w14:textId="77777777" w:rsidR="00B83EA5" w:rsidRPr="0064355F" w:rsidRDefault="00FE03F4" w:rsidP="00B83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Koncept dizajna za proširenje mreže u okviru ovog projekta je završen;                                                                                                                       3. Nastavljeni su radovi na popunjavanju neophodne dokumentacije za različite dozvole: identifikacija parcela duž trase, dokumentacija za eksproprijaciju, ekološka saglasnost i sl.;                                                                            4. U toku je rad na finalizaciji dokumentacije za eksproprijaciju i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služnost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 dostavljanje </w:t>
            </w:r>
            <w:r w:rsidR="00B83EA5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MŽSPPI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14:paraId="67587506" w14:textId="77777777" w:rsidR="00B83EA5" w:rsidRPr="0064355F" w:rsidRDefault="00FE03F4" w:rsidP="00B83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5. Održan je zajednički sastanak sa </w:t>
            </w:r>
            <w:r w:rsidR="00B83EA5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MĆSPPI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Opštinom Priština,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TetraTech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-om i EIB-om, kako bi se razmotrili uslovi za načine finansiranja; </w:t>
            </w:r>
          </w:p>
          <w:p w14:paraId="25C4D660" w14:textId="77777777" w:rsidR="00B83EA5" w:rsidRPr="0064355F" w:rsidRDefault="00FE03F4" w:rsidP="00B83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 Odlučeno je o opcijama tendera za projekat (prema kojima će tender za radove biti sproveden sa Lotom 1 (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kogeneracija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i Lotom 2 (proširenje mreže), dok će konsultantske usluge sa posebnim Lotom, koji će nadgledati radove prema Lotu 1 i Lotu 2.  U vezi sa sledećim aktivnostima, biće pripremljen tenderski spis za rad i konsultantske usluge.</w:t>
            </w:r>
          </w:p>
          <w:p w14:paraId="6032E887" w14:textId="4CE4CDC7" w:rsidR="00FE03F4" w:rsidRPr="0064355F" w:rsidRDefault="00FE03F4" w:rsidP="00B83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Pojašnjenje: Od proizvodnog kapaciteta od 140 MWTH, koji će biti realizovan projektom udvostručenja kapaciteta proizvodnje toplotne energije, 40 MWTH toplotne energije biće dodeljeno Opštini Obi</w:t>
            </w:r>
            <w:r w:rsidR="00BF0F41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lić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dok će 100 MWTH toplotne energije ostati za NP "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  <w:r w:rsidR="00BF0F41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A.D.</w:t>
            </w:r>
          </w:p>
        </w:tc>
      </w:tr>
      <w:tr w:rsidR="00B52753" w:rsidRPr="0064355F" w14:paraId="765C3EB9" w14:textId="77777777" w:rsidTr="00FE03F4">
        <w:trPr>
          <w:trHeight w:val="3720"/>
        </w:trPr>
        <w:tc>
          <w:tcPr>
            <w:tcW w:w="1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CD13A" w14:textId="77777777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III.2.3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36A59" w14:textId="2A60568E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Udvostručenje proizvodnih kapaciteta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kogeneracije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 140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MWth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 280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MWth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proširenje prenosne mreže.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3AEB9" w14:textId="693BCA4C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2D99A" w14:textId="77777777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2E674" w14:textId="77777777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         -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FAD34" w14:textId="5A891D71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12,000,000.00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4A583" w14:textId="77777777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########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E9C15" w14:textId="51637CA8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Donatori, /Opština Priština/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6B776" w14:textId="123AC8BF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KEK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8D7A5" w14:textId="695695F3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Toplotni proizvodni kapaciteti su se udvostručili. Očekuje se da će budžet biti dopunjen do iznosa od 80,000,000 od strane donatora i međunarodnih finansijskih institucija. Očekuje se da će projekat biti završen 2027. godine.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5D477" w14:textId="2FBECEFE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od 2022. do 2031. godine,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Plan razvoja kompanije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 period 2022.-2031. godine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B3DF5" w14:textId="5D676BD9" w:rsidR="00FE03F4" w:rsidRPr="0064355F" w:rsidRDefault="00FE03F4" w:rsidP="00FE0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               Nula odsto (0%)</w:t>
            </w:r>
          </w:p>
          <w:p w14:paraId="5C9A4458" w14:textId="77777777" w:rsidR="00FE03F4" w:rsidRPr="0064355F" w:rsidRDefault="00FE03F4" w:rsidP="00FE03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8386A33" w14:textId="6F4032CE" w:rsidR="00FE03F4" w:rsidRPr="0064355F" w:rsidRDefault="00C1650A" w:rsidP="00FE03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Sprovođenje</w:t>
            </w:r>
            <w:r w:rsidR="00FE03F4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projekta nije počel</w:t>
            </w:r>
            <w:r w:rsidR="00207E9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FE03F4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14:paraId="020DEADE" w14:textId="2867D70E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Krajnji rok za period 2027-2030 planiran je za realizaciju projekta.</w:t>
            </w:r>
          </w:p>
          <w:p w14:paraId="6AF7F447" w14:textId="77777777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E4DF6D" w14:textId="5A6AB62B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Budžet: Zbog </w:t>
            </w:r>
            <w:r w:rsidR="00C1650A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sprovođenja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mera na Republiku Kosovo, još uvek nisu obezbeđeni grantovi i drugi oblici finansiranja projekata. Stoga nije bilo plaćanja tokom 2024. i 2025. godine.</w:t>
            </w:r>
          </w:p>
        </w:tc>
      </w:tr>
      <w:tr w:rsidR="00B52753" w:rsidRPr="0064355F" w14:paraId="25C132EE" w14:textId="77777777" w:rsidTr="00FE03F4">
        <w:trPr>
          <w:trHeight w:val="187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DF2F26" w14:textId="77777777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III.2.4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20AD08" w14:textId="587AA5F9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Ugradnja merne opreme za potrošače Termokosa.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AD8C9" w14:textId="0FD64837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B586E" w14:textId="2B58FE04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6,000,000.00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C63C1" w14:textId="2C4445FD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4,000,000.00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BBD40" w14:textId="77777777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-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82DCB" w14:textId="77777777" w:rsidR="00FE03F4" w:rsidRPr="0064355F" w:rsidRDefault="00FE03F4" w:rsidP="00F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1B42A" w14:textId="77777777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FMK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98CEB" w14:textId="77777777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FMK /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FEF29" w14:textId="2524D6C5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Troškovi i kontrolisana potrošnja grejanja do 17.500 </w:t>
            </w:r>
            <w:r w:rsidR="00010EE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potrošača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Termokosa.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6BEEE" w14:textId="35A0A6A3" w:rsidR="00FE03F4" w:rsidRPr="0064355F" w:rsidRDefault="00FE03F4" w:rsidP="00F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Energetska strategija za period od 2022. do 2031. </w:t>
            </w:r>
            <w:r w:rsidR="00010EE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Plan razvoja kompani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je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 period 2022.-2031. </w:t>
            </w:r>
            <w:r w:rsidR="00010EE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1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35F12" w14:textId="04795563" w:rsidR="00FE03F4" w:rsidRPr="0064355F" w:rsidRDefault="00FE03F4" w:rsidP="00FE03F4">
            <w:pPr>
              <w:spacing w:after="24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                 Devedeset šest odsto (96%) </w:t>
            </w:r>
          </w:p>
          <w:p w14:paraId="7C0783BA" w14:textId="77777777" w:rsidR="00FE03F4" w:rsidRPr="0064355F" w:rsidRDefault="00FE03F4" w:rsidP="00FE03F4">
            <w:pPr>
              <w:spacing w:after="24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95D18B1" w14:textId="70EEFF72" w:rsidR="00B72DD4" w:rsidRPr="0064355F" w:rsidRDefault="00FE03F4" w:rsidP="00FE03F4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Ugovor za ovaj projekat potpisan je u aprilu 2022. </w:t>
            </w:r>
            <w:r w:rsidR="00B72DD4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između MFK (</w:t>
            </w:r>
            <w:proofErr w:type="spellStart"/>
            <w:r w:rsidR="00B72DD4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Millenium</w:t>
            </w:r>
            <w:proofErr w:type="spellEnd"/>
            <w:r w:rsidR="00B72DD4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72DD4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Foundation</w:t>
            </w:r>
            <w:proofErr w:type="spellEnd"/>
            <w:r w:rsidR="00B72DD4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-Kosova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i izvođača radova "ENERCO LLC" </w:t>
            </w:r>
            <w:r w:rsidR="00B72DD4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D.O.O.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Priština, a </w:t>
            </w:r>
            <w:r w:rsidR="00B72DD4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sprovođenje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je počel</w:t>
            </w:r>
            <w:r w:rsidR="00B72DD4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27. jula 2022. godine.</w:t>
            </w:r>
          </w:p>
          <w:p w14:paraId="567B192C" w14:textId="77777777" w:rsidR="00892B3E" w:rsidRPr="0064355F" w:rsidRDefault="00FE03F4" w:rsidP="00FE03F4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Pošto je prva faza ovog projekta završena u januaru 2025. </w:t>
            </w:r>
            <w:proofErr w:type="spellStart"/>
            <w:r w:rsidR="00B72DD4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projekat za drugu fazu je nastavljen. Druga faza projekta za 2025. godinu biće finansirana sredstvima Termokosa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kao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sufinansijera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projekta sa 1 milion evra, a planirano je da se u ovu fazu uključi 2.500 novih korisnika.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razmatra mogućnost pronalaženja donatora za finansijsku podršku za proširenje ovog projekta u svim naseljima u kojima se proteže mreža daljinskog grejanja (CG), kako bi se stvorila mogućnost da se svim potrošačima naplaćuje na osnovu potrošnje.                Povodom realizacije projekta "</w:t>
            </w:r>
            <w:r w:rsidR="00892B3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92B3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Prishtina</w:t>
            </w:r>
            <w:proofErr w:type="spellEnd"/>
            <w:r w:rsidR="00892B3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92B3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Heat</w:t>
            </w:r>
            <w:proofErr w:type="spellEnd"/>
            <w:r w:rsidR="00892B3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Save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", realizovani su: </w:t>
            </w:r>
          </w:p>
          <w:p w14:paraId="44856E29" w14:textId="77777777" w:rsidR="00892B3E" w:rsidRPr="0064355F" w:rsidRDefault="00FE03F4" w:rsidP="00FE03F4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-Termostatski ventil: 79.148 komada; </w:t>
            </w:r>
          </w:p>
          <w:p w14:paraId="2135DF12" w14:textId="77777777" w:rsidR="00892B3E" w:rsidRPr="0064355F" w:rsidRDefault="00FE03F4" w:rsidP="00FE03F4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Alokatori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58.039 komada; </w:t>
            </w:r>
          </w:p>
          <w:p w14:paraId="73A165A6" w14:textId="77777777" w:rsidR="00892B3E" w:rsidRPr="0064355F" w:rsidRDefault="00FE03F4" w:rsidP="00FE03F4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-Pojedinačni brojila toplotne energije: 4.654 komada; </w:t>
            </w:r>
          </w:p>
          <w:p w14:paraId="5F52C940" w14:textId="77777777" w:rsidR="00892B3E" w:rsidRPr="0064355F" w:rsidRDefault="00FE03F4" w:rsidP="00FE03F4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-Cirkulacione pumpe: 233 komada;                                                                   -Balansiranje ventila - 18 komada,</w:t>
            </w:r>
          </w:p>
          <w:p w14:paraId="3134016E" w14:textId="77777777" w:rsidR="00892B3E" w:rsidRPr="0064355F" w:rsidRDefault="00FE03F4" w:rsidP="00892B3E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-Stambene jedinice u kojima je izvršena ug</w:t>
            </w:r>
            <w:r w:rsidR="00892B3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radnja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merne opreme - 19.564 stambenih jedinica.</w:t>
            </w:r>
          </w:p>
          <w:p w14:paraId="6D1E4C51" w14:textId="77777777" w:rsidR="00892B3E" w:rsidRPr="0064355F" w:rsidRDefault="00FE03F4" w:rsidP="00892B3E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Terenski radovi koji se izvode za realizaciju projekta "Priština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Heat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Save" u periodu februar 2025. – maj 2025. su: </w:t>
            </w:r>
          </w:p>
          <w:p w14:paraId="6BFFA503" w14:textId="77777777" w:rsidR="00892B3E" w:rsidRPr="0064355F" w:rsidRDefault="00FE03F4" w:rsidP="00892B3E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-Termostatski ventil: 1.516 komada; </w:t>
            </w:r>
          </w:p>
          <w:p w14:paraId="0D6BF2E7" w14:textId="77777777" w:rsidR="00892B3E" w:rsidRPr="0064355F" w:rsidRDefault="00FE03F4" w:rsidP="00892B3E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Alokatori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1.895 komada; </w:t>
            </w:r>
          </w:p>
          <w:p w14:paraId="49D48DD7" w14:textId="77777777" w:rsidR="00892B3E" w:rsidRPr="0064355F" w:rsidRDefault="00FE03F4" w:rsidP="00892B3E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-Pojedinačni brojila toplotne energije: 452 komada; </w:t>
            </w:r>
          </w:p>
          <w:p w14:paraId="7EFA3588" w14:textId="01523554" w:rsidR="00FE03F4" w:rsidRPr="0064355F" w:rsidRDefault="00FE03F4" w:rsidP="00892B3E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-Stambene jedinice-2.095;</w:t>
            </w:r>
          </w:p>
          <w:p w14:paraId="7C62071F" w14:textId="15B87DF4" w:rsidR="00FE03F4" w:rsidRPr="0064355F" w:rsidRDefault="00FE03F4" w:rsidP="00FE03F4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Planiran je Krajnji rok za period 2022. - 2027. </w:t>
            </w:r>
            <w:r w:rsidR="00892B3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realizacija projekta.</w:t>
            </w:r>
          </w:p>
          <w:p w14:paraId="57B839AE" w14:textId="77777777" w:rsidR="00FE03F4" w:rsidRPr="0064355F" w:rsidRDefault="00FE03F4" w:rsidP="00FE03F4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189A725" w14:textId="0F52EEC3" w:rsidR="00FE03F4" w:rsidRPr="0064355F" w:rsidRDefault="00FE03F4" w:rsidP="00FE03F4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Budžet: Tokom 2022. </w:t>
            </w:r>
            <w:r w:rsidR="00892B3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9,995,798.00 € je isplaćeno – plaćeno od strane Vlade SAD – MCC (donator). </w:t>
            </w:r>
          </w:p>
          <w:p w14:paraId="28DE159A" w14:textId="6808BF6F" w:rsidR="00FE03F4" w:rsidRPr="0064355F" w:rsidRDefault="00FE03F4" w:rsidP="00FE03F4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Tokom 2023. </w:t>
            </w:r>
            <w:r w:rsidR="00892B3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2.159.574,4 </w:t>
            </w:r>
            <w:r w:rsidR="00892B3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€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uplatili su Opština Priština (donator) i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(kao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sufinansijer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  <w:r w:rsidR="00892B3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AEF82A5" w14:textId="47085D34" w:rsidR="00FE03F4" w:rsidRPr="0064355F" w:rsidRDefault="00FE03F4" w:rsidP="00FE03F4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Tokom 2024. </w:t>
            </w:r>
            <w:r w:rsidR="00892B3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316,647.00 € je platio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Termokossi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(kao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sufinansijer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  <w:p w14:paraId="0173DBA5" w14:textId="119D1E32" w:rsidR="00FE03F4" w:rsidRPr="0064355F" w:rsidRDefault="00FE03F4" w:rsidP="00FE03F4">
            <w:pPr>
              <w:spacing w:after="2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 2025. godinu –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Termokos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je izdvojio sopstveni budžet od 1.000.000,00 €, od čega je 212.178,00 € isplaćeno u periodu januar – jun 2025. godine. </w:t>
            </w:r>
          </w:p>
          <w:p w14:paraId="25576B6E" w14:textId="67FFD558" w:rsidR="00FE03F4" w:rsidRPr="0064355F" w:rsidRDefault="00FE03F4" w:rsidP="00FE03F4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Dok se u periodu jul-decembar 2025. </w:t>
            </w:r>
            <w:r w:rsidR="00892B3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planira da se potroši preostali iznos od 787.822,00 €.                                                                                             </w:t>
            </w:r>
          </w:p>
        </w:tc>
      </w:tr>
      <w:tr w:rsidR="00B52753" w:rsidRPr="0064355F" w14:paraId="11229534" w14:textId="77777777" w:rsidTr="00FE03F4">
        <w:trPr>
          <w:trHeight w:val="246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B9160" w14:textId="77777777" w:rsidR="00010EE3" w:rsidRPr="0064355F" w:rsidRDefault="00010EE3" w:rsidP="0001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III.2.5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50391" w14:textId="2654A8D5" w:rsidR="00010EE3" w:rsidRPr="0064355F" w:rsidRDefault="00010EE3" w:rsidP="0001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Unapređenje učinka centralnog grejanja (CG) u Đakovici.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69689" w14:textId="604691F2" w:rsidR="00010EE3" w:rsidRPr="0064355F" w:rsidRDefault="00010EE3" w:rsidP="0001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9DCD6" w14:textId="1D4E1F33" w:rsidR="00010EE3" w:rsidRPr="0064355F" w:rsidRDefault="00010EE3" w:rsidP="0001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2,361,000.00 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9DA22" w14:textId="474720B3" w:rsidR="00010EE3" w:rsidRPr="0064355F" w:rsidRDefault="00010EE3" w:rsidP="0001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823,000.00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1FC68" w14:textId="77777777" w:rsidR="00010EE3" w:rsidRPr="0064355F" w:rsidRDefault="00010EE3" w:rsidP="00010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 -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CE224" w14:textId="77777777" w:rsidR="00010EE3" w:rsidRPr="0064355F" w:rsidRDefault="00010EE3" w:rsidP="0001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-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C8067" w14:textId="0A0F1776" w:rsidR="00010EE3" w:rsidRPr="0064355F" w:rsidRDefault="00010EE3" w:rsidP="0001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Swiss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State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Secretariat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Economic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Affairs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(SECO), Opština </w:t>
            </w:r>
            <w:r w:rsidR="00690F6E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Đakovica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A5400" w14:textId="5C81D0EA" w:rsidR="00010EE3" w:rsidRPr="0064355F" w:rsidRDefault="00010EE3" w:rsidP="0001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Grejanje</w:t>
            </w:r>
          </w:p>
          <w:p w14:paraId="57E6DD09" w14:textId="13387CC7" w:rsidR="00010EE3" w:rsidRPr="0064355F" w:rsidRDefault="00010EE3" w:rsidP="0001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Centralna (CG) Đakovica. 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A9895" w14:textId="7B861481" w:rsidR="00010EE3" w:rsidRPr="0064355F" w:rsidRDefault="00010EE3" w:rsidP="0001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Unapređenje rada centralnog grejanja (CG) u Đakovici, unapređenje grejne mreže regionalne bolnice; priključivanje dodatnih javnih objekata.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C5EB3" w14:textId="3DF66BB4" w:rsidR="00010EE3" w:rsidRPr="0064355F" w:rsidRDefault="00010EE3" w:rsidP="0001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Plan razvoja centralnog grejanja (CG) za period od 2022. do 2023. godin</w:t>
            </w:r>
            <w:r w:rsidR="00B041A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D950" w14:textId="360CD2D9" w:rsidR="00010EE3" w:rsidRPr="0064355F" w:rsidRDefault="00010EE3" w:rsidP="00010E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E464C4" w14:textId="60FAA1A5" w:rsidR="008D0C63" w:rsidRPr="0064355F" w:rsidRDefault="008D0C63" w:rsidP="007D1D84">
      <w:pPr>
        <w:pStyle w:val="Paragrafspiska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0A182D42" w14:textId="77777777" w:rsidR="008D0C63" w:rsidRPr="0064355F" w:rsidRDefault="008D0C63" w:rsidP="007D1D84">
      <w:pPr>
        <w:pStyle w:val="Paragrafspiska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2F9A8140" w14:textId="1D4E3B28" w:rsidR="008A12C4" w:rsidRPr="0064355F" w:rsidRDefault="008A12C4" w:rsidP="007D1D84">
      <w:pPr>
        <w:pStyle w:val="Paragrafspiska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5D4041D3" w14:textId="0F60CF14" w:rsidR="00682BBE" w:rsidRPr="0064355F" w:rsidRDefault="00682BBE" w:rsidP="007D1D84">
      <w:pPr>
        <w:pStyle w:val="Paragrafspiska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0FF4E046" w14:textId="404CA523" w:rsidR="00CD1CC2" w:rsidRPr="0064355F" w:rsidRDefault="00CD1CC2" w:rsidP="007D1D84">
      <w:pPr>
        <w:pStyle w:val="Paragrafspiska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57680309" w14:textId="4C494982" w:rsidR="00CD1CC2" w:rsidRPr="0064355F" w:rsidRDefault="00CD1CC2" w:rsidP="007D1D84">
      <w:pPr>
        <w:pStyle w:val="Paragrafspiska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3295E6E1" w14:textId="3BC719BC" w:rsidR="00CD1CC2" w:rsidRPr="0064355F" w:rsidRDefault="00CD1CC2" w:rsidP="007D1D84">
      <w:pPr>
        <w:pStyle w:val="Paragrafspiska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60330C86" w14:textId="2174589B" w:rsidR="00CD1CC2" w:rsidRPr="0064355F" w:rsidRDefault="00CD1CC2" w:rsidP="007D1D84">
      <w:pPr>
        <w:pStyle w:val="Paragrafspiska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077809AE" w14:textId="231803BF" w:rsidR="00CD1CC2" w:rsidRPr="0064355F" w:rsidRDefault="00CD1CC2" w:rsidP="007D1D84">
      <w:pPr>
        <w:pStyle w:val="Paragrafspiska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6B547E51" w14:textId="237ED1A7" w:rsidR="00CD1CC2" w:rsidRPr="0064355F" w:rsidRDefault="00CD1CC2" w:rsidP="007D1D84">
      <w:pPr>
        <w:pStyle w:val="Paragrafspiska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533DC09E" w14:textId="03135C26" w:rsidR="00CD1CC2" w:rsidRPr="0064355F" w:rsidRDefault="00CD1CC2" w:rsidP="007D1D84">
      <w:pPr>
        <w:pStyle w:val="Paragrafspiska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52B13F33" w14:textId="77777777" w:rsidR="00700A4C" w:rsidRPr="0064355F" w:rsidRDefault="00700A4C" w:rsidP="007D1D84">
      <w:pPr>
        <w:pStyle w:val="Paragrafspiska"/>
        <w:ind w:left="1080"/>
        <w:rPr>
          <w:rFonts w:ascii="Times New Roman" w:hAnsi="Times New Roman" w:cs="Times New Roman"/>
          <w:b/>
          <w:sz w:val="28"/>
          <w:szCs w:val="24"/>
        </w:rPr>
      </w:pPr>
    </w:p>
    <w:p w14:paraId="47A8D0E7" w14:textId="77777777" w:rsidR="00700A4C" w:rsidRPr="0064355F" w:rsidRDefault="00700A4C" w:rsidP="007D1D84">
      <w:pPr>
        <w:pStyle w:val="Paragrafspiska"/>
        <w:ind w:left="108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1"/>
        <w:gridCol w:w="1622"/>
        <w:gridCol w:w="632"/>
        <w:gridCol w:w="534"/>
        <w:gridCol w:w="1052"/>
        <w:gridCol w:w="1052"/>
        <w:gridCol w:w="933"/>
        <w:gridCol w:w="1205"/>
        <w:gridCol w:w="806"/>
        <w:gridCol w:w="899"/>
        <w:gridCol w:w="720"/>
        <w:gridCol w:w="2879"/>
      </w:tblGrid>
      <w:tr w:rsidR="00571EAF" w:rsidRPr="0064355F" w14:paraId="43D6E1F9" w14:textId="77777777" w:rsidTr="00371E9B">
        <w:trPr>
          <w:trHeight w:val="480"/>
        </w:trPr>
        <w:tc>
          <w:tcPr>
            <w:tcW w:w="388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5D628A" w14:textId="7FBD9EAB" w:rsidR="00571EAF" w:rsidRPr="0064355F" w:rsidRDefault="0056137B" w:rsidP="00571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lastRenderedPageBreak/>
              <w:t>PRAĆENJE SPROVOENJA ZVSP</w:t>
            </w:r>
            <w:r w:rsidR="00571EAF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-a ZA PERIOD </w:t>
            </w:r>
            <w:r w:rsidR="007E6C13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2022.</w:t>
            </w:r>
            <w:r w:rsidR="00571EAF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-</w:t>
            </w:r>
            <w:r w:rsidR="007E6C13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2025.</w:t>
            </w:r>
            <w:r w:rsidR="00571EAF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: STRATEŠKI CILJ 4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A2053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71EAF" w:rsidRPr="0064355F" w14:paraId="73A2B7DD" w14:textId="77777777" w:rsidTr="00371E9B">
        <w:trPr>
          <w:trHeight w:val="885"/>
        </w:trPr>
        <w:tc>
          <w:tcPr>
            <w:tcW w:w="3889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5A7F4C9" w14:textId="65A1DED5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SO4: JAČANJE REGIONALNE SARADNJE I FUNKCIONISANJ</w:t>
            </w:r>
            <w:r w:rsidR="003C64F9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TRŽIŠTA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68901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1014" w:rsidRPr="0064355F" w14:paraId="6B953250" w14:textId="77777777" w:rsidTr="00371E9B">
        <w:trPr>
          <w:trHeight w:val="1275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4748495" w14:textId="4EE1E62F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50F262A" w14:textId="5E396AA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Strateški i specifični ciljevi, </w:t>
            </w:r>
            <w:r w:rsidR="00EF1AF1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 akcije</w:t>
            </w:r>
          </w:p>
        </w:tc>
        <w:tc>
          <w:tcPr>
            <w:tcW w:w="85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137F18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Osnovna vrednost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86F28B4" w14:textId="77777777" w:rsidR="003C64F9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Privremeni cilj</w:t>
            </w:r>
            <w:r w:rsidR="003C64F9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A397A79" w14:textId="129926B8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A1C30DF" w14:textId="748CE616" w:rsidR="00571EAF" w:rsidRPr="0064355F" w:rsidRDefault="003C64F9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Prošlogodišnji cilj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2031.</w:t>
            </w:r>
          </w:p>
        </w:tc>
        <w:tc>
          <w:tcPr>
            <w:tcW w:w="93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68BCEB4" w14:textId="772F7555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Rezultat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59440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6643B" w:rsidRPr="0064355F" w14:paraId="4CE830B6" w14:textId="77777777" w:rsidTr="00371E9B">
        <w:trPr>
          <w:trHeight w:val="33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B829D0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3649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528E90E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STRATEŠKI CILJ 4: JAČANJE REGIONALNE SARADNJE I FUNKCIONISANJA TRŽIŠTA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1856B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1014" w:rsidRPr="0064355F" w14:paraId="60593841" w14:textId="77777777" w:rsidTr="00371E9B">
        <w:trPr>
          <w:trHeight w:val="1275"/>
        </w:trPr>
        <w:tc>
          <w:tcPr>
            <w:tcW w:w="2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A1A3F7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1BF926" w14:textId="20BD7CAD" w:rsidR="00571EAF" w:rsidRPr="0064355F" w:rsidRDefault="00733C60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Integracija tržišta sa panevropskim tržištima električne energije.</w:t>
            </w:r>
          </w:p>
        </w:tc>
        <w:tc>
          <w:tcPr>
            <w:tcW w:w="85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31E60B" w14:textId="29873C0A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Ne </w:t>
            </w:r>
            <w:r w:rsidR="003C64F9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 zemlji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533087" w14:textId="44170D6C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Integracija tržišta sa Albanijom 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79808A" w14:textId="32D2D63F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Članstvo u  </w:t>
            </w:r>
            <w:r w:rsidR="00733C60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Panevropskom tržišnom prostoru</w:t>
            </w:r>
          </w:p>
        </w:tc>
        <w:tc>
          <w:tcPr>
            <w:tcW w:w="93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144EB46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2BEA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643B" w:rsidRPr="0064355F" w14:paraId="0E5CA469" w14:textId="77777777" w:rsidTr="00371E9B">
        <w:trPr>
          <w:trHeight w:val="33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CFEDCD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IV.1</w:t>
            </w:r>
          </w:p>
        </w:tc>
        <w:tc>
          <w:tcPr>
            <w:tcW w:w="3649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E2C9A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Specifični cilj projekta: Jačanje regionalne saradnje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F195B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1014" w:rsidRPr="0064355F" w14:paraId="25F44E23" w14:textId="77777777" w:rsidTr="00371E9B">
        <w:trPr>
          <w:trHeight w:val="96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31BF64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2C41374" w14:textId="0AE08DC2" w:rsidR="00571EAF" w:rsidRPr="0064355F" w:rsidRDefault="00EF1AF1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</w:p>
        </w:tc>
        <w:tc>
          <w:tcPr>
            <w:tcW w:w="8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72B272D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Osnovna vrednost 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D8AC19D" w14:textId="0D745024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Kratkoročni cilj </w:t>
            </w:r>
            <w:r w:rsidR="007E6C13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327CD4" w14:textId="72ACBA79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Cilj prošle godine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2031.</w:t>
            </w:r>
          </w:p>
        </w:tc>
        <w:tc>
          <w:tcPr>
            <w:tcW w:w="9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EB8DDC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DF747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1014" w:rsidRPr="0064355F" w14:paraId="018389A8" w14:textId="77777777" w:rsidTr="00371E9B">
        <w:trPr>
          <w:trHeight w:val="960"/>
        </w:trPr>
        <w:tc>
          <w:tcPr>
            <w:tcW w:w="2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666B6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3CBE0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Prekogranični 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ponuđeni kapacitet/nominalni prekogranični kapacitet.</w:t>
            </w:r>
          </w:p>
          <w:p w14:paraId="040F24C9" w14:textId="77777777" w:rsidR="00013F4C" w:rsidRPr="0064355F" w:rsidRDefault="00013F4C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F42DCF3" w14:textId="77777777" w:rsidR="00013F4C" w:rsidRPr="0064355F" w:rsidRDefault="00013F4C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206451D" w14:textId="77777777" w:rsidR="00013F4C" w:rsidRPr="0064355F" w:rsidRDefault="00013F4C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3090B8" w14:textId="77777777" w:rsidR="00013F4C" w:rsidRPr="0064355F" w:rsidRDefault="00013F4C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F30470" w14:textId="77777777" w:rsidR="00013F4C" w:rsidRPr="0064355F" w:rsidRDefault="00013F4C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7ECA84" w14:textId="77777777" w:rsidR="00013F4C" w:rsidRPr="0064355F" w:rsidRDefault="00013F4C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3C26BB" w14:textId="77777777" w:rsidR="00013F4C" w:rsidRPr="0064355F" w:rsidRDefault="00013F4C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5B07B0" w14:textId="77777777" w:rsidR="00013F4C" w:rsidRPr="0064355F" w:rsidRDefault="00013F4C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7AE155" w14:textId="77777777" w:rsidR="00013F4C" w:rsidRPr="0064355F" w:rsidRDefault="00013F4C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3354B0" w14:textId="1542D1E4" w:rsidR="00013F4C" w:rsidRPr="0064355F" w:rsidRDefault="00013F4C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5844D0F5" w14:textId="77777777" w:rsidR="00571EAF" w:rsidRPr="0064355F" w:rsidRDefault="00571EAF" w:rsidP="00571EA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Izvoz: 22-24%,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Uvoz: 24-26%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BF1EDE1" w14:textId="77777777" w:rsidR="003C64F9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Svaki pravac</w:t>
            </w:r>
            <w:r w:rsidR="003C64F9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3112BEE" w14:textId="6EA786F9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minimum 28-30%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4CF3D01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Svaki pravac 70%</w:t>
            </w:r>
          </w:p>
        </w:tc>
        <w:tc>
          <w:tcPr>
            <w:tcW w:w="93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64064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1FDD4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014" w:rsidRPr="0064355F" w14:paraId="77F900D1" w14:textId="77777777" w:rsidTr="00371E9B">
        <w:trPr>
          <w:trHeight w:val="315"/>
        </w:trPr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44AB21" w14:textId="3630C3E3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65D434" w14:textId="19F5F14F" w:rsidR="00571EAF" w:rsidRPr="0064355F" w:rsidRDefault="00395B4E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Akcija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8A8B3F" w14:textId="31569D02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Krajnji rok</w:t>
            </w:r>
          </w:p>
        </w:tc>
        <w:tc>
          <w:tcPr>
            <w:tcW w:w="13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A0CC27E" w14:textId="3701CDC0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Budžet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8E52B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Izvor finansiranja</w:t>
            </w:r>
          </w:p>
        </w:tc>
        <w:tc>
          <w:tcPr>
            <w:tcW w:w="3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08576E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Vodeća i prateća institucija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0ED0BC" w14:textId="580C030A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Proizvod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6A7180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Reference u dokumentima</w:t>
            </w:r>
          </w:p>
        </w:tc>
        <w:tc>
          <w:tcPr>
            <w:tcW w:w="11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90EDA0" w14:textId="06542F20" w:rsidR="00571EAF" w:rsidRPr="0064355F" w:rsidRDefault="00733C6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Napredak u </w:t>
            </w:r>
            <w:r w:rsidR="00222E27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sprovođenju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januar-jun </w:t>
            </w:r>
            <w:r w:rsidR="004A664A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22E27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godine</w:t>
            </w:r>
          </w:p>
        </w:tc>
      </w:tr>
      <w:tr w:rsidR="00C01014" w:rsidRPr="0064355F" w14:paraId="3C2B18AC" w14:textId="77777777" w:rsidTr="00371E9B">
        <w:trPr>
          <w:trHeight w:val="315"/>
        </w:trPr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14F22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592E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1BA06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0A8006" w14:textId="11B27DF9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DE4C27" w14:textId="58C1CCE8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1C7C8B" w14:textId="06C4AFD9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E28416" w14:textId="4850DD8B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2248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0F6A2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294B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037F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F4EB4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  <w:tr w:rsidR="00C01014" w:rsidRPr="0064355F" w14:paraId="30564503" w14:textId="77777777" w:rsidTr="00371E9B">
        <w:trPr>
          <w:trHeight w:val="330"/>
        </w:trPr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E4AAF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4115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AE4F1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2DC852" w14:textId="658C6BD0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46AB24D" w14:textId="10C0829B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471CDF" w14:textId="6EBAE267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2B7C3D" w14:textId="1D3D2CB3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A1936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5F96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E5EA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306C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7409A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  <w:tr w:rsidR="00B20804" w:rsidRPr="0064355F" w14:paraId="0B6526A1" w14:textId="77777777" w:rsidTr="00371E9B">
        <w:trPr>
          <w:trHeight w:val="282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26199" w14:textId="77777777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IV.1.1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71ECD" w14:textId="7A49D174" w:rsidR="00B20804" w:rsidRPr="0064355F" w:rsidRDefault="00B20804" w:rsidP="00B2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Pridruživanje tržištu dan ranije sa Albanijom preko ALPEX razmene energije.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54775" w14:textId="13942407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33B0E" w14:textId="77777777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-   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D62FA" w14:textId="799BE0A7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1,400,000.00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AD0F5" w14:textId="77777777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-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F336C" w14:textId="77777777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-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4B025" w14:textId="00AC49D6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ALPEX 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64338" w14:textId="42FDFC11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ALPEX, KOSTT , RUE, ME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DBC00" w14:textId="5C2359A5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Integracija veleprodajnih tržišta električne energije.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1FAC1" w14:textId="65C0D5BA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ALPEX Pravila 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1FB45" w14:textId="50D6F437" w:rsidR="00B20804" w:rsidRPr="0064355F" w:rsidRDefault="00B20804" w:rsidP="00B2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Sto </w:t>
            </w:r>
            <w:r w:rsidR="00222E27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odsto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(100%)</w:t>
            </w:r>
          </w:p>
          <w:p w14:paraId="2E307F0F" w14:textId="77777777" w:rsidR="00B20804" w:rsidRPr="0064355F" w:rsidRDefault="00B20804" w:rsidP="00B208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A6DA523" w14:textId="7DD3C899" w:rsidR="00B20804" w:rsidRPr="0064355F" w:rsidRDefault="00B20804" w:rsidP="00B2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Dana 31. januara 2024. </w:t>
            </w:r>
            <w:r w:rsidR="00222E2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odin</w:t>
            </w:r>
            <w:r w:rsidR="00222E27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ALPEX AD je počeo sa radom u komercijalnoj zoni Kosova, a istog dana počela je i Kosovsko-albanska tržišna unija (Market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Coupling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). </w:t>
            </w:r>
          </w:p>
        </w:tc>
      </w:tr>
      <w:tr w:rsidR="00B20804" w:rsidRPr="0064355F" w14:paraId="30912162" w14:textId="77777777" w:rsidTr="00371E9B">
        <w:trPr>
          <w:trHeight w:val="276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7AC14" w14:textId="77777777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IV.1.2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160F1" w14:textId="4C08C460" w:rsidR="00B20804" w:rsidRPr="0064355F" w:rsidRDefault="00B20804" w:rsidP="00B2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Integracija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unutardnevnog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tržišta sa Albanijom kroz razmenu energije ALPEX.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0EA0D" w14:textId="541BBE2F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FA8CC" w14:textId="77777777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-   </w:t>
            </w:r>
          </w:p>
        </w:tc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B7D2A" w14:textId="77777777" w:rsidR="00B20804" w:rsidRPr="0064355F" w:rsidRDefault="00B20804" w:rsidP="00B2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D930C" w14:textId="37A4D74B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1,350,000.00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EDE38" w14:textId="77777777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-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E049" w14:textId="490325A3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ALPEX</w:t>
            </w: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C3779" w14:textId="77777777" w:rsidR="00B20804" w:rsidRPr="0064355F" w:rsidRDefault="00B20804" w:rsidP="00B2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8E677" w14:textId="6446C8E0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Integracija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unutardnevnih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tržišta električne energije.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E1DF9" w14:textId="64041B56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ALPEX Pravila </w:t>
            </w:r>
          </w:p>
        </w:tc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0C83F5" w14:textId="407097F9" w:rsidR="00B20804" w:rsidRPr="0064355F" w:rsidRDefault="00B20804" w:rsidP="00B208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Sto </w:t>
            </w:r>
            <w:r w:rsidR="00340BCD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odsto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(100%) </w:t>
            </w:r>
          </w:p>
          <w:p w14:paraId="11D151F7" w14:textId="29249247" w:rsidR="00B20804" w:rsidRPr="0064355F" w:rsidRDefault="00B20804" w:rsidP="00B208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</w:p>
          <w:p w14:paraId="3490C2E2" w14:textId="43092A72" w:rsidR="00B20804" w:rsidRPr="0064355F" w:rsidRDefault="00B20804" w:rsidP="00B2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Unutardnevna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tržišna unija sa Albanijom kroz energetsku berzu ALPEX" završena je 12. decembra 2024. godine.  </w:t>
            </w:r>
          </w:p>
        </w:tc>
      </w:tr>
      <w:tr w:rsidR="00B20804" w:rsidRPr="0064355F" w14:paraId="70AE4019" w14:textId="77777777" w:rsidTr="00371E9B">
        <w:trPr>
          <w:trHeight w:val="162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A78CE" w14:textId="77777777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IV.1.3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94642" w14:textId="0B6E4300" w:rsidR="00B20804" w:rsidRPr="0064355F" w:rsidRDefault="00B20804" w:rsidP="00B2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Studija izvodljivosti o regionalnoj / evropskoj tržišnoj uniji (SDAC, SIDC).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9407F" w14:textId="36DCF273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C1EFA" w14:textId="77777777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-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D4AAB" w14:textId="77777777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-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6408A" w14:textId="2872A7E6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250,000.00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6AD5F" w14:textId="77777777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-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5FB0B" w14:textId="0CF8A5F4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Donatori, Budžet Kosova (BK).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C8D45" w14:textId="6CAD690E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KOSTT , RUE, ME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4535B" w14:textId="7F5813BD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Integracija veleprodajnih tržišta električne energije.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E81E2" w14:textId="7F0874B6" w:rsidR="00B20804" w:rsidRPr="0064355F" w:rsidRDefault="00B20804" w:rsidP="00B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</w:p>
        </w:tc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6D1BEF" w14:textId="3E8241BB" w:rsidR="00B20804" w:rsidRPr="0064355F" w:rsidRDefault="00B20804" w:rsidP="00B20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Nula odsto (0%)</w:t>
            </w:r>
          </w:p>
          <w:p w14:paraId="5A0A3F61" w14:textId="77777777" w:rsidR="00B20804" w:rsidRPr="0064355F" w:rsidRDefault="00B20804" w:rsidP="00B208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2B97AF2" w14:textId="6CCF5E95" w:rsidR="00B20804" w:rsidRPr="0064355F" w:rsidRDefault="00B20804" w:rsidP="00B2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 Atini, u novembru 2023. </w:t>
            </w:r>
            <w:r w:rsidR="00340BCD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memorandum o ujedinjenju tržišta potpisale su berze, operatori prenosnih sistema i regulatori Kosova, Albanije, Makedonije i Grčke. Izrađena je analiza razlika / praznina koje postoje između tri regionalna OST-a. Stručnjaci koji su angažovani predstavljaju modele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različitih metodologija koje mogu/će se primeniti u našim slučajevima. </w:t>
            </w:r>
          </w:p>
        </w:tc>
      </w:tr>
      <w:tr w:rsidR="0056643B" w:rsidRPr="0064355F" w14:paraId="2349F75E" w14:textId="77777777" w:rsidTr="00371E9B">
        <w:trPr>
          <w:trHeight w:val="33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DDE30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IV.2</w:t>
            </w:r>
          </w:p>
        </w:tc>
        <w:tc>
          <w:tcPr>
            <w:tcW w:w="3649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5BB61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Specifični cilj: Uklanjanje prepreka za efikasno funkcionisanje tržišta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5B12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01014" w:rsidRPr="0064355F" w14:paraId="3F6C454E" w14:textId="77777777" w:rsidTr="00371E9B">
        <w:trPr>
          <w:trHeight w:val="96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7A38E96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8A20E9A" w14:textId="302F1D65" w:rsidR="00571EAF" w:rsidRPr="0064355F" w:rsidRDefault="00EF1AF1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</w:p>
        </w:tc>
        <w:tc>
          <w:tcPr>
            <w:tcW w:w="8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C16D1F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Osnovna vrednost 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2817DB2" w14:textId="4A842DC8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Kratkoročni cilj </w:t>
            </w:r>
            <w:r w:rsidR="007E6C13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BFD966" w14:textId="69613A6F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Cilj prošle godine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2031.</w:t>
            </w:r>
          </w:p>
        </w:tc>
        <w:tc>
          <w:tcPr>
            <w:tcW w:w="9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03FFB0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4D06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1014" w:rsidRPr="0064355F" w14:paraId="7BAEAA8A" w14:textId="77777777" w:rsidTr="00371E9B">
        <w:trPr>
          <w:trHeight w:val="645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B903C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931E7" w14:textId="290493F8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Status povlačenja </w:t>
            </w:r>
            <w:r w:rsidR="007C750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MFA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08C382C" w14:textId="1E2D2162" w:rsidR="00571EAF" w:rsidRPr="0064355F" w:rsidRDefault="007C750B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MFA </w:t>
            </w:r>
            <w:r w:rsidR="00571EAF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postoji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E53ADE1" w14:textId="52418B04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Počinje ukidanje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7C750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MFA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24591" w14:textId="16D498C2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MF</w:t>
            </w:r>
            <w:r w:rsidR="007C750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ne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postoji</w:t>
            </w:r>
          </w:p>
        </w:tc>
        <w:tc>
          <w:tcPr>
            <w:tcW w:w="9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8738CD4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E653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014" w:rsidRPr="0064355F" w14:paraId="191C40CB" w14:textId="77777777" w:rsidTr="00371E9B">
        <w:trPr>
          <w:trHeight w:val="1590"/>
        </w:trPr>
        <w:tc>
          <w:tcPr>
            <w:tcW w:w="2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D15C54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8CFE771" w14:textId="2C66F92C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Broj ponuda dostupnih ne-domaćim potrošačima.</w:t>
            </w:r>
          </w:p>
        </w:tc>
        <w:tc>
          <w:tcPr>
            <w:tcW w:w="85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EECDAA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654D702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C96947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&gt; 6</w:t>
            </w:r>
          </w:p>
        </w:tc>
        <w:tc>
          <w:tcPr>
            <w:tcW w:w="9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CD8A4E1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A2EA4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014" w:rsidRPr="0064355F" w14:paraId="2302C328" w14:textId="77777777" w:rsidTr="00371E9B">
        <w:trPr>
          <w:trHeight w:val="315"/>
        </w:trPr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EE5EEB" w14:textId="0407F55B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BC5FE6" w14:textId="5C588152" w:rsidR="00571EAF" w:rsidRPr="0064355F" w:rsidRDefault="00395B4E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Akcija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B7BE36" w14:textId="33DF4634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Krajnji rok</w:t>
            </w:r>
          </w:p>
        </w:tc>
        <w:tc>
          <w:tcPr>
            <w:tcW w:w="13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7091EA5" w14:textId="1F85202F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Budžet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E971B0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Izvor finansiranja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BB4D4B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Vodeća i prateća institucija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9126B7" w14:textId="4D0B454F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Proizvod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8706AE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Reference u dokumentima</w:t>
            </w:r>
          </w:p>
        </w:tc>
        <w:tc>
          <w:tcPr>
            <w:tcW w:w="11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183700" w14:textId="4D9EC634" w:rsidR="00571EAF" w:rsidRPr="0064355F" w:rsidRDefault="00776E8E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Napredak u </w:t>
            </w:r>
            <w:r w:rsidR="00340BCD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sprovođenju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januar-jun </w:t>
            </w:r>
            <w:r w:rsidR="004A664A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40BCD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godine</w:t>
            </w:r>
          </w:p>
        </w:tc>
      </w:tr>
      <w:tr w:rsidR="00C01014" w:rsidRPr="0064355F" w14:paraId="60BB1905" w14:textId="77777777" w:rsidTr="00371E9B">
        <w:trPr>
          <w:trHeight w:val="315"/>
        </w:trPr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5AC4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FC67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E6BF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600824" w14:textId="7E96A045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253620" w14:textId="5F921E66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9A5CF0" w14:textId="6F7AF208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EC51EF" w14:textId="61547714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00322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509DE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84D4F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AAA5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68362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1014" w:rsidRPr="0064355F" w14:paraId="4DA66F6E" w14:textId="77777777" w:rsidTr="00371E9B">
        <w:trPr>
          <w:trHeight w:val="330"/>
        </w:trPr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BCD88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87F6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D21B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93F86C" w14:textId="3CB6D712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AE19E2" w14:textId="5F6339F7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23B3FD" w14:textId="29A520FB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BCD64A" w14:textId="210D67DE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5A595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E10A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1DA7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6F47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DBFDE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B19BF" w:rsidRPr="0064355F" w14:paraId="0F2ACC1B" w14:textId="77777777" w:rsidTr="00371E9B">
        <w:trPr>
          <w:trHeight w:val="106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DA941" w14:textId="77777777" w:rsidR="00EB19BF" w:rsidRPr="0064355F" w:rsidRDefault="00EB19BF" w:rsidP="00E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IV.2.1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2D15E" w14:textId="7A554552" w:rsidR="00EB19BF" w:rsidRPr="0064355F" w:rsidRDefault="00EB19BF" w:rsidP="00E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Izrada i usvajanje zakona o energetici.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6EA2C" w14:textId="10BA14D3" w:rsidR="00EB19BF" w:rsidRPr="0064355F" w:rsidRDefault="00EB19BF" w:rsidP="00E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290E5" w14:textId="77777777" w:rsidR="00EB19BF" w:rsidRPr="0064355F" w:rsidRDefault="00EB19BF" w:rsidP="00E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-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D8539" w14:textId="1762DC1B" w:rsidR="00EB19BF" w:rsidRPr="0064355F" w:rsidRDefault="00EB19BF" w:rsidP="00E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13,500.00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CA210" w14:textId="77777777" w:rsidR="00EB19BF" w:rsidRPr="0064355F" w:rsidRDefault="00EB19BF" w:rsidP="00E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-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22F28" w14:textId="77777777" w:rsidR="00EB19BF" w:rsidRPr="0064355F" w:rsidRDefault="00EB19BF" w:rsidP="00E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-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7E85F" w14:textId="385F13C6" w:rsidR="00EB19BF" w:rsidRPr="0064355F" w:rsidRDefault="00EB19BF" w:rsidP="00E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A725C" w14:textId="2FF0ACD7" w:rsidR="00EB19BF" w:rsidRPr="0064355F" w:rsidRDefault="00EB19BF" w:rsidP="00E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RUE, KOSTT, KEK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1F1FD" w14:textId="34515333" w:rsidR="00EB19BF" w:rsidRPr="0064355F" w:rsidRDefault="00EB19BF" w:rsidP="00E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Zakon usvojen i usklađen sa direktivama EU.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D4416" w14:textId="3806415A" w:rsidR="00EB19BF" w:rsidRPr="0064355F" w:rsidRDefault="00EB19BF" w:rsidP="00E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2022.-2031.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E4905" w14:textId="6F00377D" w:rsidR="00EB19BF" w:rsidRPr="0064355F" w:rsidRDefault="00EB19BF" w:rsidP="00EB19B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Osamdeset pet odsto (85%) </w:t>
            </w:r>
          </w:p>
          <w:p w14:paraId="44B7CB74" w14:textId="360A8CA5" w:rsidR="00EB19BF" w:rsidRPr="0064355F" w:rsidRDefault="00EB19BF" w:rsidP="00EB19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Nije bilo nikakvih događa</w:t>
            </w:r>
            <w:r w:rsidR="00340BCD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579DD47" w14:textId="5A04F9EE" w:rsidR="00EB19BF" w:rsidRPr="0064355F" w:rsidRDefault="00EB19BF" w:rsidP="00EB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22A6C" w:rsidRPr="0064355F" w14:paraId="6D8D6694" w14:textId="77777777" w:rsidTr="00371E9B">
        <w:trPr>
          <w:trHeight w:val="1605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4DD14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IV.2.2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24E17" w14:textId="7FDE877F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Izrada i usvajanje podzakonskih akata na osnovu Zakona o energetici.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A8BB7" w14:textId="7361C939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ED0A2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-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6B8EE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-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179D2" w14:textId="54A7C74B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30,800.00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B54C5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-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FB720" w14:textId="38AA5A8B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10AE3" w14:textId="657AB5E8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ME, RUE, KOSTT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B6C26" w14:textId="627234E0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Usvojeno sekundarno zakonodavstvo.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0C4CC" w14:textId="73B91ED5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40C8B" w14:textId="46B5F13B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Nula odsto (0%)</w:t>
            </w:r>
          </w:p>
          <w:p w14:paraId="0C85B2CF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0DA9B87" w14:textId="426B3FD7" w:rsidR="00222A6C" w:rsidRPr="0064355F" w:rsidRDefault="00222A6C" w:rsidP="0022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Nakon usvajanja Zakona o </w:t>
            </w:r>
            <w:r w:rsidR="00340BCD" w:rsidRPr="006435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električnoj energiji</w:t>
            </w:r>
            <w:r w:rsidRPr="006435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nastaviće se izrada i odobravanje podzakonskih akata koji proizilaze iz Zakona.</w:t>
            </w:r>
          </w:p>
        </w:tc>
      </w:tr>
      <w:tr w:rsidR="00222A6C" w:rsidRPr="0064355F" w14:paraId="463D33F9" w14:textId="77777777" w:rsidTr="00371E9B">
        <w:trPr>
          <w:trHeight w:val="169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5221E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IV.2.3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AB789" w14:textId="745C41A1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Izrada i usvajanje Zakona o električnoj energiji.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FC60E" w14:textId="7FB924B0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DE545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-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16E45" w14:textId="36D8510B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10,800.00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01D9E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-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CF3FD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-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91697" w14:textId="0E40FCB5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464FD" w14:textId="278A2D55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ME, RUE, KOSTT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3185A" w14:textId="777FDA79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Zakon usvojen i usklađen sa direktivama EU.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9F163" w14:textId="0A6B65C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56333" w14:textId="4AB95205" w:rsidR="00222A6C" w:rsidRPr="0064355F" w:rsidRDefault="00222A6C" w:rsidP="00222A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Osamdeset pet odsto (85%)</w:t>
            </w:r>
          </w:p>
          <w:p w14:paraId="4A532E4A" w14:textId="347C4A5F" w:rsidR="00222A6C" w:rsidRPr="0064355F" w:rsidRDefault="00222A6C" w:rsidP="00222A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Nije bilo nikakvih događa</w:t>
            </w:r>
            <w:r w:rsidR="00340BCD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54E41C0" w14:textId="74239AF5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22A6C" w:rsidRPr="0064355F" w14:paraId="65FA40F8" w14:textId="77777777" w:rsidTr="00371E9B">
        <w:trPr>
          <w:trHeight w:val="183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FAD67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IV.2.4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C0901" w14:textId="54050FB5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Izrada i usvajanje podzakonskih akata na osnovu Zakona o električnoj energiji.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25B3C" w14:textId="62352BA3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2C78B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-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DE28E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-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9513B" w14:textId="0C01A805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30,800.00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E10A3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-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10CA4" w14:textId="3277449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EB7BB" w14:textId="42646122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RUE, KOSTT, KEK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B7E11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Usvojeno sekundarno zakonodavstvo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012B0" w14:textId="1F826F9B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A160A" w14:textId="52E5DF81" w:rsidR="00222A6C" w:rsidRPr="0064355F" w:rsidRDefault="00222A6C" w:rsidP="00222A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  Nula odsto (0%)</w:t>
            </w:r>
          </w:p>
          <w:p w14:paraId="5959D2D6" w14:textId="52BAFAF3" w:rsidR="00222A6C" w:rsidRPr="0064355F" w:rsidRDefault="00222A6C" w:rsidP="0022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Nakon usvajanja zakona o električnoj energiji, koji će se nastaviti sa izradom i usvajanjem podzakonskih akata koji proizilaze iz zakona.</w:t>
            </w:r>
          </w:p>
        </w:tc>
      </w:tr>
      <w:tr w:rsidR="00222A6C" w:rsidRPr="0064355F" w14:paraId="54FF8679" w14:textId="77777777" w:rsidTr="00371E9B">
        <w:trPr>
          <w:trHeight w:val="3735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B5325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IV.2.5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17F3D" w14:textId="591D807C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Izrada i usvajanje zakona o energetskom regulatoru.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B4E54" w14:textId="24241FBE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8E06D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-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6B5BA" w14:textId="11E19C4F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13,500.00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66B6D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-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3F9AF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-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E742F" w14:textId="2821C469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</w:t>
            </w:r>
            <w:r w:rsidR="005A0187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BK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BFF1A" w14:textId="2EE776B2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RUE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63B9F" w14:textId="739E25CB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Zakon usvojen i usklađen sa direktivama EU.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A1EEC" w14:textId="2AF26074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E81A2" w14:textId="3CB492AD" w:rsidR="00222A6C" w:rsidRPr="0064355F" w:rsidRDefault="00222A6C" w:rsidP="00222A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Četrdeset odsto (40%)</w:t>
            </w:r>
          </w:p>
          <w:p w14:paraId="0E37D1F1" w14:textId="3606EF51" w:rsidR="00222A6C" w:rsidRPr="0064355F" w:rsidRDefault="00222A6C" w:rsidP="00222A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Nije bilo nikakvih događa</w:t>
            </w:r>
            <w:r w:rsidR="00340BCD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73C12D9B" w14:textId="698AD5C5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187" w:rsidRPr="0064355F" w14:paraId="369D10AF" w14:textId="77777777" w:rsidTr="00371E9B">
        <w:trPr>
          <w:trHeight w:val="186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6B0D6" w14:textId="77777777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IV.2.6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AFC9F" w14:textId="414B714B" w:rsidR="005A0187" w:rsidRPr="0064355F" w:rsidRDefault="005A0187" w:rsidP="005A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Izrada i usvajanje podzakonskih akata na osnovu zakona o energetskom regulatoru.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A5BC5" w14:textId="749576BE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F5FB8" w14:textId="77777777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-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7F6CE" w14:textId="77777777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-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3F1F6" w14:textId="2E64DA00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30,800.00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63BE3" w14:textId="77777777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-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46547" w14:textId="46866A02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E51A0" w14:textId="35B91861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RUE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E3248" w14:textId="2C0C232A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Usvojeno sekundarno zakonodavstvo.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BAEC0" w14:textId="3AA76329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CA62F" w14:textId="6A1374D4" w:rsidR="005A0187" w:rsidRPr="0064355F" w:rsidRDefault="005A0187" w:rsidP="005A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 Nula odsto (0%)</w:t>
            </w:r>
          </w:p>
          <w:p w14:paraId="2152AEA0" w14:textId="77777777" w:rsidR="005A0187" w:rsidRPr="0064355F" w:rsidRDefault="005A0187" w:rsidP="005A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59BD73D" w14:textId="4285020E" w:rsidR="005A0187" w:rsidRPr="0064355F" w:rsidRDefault="005A0187" w:rsidP="005A0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Nakon usvajanja zakona o energetskom regulatoru, nastaviće se izrada i odobravanje podzakonskih akata koji proizilaze iz zakona.</w:t>
            </w:r>
          </w:p>
        </w:tc>
      </w:tr>
      <w:tr w:rsidR="005A0187" w:rsidRPr="0064355F" w14:paraId="6AEFCFEC" w14:textId="77777777" w:rsidTr="00371E9B">
        <w:trPr>
          <w:trHeight w:val="186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9E2ED9" w14:textId="0E642D98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IV.2.7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7840CD" w14:textId="67E9275C" w:rsidR="005A0187" w:rsidRPr="0064355F" w:rsidRDefault="005A0187" w:rsidP="005A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Pokretanje studija o barijerama na konkurentnom tržištu električne energije, kao i o najprikladnijem načinu postupnog ukidanja MF</w:t>
            </w:r>
            <w:r w:rsidR="007C750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="003241DA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-a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5AEFFB" w14:textId="0262C7FD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9B56599" w14:textId="0ECAA6A3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-   </w:t>
            </w:r>
          </w:p>
        </w:tc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076A42" w14:textId="0F677B0F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-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845159" w14:textId="0FE898A3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-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31A855" w14:textId="75CDA2A7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50,000.00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13BF64" w14:textId="265C5EC0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(BK), donatori.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A21235" w14:textId="3A02E3C9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ME, RUE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A13B8B" w14:textId="6C9E8A6E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Povećana konkurencija na tržištu.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76177E" w14:textId="3DC90731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Energetska strategija za period 2022.-2031.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0F3B49" w14:textId="4D7EA92F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Nula odsto (0%)</w:t>
            </w:r>
          </w:p>
          <w:p w14:paraId="2B407285" w14:textId="77777777" w:rsidR="005A0187" w:rsidRPr="0064355F" w:rsidRDefault="005A0187" w:rsidP="005A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E700800" w14:textId="56940008" w:rsidR="005A0187" w:rsidRPr="0064355F" w:rsidRDefault="005A0187" w:rsidP="005A0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Nema razvo</w:t>
            </w:r>
            <w:r w:rsidR="00340BCD" w:rsidRPr="006435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ja</w:t>
            </w:r>
            <w:r w:rsidRPr="006435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Prema </w:t>
            </w:r>
            <w:r w:rsidR="007C750B" w:rsidRPr="006435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NPR</w:t>
            </w:r>
            <w:r w:rsidRPr="006435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2025.-2027, planirano je da počne u </w:t>
            </w:r>
            <w:r w:rsidR="00340BCD" w:rsidRPr="006435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Pr="006435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3 2026 i završi u </w:t>
            </w:r>
            <w:r w:rsidR="00340BCD" w:rsidRPr="006435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Pr="006435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4 2027.</w:t>
            </w:r>
          </w:p>
        </w:tc>
      </w:tr>
      <w:tr w:rsidR="00222A6C" w:rsidRPr="0064355F" w14:paraId="7D5ED6FD" w14:textId="77777777" w:rsidTr="00371E9B">
        <w:trPr>
          <w:trHeight w:val="33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AC324D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IV.3</w:t>
            </w:r>
          </w:p>
        </w:tc>
        <w:tc>
          <w:tcPr>
            <w:tcW w:w="3649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127C21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Specifični cilj: Veštine u oblastima vezanim za energiju i uključivanje žena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0D4C1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22A6C" w:rsidRPr="0064355F" w14:paraId="155227FB" w14:textId="77777777" w:rsidTr="00371E9B">
        <w:trPr>
          <w:trHeight w:val="96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A6A90CF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5423A6E" w14:textId="5937C550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</w:p>
        </w:tc>
        <w:tc>
          <w:tcPr>
            <w:tcW w:w="8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8C850A5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Osnovna vrednost 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F21B078" w14:textId="77777777" w:rsidR="003241DA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Kratkoročni cilj</w:t>
            </w:r>
          </w:p>
          <w:p w14:paraId="37CABD1B" w14:textId="4E13F819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2025.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C595B0" w14:textId="788BDA4A" w:rsidR="00222A6C" w:rsidRPr="0064355F" w:rsidRDefault="003241DA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Prošlogodišnji cilj</w:t>
            </w:r>
            <w:r w:rsidR="00222A6C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2031.</w:t>
            </w:r>
          </w:p>
        </w:tc>
        <w:tc>
          <w:tcPr>
            <w:tcW w:w="9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0C7BD1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6FCEE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22A6C" w:rsidRPr="0064355F" w14:paraId="2824F52B" w14:textId="77777777" w:rsidTr="00371E9B">
        <w:trPr>
          <w:trHeight w:val="2850"/>
        </w:trPr>
        <w:tc>
          <w:tcPr>
            <w:tcW w:w="2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D482C8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A9E7C7" w14:textId="0972E21D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Broj novih diplomiranih studenata godišnje koji dobijaju akademsku stručnu spremu, odnosno stručnu kvalifikaciju u novim programima iz oblasti energetike, i srodnih oblasti</w:t>
            </w:r>
          </w:p>
        </w:tc>
        <w:tc>
          <w:tcPr>
            <w:tcW w:w="8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B2DB52D" w14:textId="4108BB01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J / A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8C712A" w14:textId="12C59061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Da se utvrdi.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DE2ECC" w14:textId="46F48DAB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Da se utvrdi.</w:t>
            </w:r>
          </w:p>
        </w:tc>
        <w:tc>
          <w:tcPr>
            <w:tcW w:w="93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B64072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3244F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A6C" w:rsidRPr="0064355F" w14:paraId="007B6202" w14:textId="77777777" w:rsidTr="00371E9B">
        <w:trPr>
          <w:trHeight w:val="96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DE3FE0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665EF9" w14:textId="60AC729C" w:rsidR="00222A6C" w:rsidRPr="0064355F" w:rsidRDefault="003241DA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="00222A6C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rocenat žena zaposlenih u energetskom sektoru.</w:t>
            </w:r>
          </w:p>
          <w:p w14:paraId="65453244" w14:textId="68235AFC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AA635E4" w14:textId="071188C1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9% [2021.]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56E47D7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11%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6DF0B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25%</w:t>
            </w:r>
          </w:p>
        </w:tc>
        <w:tc>
          <w:tcPr>
            <w:tcW w:w="9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2677DF8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845D2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A6C" w:rsidRPr="0064355F" w14:paraId="2BFF32FE" w14:textId="77777777" w:rsidTr="00371E9B">
        <w:trPr>
          <w:trHeight w:val="330"/>
        </w:trPr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6B9C9A" w14:textId="2FC82944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638A6C" w14:textId="45CE56B0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Akcija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C24BB4" w14:textId="4B27D6AF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Krajnji rok</w:t>
            </w:r>
          </w:p>
        </w:tc>
        <w:tc>
          <w:tcPr>
            <w:tcW w:w="13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4DF215D" w14:textId="49ECBEC5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Budžet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0FD8FC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Izvor finansiranja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03FA1C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Vodeća i prateća institucija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9EF7B7" w14:textId="6A39E353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Proizvod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91DE8D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Reference u dokumentima</w:t>
            </w:r>
          </w:p>
        </w:tc>
        <w:tc>
          <w:tcPr>
            <w:tcW w:w="11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13B478" w14:textId="71E67924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Napredak u </w:t>
            </w:r>
            <w:r w:rsidR="00340BCD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sprovođenju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januar-jun 2025. </w:t>
            </w:r>
            <w:r w:rsidR="00340BCD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godine</w:t>
            </w:r>
          </w:p>
        </w:tc>
      </w:tr>
      <w:tr w:rsidR="00222A6C" w:rsidRPr="0064355F" w14:paraId="02CD13AF" w14:textId="77777777" w:rsidTr="00371E9B">
        <w:trPr>
          <w:trHeight w:val="315"/>
        </w:trPr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3F41D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9056E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22169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286175" w14:textId="061B2A30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2F94B4" w14:textId="12502AF0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689701" w14:textId="19D53503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75E47F" w14:textId="1F9EC5A2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Godina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B9B86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A5724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DFCD6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961C6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8E670" w14:textId="77777777" w:rsidR="00222A6C" w:rsidRPr="0064355F" w:rsidRDefault="00222A6C" w:rsidP="00222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  <w:tr w:rsidR="00222A6C" w:rsidRPr="0064355F" w14:paraId="17D9F111" w14:textId="77777777" w:rsidTr="00371E9B">
        <w:trPr>
          <w:trHeight w:val="330"/>
        </w:trPr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8CE82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711F9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91F2E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4DD127" w14:textId="6E71D39E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5D6370" w14:textId="4352025C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BCA837" w14:textId="0B100F34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8E16C0" w14:textId="50A5E71E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BBC9C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F85FC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4022B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3FB7E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402BD" w14:textId="77777777" w:rsidR="00222A6C" w:rsidRPr="0064355F" w:rsidRDefault="00222A6C" w:rsidP="00222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  <w:tr w:rsidR="00222A6C" w:rsidRPr="0064355F" w14:paraId="4ED8B7DD" w14:textId="77777777" w:rsidTr="00371E9B">
        <w:trPr>
          <w:trHeight w:val="975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1DBF0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IV.3.1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F59F6" w14:textId="2EA32E4E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Razvoj novih programa tehničke obuke.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AE8B0" w14:textId="28C10D70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2024./ 2025.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D9C39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-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F3351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-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0609A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€ 350,000.00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6B3F0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€ 350,000.00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1CD50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Donatori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E48B5" w14:textId="1AE176EE" w:rsidR="00222A6C" w:rsidRPr="0064355F" w:rsidRDefault="00222E27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MCAK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82F02" w14:textId="77E47B45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Radna snaga spremna za budućnost obnovljivih izvora energije (</w:t>
            </w:r>
            <w:r w:rsidR="00222E27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OIE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).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01EBE" w14:textId="76593C25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8B7218" w14:textId="596AB14E" w:rsidR="00222A6C" w:rsidRPr="0064355F" w:rsidRDefault="00222A6C" w:rsidP="0022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Nula odsto (0%)</w:t>
            </w:r>
          </w:p>
          <w:p w14:paraId="32A5375C" w14:textId="77777777" w:rsidR="00222A6C" w:rsidRPr="0064355F" w:rsidRDefault="00222A6C" w:rsidP="00222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4C82FA5" w14:textId="354FDD1C" w:rsidR="00222A6C" w:rsidRPr="0064355F" w:rsidRDefault="00222A6C" w:rsidP="0022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Tokom 2024. </w:t>
            </w:r>
            <w:r w:rsidR="00340BCD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MCA-K i Univerzitet u Prištini (UP) potpisali su 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Memorandum o razumevanju za implementaciju energetskih veština za buduće aktivnosti. U sklopu ove saradnje, UP je osnovao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Centar za energetske veštine i inovacije (QAIE) i izdvojio prostor u okviru Tehničkog fakulteta za njegovo funkcionisanje</w:t>
            </w:r>
            <w:r w:rsidR="00340BCD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MCA-K i UP su osnovali zajedničku radnu grupu za pripremu pravnog i regulatornog okvira ovog centra. S tim u vezi, tokom 2024. </w:t>
            </w:r>
            <w:r w:rsidR="00340BCD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odin</w:t>
            </w:r>
            <w:r w:rsidR="00340BCD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pripremljen je prvi nacrt internog propisa o funkcionisanju </w:t>
            </w:r>
            <w:r w:rsidR="00340BCD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AIE. Takođe, Radna grupa (</w:t>
            </w:r>
            <w:r w:rsidR="00340BCD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RG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radi na pripremi Sporazuma za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implementator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koji će biti potpisan između MCA-K i UP. Tokom 2024. </w:t>
            </w:r>
            <w:r w:rsidR="00036DA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MCA-K je raspisao tender i završio proces evaluacije i selekcije konsultantske kompanije, koja će pružiti tehničku pomoć za implementaciju energetskih veština za buduću aktivnost.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Međutim, potpisivanjem izvršne naredbe 14169 od strane predsednika Sjedinjenih Američkih Država 20. januara 2025. </w:t>
            </w:r>
            <w:r w:rsidR="00036DA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ova aktivnost je privremeno pauzirana do druge odluke. </w:t>
            </w:r>
          </w:p>
        </w:tc>
      </w:tr>
      <w:tr w:rsidR="00222E27" w:rsidRPr="0064355F" w14:paraId="5129F31F" w14:textId="77777777" w:rsidTr="00222E27">
        <w:trPr>
          <w:trHeight w:val="7068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27AD7" w14:textId="77777777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IV.3.2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F76FA" w14:textId="613AFA5A" w:rsidR="00222E27" w:rsidRPr="0064355F" w:rsidRDefault="00222E27" w:rsidP="0022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Priprema rodno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inkluzivne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infrastrukture i planiranje politike.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42BCF" w14:textId="0E02E014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2024./ 2025.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19FFC" w14:textId="77777777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-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33CB9" w14:textId="77777777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-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D4533" w14:textId="41F700DA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300,000.00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46DA5" w14:textId="62F6B3EC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300,000.00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F5503" w14:textId="77777777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Donatori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D60E2" w14:textId="3F0B7C92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MCAK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A7D45" w14:textId="46380538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dvadeset pet odsto (25%) žena u energetskom sektoru radne snage do 2031. godine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47843" w14:textId="0EE05D68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</w:p>
        </w:tc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FB5B00" w14:textId="223EB040" w:rsidR="00222E27" w:rsidRPr="0064355F" w:rsidRDefault="00222E27" w:rsidP="00222E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 Nula odsto (0%)</w:t>
            </w:r>
          </w:p>
          <w:p w14:paraId="625AD2DD" w14:textId="77777777" w:rsidR="00222E27" w:rsidRPr="0064355F" w:rsidRDefault="00222E27" w:rsidP="00222E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C068505" w14:textId="1C4307FE" w:rsidR="00222E27" w:rsidRPr="0064355F" w:rsidRDefault="00222E27" w:rsidP="00222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Tokom 2024. </w:t>
            </w:r>
            <w:r w:rsidR="00036DA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 okviru Aktivnosti za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inkluzivnu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radnu snagu u energetskom sektoru, MCA-K je objavio poziv za bespovratna sredstva za kompanije u energetskom sektoru, kao i za organizacije civilnog društva (OCD). Svrha ovih grantova je da podrže preduzeća i organizacije koje promovišu rodnu ravnopravnost i socijalnu inkluziju u energetskom sektoru, kroz stvaranje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inkluzivnih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radnih mesta i razvoj karijere za </w:t>
            </w:r>
            <w:r w:rsidR="00036DA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žene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Kroz ulaganja u politike rodne ravnopravnosti, stvaranje odgovarajućih radnih mesta, kao i inicijative za profesionalni razvoj, grantovi će doprineti izgradnji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inkluzivne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infrastrukture i osmišljavanju politika koje obezbeđuju ravnopravno učešće i sigurno, pošteno i </w:t>
            </w:r>
            <w:proofErr w:type="spellStart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podržavajuće</w:t>
            </w:r>
            <w:proofErr w:type="spellEnd"/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radno okruženje za žene u energetskom sektoru. U januaru 2025. </w:t>
            </w:r>
            <w:r w:rsidR="00036DA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MCA-K je započeo proces </w:t>
            </w:r>
            <w:r w:rsidR="00036DA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procene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36DA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aplikacija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 grantove; međutim, ovaj proces je zaustavljen nakon potpisivanja izvršne naredbe 14169 od strane predsednika Sjedinjenih Američkih Država 20. januara 2025. </w:t>
            </w:r>
            <w:r w:rsidR="00036DAE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koja privremeno pauzira aktivnosti strane pomoći do druge odluke.</w:t>
            </w:r>
          </w:p>
        </w:tc>
      </w:tr>
      <w:tr w:rsidR="00222E27" w:rsidRPr="0064355F" w14:paraId="29ECE172" w14:textId="77777777" w:rsidTr="00371E9B">
        <w:trPr>
          <w:trHeight w:val="1987"/>
        </w:trPr>
        <w:tc>
          <w:tcPr>
            <w:tcW w:w="2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0D217" w14:textId="77777777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IV.3.3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8906E" w14:textId="5A6E5CE0" w:rsidR="00222E27" w:rsidRPr="0064355F" w:rsidRDefault="00222E27" w:rsidP="0022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6"/>
                <w:szCs w:val="16"/>
              </w:rPr>
              <w:t>Izrada novih profesionalnih standarda i nastavnih planova i programa, u skladu sa zahtevima tržišta rada.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977CB" w14:textId="1C3C070C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58A8E" w14:textId="77777777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-  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11AF6" w14:textId="77777777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-  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4441B" w14:textId="4C27A4F0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10,000.00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5997F" w14:textId="77777777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-  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E873D" w14:textId="2F43B2ED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6EA6F" w14:textId="12C8FB35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MONT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C4B70" w14:textId="1FD2CF1C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355F">
              <w:rPr>
                <w:rFonts w:ascii="Times New Roman" w:eastAsia="Times New Roman" w:hAnsi="Times New Roman" w:cs="Times New Roman"/>
                <w:sz w:val="16"/>
                <w:szCs w:val="16"/>
              </w:rPr>
              <w:t>Dizajnirani su profesionalni standardi i novi nastavni planovi i programi.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6DA7C" w14:textId="77777777" w:rsidR="00222E27" w:rsidRPr="0064355F" w:rsidRDefault="00222E27" w:rsidP="0022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58ACE1" w14:textId="27EF70CB" w:rsidR="00222E27" w:rsidRPr="0064355F" w:rsidRDefault="00222E27" w:rsidP="0022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A6C" w:rsidRPr="0064355F" w14:paraId="63EB24A8" w14:textId="77777777" w:rsidTr="00036DAE">
        <w:trPr>
          <w:trHeight w:val="67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10559C" w14:textId="77777777" w:rsidR="00222A6C" w:rsidRPr="0064355F" w:rsidRDefault="00222A6C" w:rsidP="0022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B13CC7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7588EB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126522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BE80F2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65BB93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D9D363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8F66C4" w14:textId="77777777" w:rsidR="00222A6C" w:rsidRPr="0064355F" w:rsidRDefault="00222A6C" w:rsidP="0022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6632F6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BDE553" w14:textId="77777777" w:rsidR="00222A6C" w:rsidRPr="0064355F" w:rsidRDefault="00222A6C" w:rsidP="0022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1398D0" w14:textId="77777777" w:rsidR="00222A6C" w:rsidRPr="0064355F" w:rsidRDefault="00222A6C" w:rsidP="0022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4DA408D" w14:textId="77777777" w:rsidR="00222A6C" w:rsidRPr="0064355F" w:rsidRDefault="00222A6C" w:rsidP="0022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F9F22AA" w14:textId="399DA369" w:rsidR="00682BBE" w:rsidRPr="0064355F" w:rsidRDefault="00682BBE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6F92C69D" w14:textId="6CDA5C36" w:rsidR="00E07348" w:rsidRPr="0064355F" w:rsidRDefault="00E07348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1010621B" w14:textId="5F905B3B" w:rsidR="00E07348" w:rsidRPr="0064355F" w:rsidRDefault="00E07348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4008D3D4" w14:textId="2DB34D59" w:rsidR="00E07348" w:rsidRPr="0064355F" w:rsidRDefault="00E07348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52AB274C" w14:textId="0B0F71E5" w:rsidR="00E07348" w:rsidRPr="0064355F" w:rsidRDefault="00E07348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6A910527" w14:textId="587F9464" w:rsidR="00E07348" w:rsidRPr="0064355F" w:rsidRDefault="00E07348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316C9765" w14:textId="2DF8DA14" w:rsidR="00E07348" w:rsidRPr="0064355F" w:rsidRDefault="00E07348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3ED309AE" w14:textId="41273EF0" w:rsidR="00E07348" w:rsidRPr="0064355F" w:rsidRDefault="00E07348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19A65827" w14:textId="1D909747" w:rsidR="00E07348" w:rsidRPr="0064355F" w:rsidRDefault="00E07348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4F0840BB" w14:textId="0AA819C8" w:rsidR="00E07348" w:rsidRPr="0064355F" w:rsidRDefault="00E07348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6DF1CAF2" w14:textId="70039614" w:rsidR="00E07348" w:rsidRPr="0064355F" w:rsidRDefault="00E07348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54A17A52" w14:textId="51DE7BC5" w:rsidR="00E07348" w:rsidRPr="0064355F" w:rsidRDefault="00E07348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5A9E5D33" w14:textId="77777777" w:rsidR="00371E9B" w:rsidRPr="0064355F" w:rsidRDefault="00371E9B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6FAE196A" w14:textId="77777777" w:rsidR="00371E9B" w:rsidRPr="0064355F" w:rsidRDefault="00371E9B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1A48163F" w14:textId="77777777" w:rsidR="00371E9B" w:rsidRPr="0064355F" w:rsidRDefault="00371E9B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043A8E96" w14:textId="77777777" w:rsidR="00371E9B" w:rsidRPr="0064355F" w:rsidRDefault="00371E9B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5F3F288E" w14:textId="1503B052" w:rsidR="00E07348" w:rsidRPr="0064355F" w:rsidRDefault="00E07348" w:rsidP="00C01014">
      <w:pPr>
        <w:rPr>
          <w:rFonts w:ascii="Times New Roman" w:hAnsi="Times New Roman" w:cs="Times New Roman"/>
          <w:b/>
          <w:sz w:val="28"/>
          <w:szCs w:val="24"/>
        </w:rPr>
      </w:pPr>
    </w:p>
    <w:p w14:paraId="4990005F" w14:textId="77777777" w:rsidR="00E07348" w:rsidRPr="0064355F" w:rsidRDefault="00E07348" w:rsidP="00C01014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924"/>
        <w:gridCol w:w="708"/>
        <w:gridCol w:w="756"/>
        <w:gridCol w:w="807"/>
        <w:gridCol w:w="807"/>
        <w:gridCol w:w="807"/>
        <w:gridCol w:w="845"/>
        <w:gridCol w:w="736"/>
        <w:gridCol w:w="833"/>
        <w:gridCol w:w="890"/>
        <w:gridCol w:w="4397"/>
      </w:tblGrid>
      <w:tr w:rsidR="00571EAF" w:rsidRPr="0064355F" w14:paraId="7106063C" w14:textId="77777777" w:rsidTr="008D6FAD">
        <w:trPr>
          <w:trHeight w:val="480"/>
        </w:trPr>
        <w:tc>
          <w:tcPr>
            <w:tcW w:w="330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60E073" w14:textId="77777777" w:rsidR="005201A5" w:rsidRPr="0064355F" w:rsidRDefault="00571EAF" w:rsidP="00571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lastRenderedPageBreak/>
              <w:t xml:space="preserve">PRAĆENJE SPROVOĐENJA </w:t>
            </w:r>
            <w:r w:rsidR="00036DAE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ZVSP</w:t>
            </w: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-A ZA PERIOD </w:t>
            </w:r>
            <w:r w:rsidR="007E6C13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2022.</w:t>
            </w: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-</w:t>
            </w:r>
            <w:r w:rsidR="007E6C13"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2025.</w:t>
            </w: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21FCCD3C" w14:textId="381568C3" w:rsidR="00571EAF" w:rsidRPr="0064355F" w:rsidRDefault="00571EAF" w:rsidP="00571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4355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STRATEŠKI CILJ 5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A3090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71EAF" w:rsidRPr="0064355F" w14:paraId="50095A7E" w14:textId="77777777" w:rsidTr="008D6FAD">
        <w:trPr>
          <w:trHeight w:val="780"/>
        </w:trPr>
        <w:tc>
          <w:tcPr>
            <w:tcW w:w="3303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F2A2ACE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SO5: ZAŠTITA I OSNAŽIVANJE POTROŠAČA 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8CFD0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FAD" w:rsidRPr="0064355F" w14:paraId="6D599336" w14:textId="77777777" w:rsidTr="008D6FAD">
        <w:trPr>
          <w:trHeight w:val="735"/>
        </w:trPr>
        <w:tc>
          <w:tcPr>
            <w:tcW w:w="1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1E17E40" w14:textId="02EF86E7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2B51500" w14:textId="5AA09325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Strateški i specifični ciljevi, </w:t>
            </w:r>
            <w:r w:rsidR="00EF1AF1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 akcije</w:t>
            </w:r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7F359DF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Osnovna vrednost</w:t>
            </w:r>
          </w:p>
        </w:tc>
        <w:tc>
          <w:tcPr>
            <w:tcW w:w="62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DCB94AE" w14:textId="202E2E29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Privremeni cilj</w:t>
            </w:r>
            <w:r w:rsidR="005201A5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E6C13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613BACA" w14:textId="5460C9E5" w:rsidR="00571EAF" w:rsidRPr="0064355F" w:rsidRDefault="005201A5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Prošlogodišnji cilj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2031.</w:t>
            </w:r>
          </w:p>
        </w:tc>
        <w:tc>
          <w:tcPr>
            <w:tcW w:w="949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DF1C096" w14:textId="2C2A33D3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Rezultat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5EEDE" w14:textId="6214DB9A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A1215" w:rsidRPr="0064355F" w14:paraId="74ECF05D" w14:textId="77777777" w:rsidTr="008D6FAD">
        <w:trPr>
          <w:trHeight w:val="31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717348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3131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B6063F4" w14:textId="6CA5D3E3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STRATEŠKI CILJ </w:t>
            </w:r>
            <w:r w:rsidR="005201A5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 ZAŠTITA I OSNAŽIVANJE POTROŠAČA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75676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6FAD" w:rsidRPr="0064355F" w14:paraId="71BD4920" w14:textId="77777777" w:rsidTr="008D6FAD">
        <w:trPr>
          <w:trHeight w:val="73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E179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C0D24" w14:textId="3D039734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Broj novih šema posvećenih potrošačima u nevolji.</w:t>
            </w:r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40FFA2" w14:textId="30BE96B0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J / A</w:t>
            </w:r>
          </w:p>
        </w:tc>
        <w:tc>
          <w:tcPr>
            <w:tcW w:w="6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9BD6B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94E33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089CFF3" w14:textId="3CB10F2C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B5374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FAD" w:rsidRPr="0064355F" w14:paraId="391C2C63" w14:textId="77777777" w:rsidTr="008D6FAD">
        <w:trPr>
          <w:trHeight w:val="121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B557A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ADEBF" w14:textId="0D62FD74" w:rsidR="00571EAF" w:rsidRPr="0064355F" w:rsidRDefault="006543EA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Broj programa koji podržavaju projekte energetske zajednice u efikasnosti i sopstvene potrošnje.</w:t>
            </w:r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400C6B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329463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&gt; 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710EF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&gt; 5</w:t>
            </w:r>
          </w:p>
        </w:tc>
        <w:tc>
          <w:tcPr>
            <w:tcW w:w="9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FD164B6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16352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1215" w:rsidRPr="0064355F" w14:paraId="6E843597" w14:textId="77777777" w:rsidTr="008D6FAD">
        <w:trPr>
          <w:trHeight w:val="31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DFA583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V.1</w:t>
            </w:r>
          </w:p>
        </w:tc>
        <w:tc>
          <w:tcPr>
            <w:tcW w:w="3131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DD5A60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Specifični cilj: Zaštita potrošača u nevolji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0C8CC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6FAD" w:rsidRPr="0064355F" w14:paraId="7272037F" w14:textId="77777777" w:rsidTr="008D6FAD">
        <w:trPr>
          <w:trHeight w:val="73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108C8E1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90F56A7" w14:textId="0EA948F5" w:rsidR="00571EAF" w:rsidRPr="0064355F" w:rsidRDefault="00EF1AF1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C7C0242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Osnovna vrednost </w:t>
            </w:r>
          </w:p>
        </w:tc>
        <w:tc>
          <w:tcPr>
            <w:tcW w:w="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C6F83A7" w14:textId="496F6639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Kratkoročni cilj </w:t>
            </w:r>
            <w:r w:rsidR="007E6C13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1A8A29" w14:textId="494912D0" w:rsidR="00571EAF" w:rsidRPr="0064355F" w:rsidRDefault="005201A5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Prošlogodišnji cilj</w:t>
            </w:r>
            <w:r w:rsidR="00391394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2031.</w:t>
            </w:r>
          </w:p>
        </w:tc>
        <w:tc>
          <w:tcPr>
            <w:tcW w:w="9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3347B3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25ACC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6FAD" w:rsidRPr="0064355F" w14:paraId="16A87536" w14:textId="77777777" w:rsidTr="008D6FAD">
        <w:trPr>
          <w:trHeight w:val="1455"/>
        </w:trPr>
        <w:tc>
          <w:tcPr>
            <w:tcW w:w="1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FD129B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BF82B8" w14:textId="29A1F9AC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Šema za podršku cena za potrošače u nevolji.</w:t>
            </w:r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306D8CF" w14:textId="1D66D943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Postojeća šema podrške (nije pravilno ciljana) [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62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8B862B9" w14:textId="45F40D9B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Uspostavljanje novog programa za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potrošače u nevolji.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B05821" w14:textId="3EBAD025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Šema zasnovana na testu siromaštva, povezana sa reformisanom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šemom socijalne pomoći.</w:t>
            </w:r>
          </w:p>
        </w:tc>
        <w:tc>
          <w:tcPr>
            <w:tcW w:w="9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C31CCD2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B5E2A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FAD" w:rsidRPr="0064355F" w14:paraId="412171F8" w14:textId="77777777" w:rsidTr="008D6FAD">
        <w:trPr>
          <w:trHeight w:val="315"/>
        </w:trPr>
        <w:tc>
          <w:tcPr>
            <w:tcW w:w="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A54726" w14:textId="212AE207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A74EEC" w14:textId="17ED0FA7" w:rsidR="00571EAF" w:rsidRPr="0064355F" w:rsidRDefault="00395B4E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Akcija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8BB6EE" w14:textId="5D42A033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Krajnji rok</w:t>
            </w:r>
          </w:p>
        </w:tc>
        <w:tc>
          <w:tcPr>
            <w:tcW w:w="12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DF5CAC3" w14:textId="5A6B8550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Budžet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706FE2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Izvor finansiranja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811128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Vodeća i prateća institucija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7C267D" w14:textId="3A028B3E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Proizvod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DD661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Reference u dokumentima</w:t>
            </w:r>
          </w:p>
        </w:tc>
        <w:tc>
          <w:tcPr>
            <w:tcW w:w="16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A29B01" w14:textId="02D4BC57" w:rsidR="00571EAF" w:rsidRPr="0064355F" w:rsidRDefault="00062B41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Napredak u </w:t>
            </w:r>
            <w:r w:rsidR="008D6FAD" w:rsidRPr="0064355F">
              <w:rPr>
                <w:rFonts w:ascii="Times New Roman" w:eastAsia="Times New Roman" w:hAnsi="Times New Roman" w:cs="Times New Roman"/>
                <w:b/>
                <w:bCs/>
              </w:rPr>
              <w:t>sprovođenju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 januar-jun </w:t>
            </w:r>
            <w:r w:rsidR="004A664A" w:rsidRPr="0064355F">
              <w:rPr>
                <w:rFonts w:ascii="Times New Roman" w:eastAsia="Times New Roman" w:hAnsi="Times New Roman" w:cs="Times New Roman"/>
                <w:b/>
                <w:bCs/>
              </w:rPr>
              <w:t>2025.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D6FAD" w:rsidRPr="0064355F">
              <w:rPr>
                <w:rFonts w:ascii="Times New Roman" w:eastAsia="Times New Roman" w:hAnsi="Times New Roman" w:cs="Times New Roman"/>
                <w:b/>
                <w:bCs/>
              </w:rPr>
              <w:t>godine</w:t>
            </w:r>
          </w:p>
        </w:tc>
      </w:tr>
      <w:tr w:rsidR="006A1215" w:rsidRPr="0064355F" w14:paraId="05E33AE6" w14:textId="77777777" w:rsidTr="008D6FAD">
        <w:trPr>
          <w:trHeight w:val="300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E138E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10DF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1C5B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6A3F5E" w14:textId="4562BDC7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0DBCBB" w14:textId="3434F37D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0E4BFE" w14:textId="046B7A2C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8624FD" w14:textId="25500E32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5F651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77DB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F55F5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18ED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1AB3F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6A1215" w:rsidRPr="0064355F" w14:paraId="56414896" w14:textId="77777777" w:rsidTr="008D6FAD">
        <w:trPr>
          <w:trHeight w:val="315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74711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E5C40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5CD80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19A7ED" w14:textId="5B472A59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4C15D4" w14:textId="4CF62376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EE1A9E" w14:textId="4D7A6FB0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7FE681" w14:textId="06AE8761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ACB2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0DE1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56F1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4023F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727DE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6A1215" w:rsidRPr="0064355F" w14:paraId="1F78DE24" w14:textId="77777777" w:rsidTr="008D6FAD">
        <w:trPr>
          <w:trHeight w:val="129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A93A3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V.1.1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E9254" w14:textId="2A0ABAB0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Podrška potrošačima u nevolji, kroz postojeće šeme podrške.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0909C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Godišnji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88053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€ 4,500,000.00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FA6D9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€ 4,500,000.00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0C39A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- 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CACA8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88E55" w14:textId="7AEC2C80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(CB).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2A2E6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Ministarstvo finansija, rada i transfera</w:t>
            </w:r>
          </w:p>
          <w:p w14:paraId="6AB942E5" w14:textId="113905CE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(MF</w:t>
            </w:r>
            <w:r w:rsidR="00E2495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T).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83A3C" w14:textId="5CF164F8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Godišnje šeme podrške.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EF0FA" w14:textId="403D3A5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Srednjoročni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rashodni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okvir za period 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4A664A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1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94A1B" w14:textId="42E186A7" w:rsidR="00BA03D5" w:rsidRPr="0064355F" w:rsidRDefault="00BA03D5" w:rsidP="0031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</w:t>
            </w:r>
            <w:r w:rsidR="00BA5858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Sto </w:t>
            </w:r>
            <w:r w:rsidR="008D6FAD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odsto</w:t>
            </w:r>
            <w:r w:rsidR="00BA5858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(100%)</w:t>
            </w:r>
          </w:p>
          <w:p w14:paraId="3E25F153" w14:textId="77777777" w:rsidR="00707868" w:rsidRPr="0064355F" w:rsidRDefault="00707868" w:rsidP="0031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29F9736" w14:textId="0409081F" w:rsidR="00C156C8" w:rsidRPr="0064355F" w:rsidRDefault="00C156C8" w:rsidP="0070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Ova šema je zamenjena Pilot programom za ugrožene potrošače koji je objašnjen u V.1.4.</w:t>
            </w:r>
          </w:p>
        </w:tc>
      </w:tr>
      <w:tr w:rsidR="006A1215" w:rsidRPr="0064355F" w14:paraId="7F5BED81" w14:textId="77777777" w:rsidTr="008D6FAD">
        <w:trPr>
          <w:trHeight w:val="133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ED7A7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V.1.2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D413EF" w14:textId="7DF9028A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Stvaranje nove šeme podrške za potrošače u nevolji.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D91D0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Godišnji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9FB82C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-  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94123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     - 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48453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€ 10,000,000.00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54F39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€ 10,000,000.00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D2D34" w14:textId="6F19316C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</w:t>
            </w:r>
            <w:r w:rsidR="00E2495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BK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BE227" w14:textId="77777777" w:rsidR="00C156C8" w:rsidRPr="0064355F" w:rsidRDefault="00C156C8" w:rsidP="00C1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FF032" w14:textId="31DBEBCA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Godišnje šeme podrške.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E9C15" w14:textId="321F4A7D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Srednjoročni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rashodni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okvir za period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4A664A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1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2BEE9" w14:textId="6E94B119" w:rsidR="00BA03D5" w:rsidRPr="0064355F" w:rsidRDefault="00BA03D5" w:rsidP="0031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</w:t>
            </w:r>
            <w:r w:rsidR="00707868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Sedamdeset odsto (70%)</w:t>
            </w:r>
          </w:p>
          <w:p w14:paraId="3A5ACD90" w14:textId="77777777" w:rsidR="00707868" w:rsidRPr="0064355F" w:rsidRDefault="00707868" w:rsidP="003108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CC6BD60" w14:textId="68116B8B" w:rsidR="00C156C8" w:rsidRPr="0064355F" w:rsidRDefault="00C156C8" w:rsidP="0070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Program podrške ugroženim potrošačima realizovan je na osnovu Odluke Vlade br. 06/224 od 11.10.</w:t>
            </w:r>
            <w:r w:rsidR="00D84D10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D6FAD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Odluke ministra br. 60/</w:t>
            </w:r>
            <w:r w:rsidR="007E6C13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 11.10.</w:t>
            </w:r>
            <w:r w:rsidR="00D84D10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D6FAD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 uslovima i kriterijumima za ostvarivanje koristi od programa zaštite ugroženih potrošača, kao deo dokumenta. 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Program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 ugrožene potrošače </w:t>
            </w:r>
            <w:r w:rsidR="007E6C13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7E6C13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dok će stvaranje nove šeme za ugrožene potrošače biti regulisano Nacrtom zakona o programima socijalne pomoći i socijalne zaštite.</w:t>
            </w:r>
          </w:p>
        </w:tc>
      </w:tr>
      <w:tr w:rsidR="006A1215" w:rsidRPr="0064355F" w14:paraId="2BFBDD0C" w14:textId="77777777" w:rsidTr="008D6FAD">
        <w:trPr>
          <w:trHeight w:val="190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361B5" w14:textId="77777777" w:rsidR="00E2495D" w:rsidRPr="0064355F" w:rsidRDefault="00E2495D" w:rsidP="00E2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V.1.3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B80955" w14:textId="2A2C68A8" w:rsidR="00E2495D" w:rsidRPr="0064355F" w:rsidRDefault="00E2495D" w:rsidP="00E2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Izrad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pet</w:t>
            </w:r>
            <w:r w:rsidR="00DB6408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ogodišnjeg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(5) program</w:t>
            </w:r>
            <w:r w:rsidR="00DB6408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 zaštitu potrošača u nevolji.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4B0500" w14:textId="13D42674" w:rsidR="00E2495D" w:rsidRPr="0064355F" w:rsidRDefault="00E2495D" w:rsidP="00E2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2023./2024.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0BCC68" w14:textId="77777777" w:rsidR="00E2495D" w:rsidRPr="0064355F" w:rsidRDefault="00E2495D" w:rsidP="00E2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-   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D91D7" w14:textId="501D3AF9" w:rsidR="00E2495D" w:rsidRPr="0064355F" w:rsidRDefault="00E2495D" w:rsidP="00E2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10,000.00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C0B9B3" w14:textId="77777777" w:rsidR="00E2495D" w:rsidRPr="0064355F" w:rsidRDefault="00E2495D" w:rsidP="00E2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-  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A0E4A3" w14:textId="77777777" w:rsidR="00E2495D" w:rsidRPr="0064355F" w:rsidRDefault="00E2495D" w:rsidP="00E2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702E88" w14:textId="77777777" w:rsidR="00E2495D" w:rsidRPr="0064355F" w:rsidRDefault="00E2495D" w:rsidP="00E2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Donatori</w:t>
            </w: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1823" w14:textId="77777777" w:rsidR="00E2495D" w:rsidRPr="0064355F" w:rsidRDefault="00E2495D" w:rsidP="00E2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C8AC97" w14:textId="22677709" w:rsidR="00E2495D" w:rsidRPr="0064355F" w:rsidRDefault="00DB6408" w:rsidP="00E2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Izrada</w:t>
            </w:r>
            <w:r w:rsidR="00E2495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odobravanje programa za potrošače u nevolji.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91E756" w14:textId="4D59175D" w:rsidR="00E2495D" w:rsidRPr="0064355F" w:rsidRDefault="00E2495D" w:rsidP="00E2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</w:p>
        </w:tc>
        <w:tc>
          <w:tcPr>
            <w:tcW w:w="1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B3327" w14:textId="307EF256" w:rsidR="00E2495D" w:rsidRPr="0064355F" w:rsidRDefault="00E2495D" w:rsidP="00E249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Sto </w:t>
            </w:r>
            <w:r w:rsidR="008D6FAD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odsto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(100%)</w:t>
            </w:r>
          </w:p>
          <w:p w14:paraId="3E6D52E3" w14:textId="77777777" w:rsidR="00E2495D" w:rsidRPr="0064355F" w:rsidRDefault="00E2495D" w:rsidP="00E249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66496DA" w14:textId="78AE7E1B" w:rsidR="00E2495D" w:rsidRPr="0064355F" w:rsidRDefault="00E2495D" w:rsidP="00E2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Program ugroženih  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potrošača za 2024.-2025. godinu je pripremljen i odo</w:t>
            </w:r>
            <w:r w:rsidR="003B715B" w:rsidRPr="0064355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6A121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3B715B" w:rsidRPr="0064355F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, a što se tiče </w:t>
            </w:r>
            <w:r w:rsidR="003B715B" w:rsidRPr="0064355F">
              <w:rPr>
                <w:rFonts w:ascii="Times New Roman" w:hAnsi="Times New Roman" w:cs="Times New Roman"/>
                <w:sz w:val="18"/>
                <w:szCs w:val="18"/>
              </w:rPr>
              <w:t>izrade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petogodišnjeg (5) godišnjeg programa, to će sigurno biti realizovano nakon usvajanja zakonskog okvira koji će reguli</w:t>
            </w:r>
            <w:r w:rsidR="006A1215">
              <w:rPr>
                <w:rFonts w:ascii="Times New Roman" w:hAnsi="Times New Roman" w:cs="Times New Roman"/>
                <w:sz w:val="18"/>
                <w:szCs w:val="18"/>
              </w:rPr>
              <w:t>sati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procedure i kriterijume za subvencionisanje električne energije za ugrožene potrošače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64355F">
              <w:rPr>
                <w:color w:val="000000" w:themeColor="text1"/>
              </w:rPr>
              <w:t xml:space="preserve"> </w:t>
            </w:r>
          </w:p>
        </w:tc>
      </w:tr>
      <w:tr w:rsidR="006A1215" w:rsidRPr="0064355F" w14:paraId="70E489B0" w14:textId="77777777" w:rsidTr="008D6FAD">
        <w:trPr>
          <w:trHeight w:val="3103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BE382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V.1.4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33DD5F" w14:textId="47C80FFE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Izrada i </w:t>
            </w:r>
            <w:r w:rsidR="00BA0F21">
              <w:rPr>
                <w:rFonts w:ascii="Times New Roman" w:eastAsia="Times New Roman" w:hAnsi="Times New Roman" w:cs="Times New Roman"/>
                <w:sz w:val="18"/>
                <w:szCs w:val="18"/>
              </w:rPr>
              <w:t>odobrenje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jednog (1) godišnjeg programa za sprovođenje mera za podršku potrošačima u nevolji.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C07C1F" w14:textId="2D783888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669FC9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-   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C927F" w14:textId="3F40A622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10,000.00 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5CFFFC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-   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D5251E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FD96B6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EU IPA fondovi</w:t>
            </w: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BA167" w14:textId="77777777" w:rsidR="00DB6408" w:rsidRPr="0064355F" w:rsidRDefault="00DB6408" w:rsidP="00DB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BBCBBB" w14:textId="7598B43C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Jedanogodišnji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(1) godišnji izrađen i </w:t>
            </w:r>
            <w:r w:rsidR="006A1215">
              <w:rPr>
                <w:rFonts w:ascii="Times New Roman" w:eastAsia="Times New Roman" w:hAnsi="Times New Roman" w:cs="Times New Roman"/>
                <w:sz w:val="18"/>
                <w:szCs w:val="18"/>
              </w:rPr>
              <w:t>odobren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837A36" w14:textId="06F2843C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Odluka ministra o formiranju Radne grupe (GP).</w:t>
            </w:r>
          </w:p>
        </w:tc>
        <w:tc>
          <w:tcPr>
            <w:tcW w:w="1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67E47" w14:textId="1F7DE1A5" w:rsidR="00DB6408" w:rsidRPr="0064355F" w:rsidRDefault="00DB6408" w:rsidP="00DB64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Sto </w:t>
            </w:r>
            <w:r w:rsidR="008D6FAD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odsto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(100%)</w:t>
            </w:r>
          </w:p>
          <w:p w14:paraId="24256817" w14:textId="3F908FE3" w:rsidR="00DB6408" w:rsidRPr="0064355F" w:rsidRDefault="00DB6408" w:rsidP="00DB64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40F422B6" w14:textId="4E34E17D" w:rsidR="00DB6408" w:rsidRPr="0064355F" w:rsidRDefault="00DB6408" w:rsidP="00DB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Program ugroženih potrošača za 2024.-2025. počeo je da se sprovodi od oktobra 2024. godine. 90,977 porodica je imalo koristi od ovog programa (mart-2025.). Prema ovom programu, u vidu subvencionisanja iznosa mesečnog plaćanja računa za električnu energiju, domaćinstva su imala koristi na osnovu nivoa prihoda i definisanog limita finansijskih prihoda definisanih u programu i MF</w:t>
            </w:r>
            <w:r w:rsidR="003B715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 Odluci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A1215" w:rsidRPr="0064355F" w14:paraId="200C7A7E" w14:textId="77777777" w:rsidTr="008D6FAD">
        <w:trPr>
          <w:trHeight w:val="1935"/>
        </w:trPr>
        <w:tc>
          <w:tcPr>
            <w:tcW w:w="1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832285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V.1.5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3D00C46" w14:textId="521ED064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Podrška kroz subvencionisanje dela računa za korisnike socijalnih i penzionih programa, kao i porodice odabrane kroz formalnu testiranu šemu.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73CFF7" w14:textId="1E902D20" w:rsidR="00C156C8" w:rsidRPr="0064355F" w:rsidRDefault="007E6C13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FE1E35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-   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9AB2D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€ 20,000,000.00 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88A19B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-   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ACA35A" w14:textId="7777777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03B10D" w14:textId="77777777" w:rsidR="00C156C8" w:rsidRPr="0064355F" w:rsidRDefault="00C156C8" w:rsidP="00C5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EU IPA fondovi</w:t>
            </w: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C1525" w14:textId="77777777" w:rsidR="00C156C8" w:rsidRPr="0064355F" w:rsidRDefault="00C156C8" w:rsidP="00C1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B3E29D" w14:textId="01071AF7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Broj porodica kojima je potrebna pomoć podržan direktnim subvencijama (200.000 korisnika).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098764" w14:textId="64A3F551" w:rsidR="00C156C8" w:rsidRPr="0064355F" w:rsidRDefault="00C156C8" w:rsidP="00C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Masa 1. Akcioni plan – Ublažavanje neposrednog društveno-ekonomskog uticaja energetske krize.</w:t>
            </w:r>
          </w:p>
        </w:tc>
        <w:tc>
          <w:tcPr>
            <w:tcW w:w="1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BBF74" w14:textId="16C8DABD" w:rsidR="00C156C8" w:rsidRPr="0064355F" w:rsidRDefault="00C52BB3" w:rsidP="00C52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Uključen je u </w:t>
            </w:r>
            <w:r w:rsidR="003B715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okviru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Akcij</w:t>
            </w:r>
            <w:r w:rsidR="003B715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1.4.</w:t>
            </w:r>
          </w:p>
        </w:tc>
      </w:tr>
      <w:tr w:rsidR="006A1215" w:rsidRPr="0064355F" w14:paraId="7EC0DE0F" w14:textId="77777777" w:rsidTr="008D6FAD">
        <w:trPr>
          <w:trHeight w:val="1455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3F3D7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V.1.6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6E3E33" w14:textId="032D5C18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Podrška kroz subvencionisanje alternativnih metoda (drvo i peleti) za potrebe grejanja za ugrožene grupe.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54DBC1" w14:textId="0FC00BF2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7F61EB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-   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C2FF0" w14:textId="160209A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5,000,000.00 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27F38A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-   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5B6B772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A860BE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EU IPA fondovi</w:t>
            </w: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401B6" w14:textId="77777777" w:rsidR="00DB6408" w:rsidRPr="0064355F" w:rsidRDefault="00DB6408" w:rsidP="00DB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126ECC" w14:textId="49F0BAA8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Broj porodica kojima je potrebna pomoć (10.000 porodica).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314D1F" w14:textId="3335A768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Masa 1. Akcioni plan – Ublažavanje neposrednog društveno-ekonomskog uticaja energetske krize.</w:t>
            </w:r>
          </w:p>
        </w:tc>
        <w:tc>
          <w:tcPr>
            <w:tcW w:w="1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B37D8" w14:textId="746052DF" w:rsidR="00DB6408" w:rsidRPr="0064355F" w:rsidRDefault="00DB6408" w:rsidP="00DB64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Sto </w:t>
            </w:r>
            <w:r w:rsidR="003B715B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odsto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(100%)</w:t>
            </w:r>
          </w:p>
          <w:p w14:paraId="14506271" w14:textId="3A540595" w:rsidR="00DB6408" w:rsidRPr="0064355F" w:rsidRDefault="00DB6408" w:rsidP="00DB64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</w:p>
          <w:p w14:paraId="40685CE7" w14:textId="6FBCA5D3" w:rsidR="00DB6408" w:rsidRPr="0064355F" w:rsidRDefault="00DB6408" w:rsidP="00DB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Završen je 2023. </w:t>
            </w:r>
            <w:r w:rsidR="003B715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oko 20.000 porodica imalo je koristi od subvencionisane socijalne pomoći. </w:t>
            </w:r>
          </w:p>
        </w:tc>
      </w:tr>
      <w:tr w:rsidR="006A1215" w:rsidRPr="0064355F" w14:paraId="1832336A" w14:textId="77777777" w:rsidTr="008D6FAD">
        <w:trPr>
          <w:trHeight w:val="5974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3E4FA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V.1.7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08563" w14:textId="287AA4D8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Podrška domaćinstvima kroz subvenciju računa za struju tekućeg meseca, na osnovu procenta uštede energije koju su ostvarili u odnosu na isti mesec prethodne godine.</w:t>
            </w:r>
          </w:p>
          <w:p w14:paraId="5C01E64E" w14:textId="6202E154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8B513F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A7DB46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ED42A3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68D04B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88C37E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FF3725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C840A2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442AA7" w14:textId="33F3386B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52EB8" w14:textId="31DD33A1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E31D2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-   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A0B1F" w14:textId="4DA15742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15,000,000.00 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98931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          -   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0EA0E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FD8FA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EU IPA fondovi</w:t>
            </w: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3CA02" w14:textId="77777777" w:rsidR="00DB6408" w:rsidRPr="0064355F" w:rsidRDefault="00DB6408" w:rsidP="00DB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99633" w14:textId="2C56F08D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Broj domaćinstava podržanih kroz uštedu energije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41CCF" w14:textId="11799A9F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Masa 1. Akcioni plan – Ublažavanje neposrednog društveno-ekonomskog uticaja energetske krize.</w:t>
            </w:r>
          </w:p>
        </w:tc>
        <w:tc>
          <w:tcPr>
            <w:tcW w:w="1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39A73" w14:textId="4FAAD3D1" w:rsidR="00DB6408" w:rsidRPr="0064355F" w:rsidRDefault="00DB6408" w:rsidP="00DB64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Sto </w:t>
            </w:r>
            <w:r w:rsidR="003B715B"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odsto</w:t>
            </w:r>
            <w:r w:rsidRPr="0064355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(100%)</w:t>
            </w:r>
          </w:p>
          <w:p w14:paraId="2778AC7C" w14:textId="4A63F137" w:rsidR="00DB6408" w:rsidRPr="0064355F" w:rsidRDefault="00DB6408" w:rsidP="00DB640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421BD3" w14:textId="12BD3E47" w:rsidR="00DB6408" w:rsidRPr="0064355F" w:rsidRDefault="00DB6408" w:rsidP="00DB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Bio je aktivan između oktobra 2022. i aprila 2023. </w:t>
            </w:r>
            <w:r w:rsidR="003B715B" w:rsidRPr="0064355F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odin</w:t>
            </w:r>
            <w:r w:rsidR="003B715B" w:rsidRPr="0064355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, gde je oko 300.000 porodica imalo koristi.</w:t>
            </w:r>
          </w:p>
        </w:tc>
      </w:tr>
      <w:tr w:rsidR="006A1215" w:rsidRPr="0064355F" w14:paraId="2A82E7AD" w14:textId="77777777" w:rsidTr="008D6FAD">
        <w:trPr>
          <w:trHeight w:val="31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EB211A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V.2</w:t>
            </w:r>
          </w:p>
        </w:tc>
        <w:tc>
          <w:tcPr>
            <w:tcW w:w="313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61DA1B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Specifični cilj: Osnaživanje potrošača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91AB7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6FAD" w:rsidRPr="0064355F" w14:paraId="797B62F5" w14:textId="77777777" w:rsidTr="008D6FAD">
        <w:trPr>
          <w:trHeight w:val="73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AFEA1CC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5921A08" w14:textId="0A868054" w:rsidR="00571EAF" w:rsidRPr="0064355F" w:rsidRDefault="00EF1AF1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0FD4F6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Osnovna vrednost </w:t>
            </w:r>
          </w:p>
        </w:tc>
        <w:tc>
          <w:tcPr>
            <w:tcW w:w="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0DB88CB" w14:textId="1B9B91B3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Kratkoročni cilj </w:t>
            </w:r>
            <w:r w:rsidR="007E6C13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1BA8F0" w14:textId="3EBF1A3D" w:rsidR="00571EAF" w:rsidRPr="0064355F" w:rsidRDefault="00DB640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Prošlogodišnji cilj</w:t>
            </w:r>
            <w:r w:rsidR="00391394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2031.</w:t>
            </w:r>
          </w:p>
        </w:tc>
        <w:tc>
          <w:tcPr>
            <w:tcW w:w="9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2CED2F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3F06D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6FAD" w:rsidRPr="0064355F" w14:paraId="1F3B3A84" w14:textId="77777777" w:rsidTr="008D6FAD">
        <w:trPr>
          <w:trHeight w:val="73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0374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59CBF" w14:textId="3C8CFABA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Sprovođenje energetskih kampanja za podizanje svesti i informisanje.</w:t>
            </w:r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C7B3231" w14:textId="3FFEB03E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6 [</w:t>
            </w:r>
            <w:r w:rsidR="007E6C13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2021.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6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D413D5F" w14:textId="5272CCFB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svake </w:t>
            </w:r>
            <w:r w:rsidR="000B54FC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C2880" w14:textId="4A4C4298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svake </w:t>
            </w:r>
            <w:r w:rsidR="000B54FC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godine</w:t>
            </w:r>
          </w:p>
        </w:tc>
        <w:tc>
          <w:tcPr>
            <w:tcW w:w="9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B0A78D0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993E3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FAD" w:rsidRPr="0064355F" w14:paraId="6AAAC776" w14:textId="77777777" w:rsidTr="008D6FAD">
        <w:trPr>
          <w:trHeight w:val="121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0A5A2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EFCDC" w14:textId="03CEB11D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Raznoli</w:t>
            </w:r>
            <w:r w:rsidR="00DB6408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kost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uporedivost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usluga koje se pružaju potrošačima.</w:t>
            </w:r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CD768ED" w14:textId="0B376040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Nema dostupnih ponuda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.</w:t>
            </w:r>
          </w:p>
        </w:tc>
        <w:tc>
          <w:tcPr>
            <w:tcW w:w="6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EE1203E" w14:textId="6186B978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Lansiranje alata za poređenje cena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854D4A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EC3AF" w14:textId="49CBDAAD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Alternativne ponude dostupne svim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potrošačima.</w:t>
            </w:r>
          </w:p>
        </w:tc>
        <w:tc>
          <w:tcPr>
            <w:tcW w:w="9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C6169F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EA9F4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FAD" w:rsidRPr="0064355F" w14:paraId="7B35F1B3" w14:textId="77777777" w:rsidTr="008D6FAD">
        <w:trPr>
          <w:trHeight w:val="315"/>
        </w:trPr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B2E132" w14:textId="49DFFC48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760126" w14:textId="0EB3A055" w:rsidR="00571EAF" w:rsidRPr="0064355F" w:rsidRDefault="00395B4E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Akcija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16DB4E" w14:textId="491D0660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Krajnji rok</w:t>
            </w:r>
          </w:p>
        </w:tc>
        <w:tc>
          <w:tcPr>
            <w:tcW w:w="12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E82AA2" w14:textId="3E19D4A4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Budžet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B866E4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Izvor finansiranja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4FEABB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Vodeća i prateća institucija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ECE0B9" w14:textId="5A83F654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Proizvod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75FC69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Reference u dokumentima</w:t>
            </w:r>
          </w:p>
        </w:tc>
        <w:tc>
          <w:tcPr>
            <w:tcW w:w="16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6134DE" w14:textId="02C23740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Napredak u </w:t>
            </w:r>
            <w:r w:rsidR="003B715B" w:rsidRPr="0064355F">
              <w:rPr>
                <w:rFonts w:ascii="Times New Roman" w:eastAsia="Times New Roman" w:hAnsi="Times New Roman" w:cs="Times New Roman"/>
                <w:b/>
                <w:bCs/>
              </w:rPr>
              <w:t>sprovođenju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 januar - jun </w:t>
            </w:r>
            <w:r w:rsidR="004A664A" w:rsidRPr="0064355F">
              <w:rPr>
                <w:rFonts w:ascii="Times New Roman" w:eastAsia="Times New Roman" w:hAnsi="Times New Roman" w:cs="Times New Roman"/>
                <w:b/>
                <w:bCs/>
              </w:rPr>
              <w:t>2025.</w:t>
            </w:r>
            <w:r w:rsidR="003B715B"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 godine</w:t>
            </w:r>
          </w:p>
        </w:tc>
      </w:tr>
      <w:tr w:rsidR="006A1215" w:rsidRPr="0064355F" w14:paraId="6F5702FE" w14:textId="77777777" w:rsidTr="008D6FAD">
        <w:trPr>
          <w:trHeight w:val="300"/>
        </w:trPr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640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922A9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3825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5D02E0" w14:textId="0732EBB8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44242B" w14:textId="076CC2E5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2C4276" w14:textId="53AAB535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FE9597" w14:textId="4A8350BD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D8AD6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40A6E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1243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7D87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7BEFE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6A1215" w:rsidRPr="0064355F" w14:paraId="607DE2BB" w14:textId="77777777" w:rsidTr="008D6FAD">
        <w:trPr>
          <w:trHeight w:val="315"/>
        </w:trPr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AB99D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FB93E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24714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EDB604" w14:textId="7F849D59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C72B9" w14:textId="18BA2B2A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79F0AF" w14:textId="282A4D8B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133C5E" w14:textId="5835741B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FD75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4DB60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0E99B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EE9B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864BF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6A1215" w:rsidRPr="0064355F" w14:paraId="57599D88" w14:textId="77777777" w:rsidTr="008D6FAD">
        <w:trPr>
          <w:trHeight w:val="14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FF6C6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V.2.1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AF7C6" w14:textId="231C55DE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Kreiranje zakonodavstva o alatu za poređenje cena, sa detaljnim uputstvima o informacijama koje će biti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pružene u alatu.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04BB5" w14:textId="382ECA1D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2023.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5445C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- 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C3C97" w14:textId="1AB99753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20,000.00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D250E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      - 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34668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0BFBA" w14:textId="77777777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Donatori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8020A" w14:textId="49FED3DE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RUE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2E756" w14:textId="0C96322F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Zakonski okvir omogućava razvoj alata za poređenje cena.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1C6CE" w14:textId="73E8DC91" w:rsidR="00DB6408" w:rsidRPr="0064355F" w:rsidRDefault="00DB6408" w:rsidP="00DB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A48A47" w14:textId="0455FD4E" w:rsidR="00DB6408" w:rsidRPr="0064355F" w:rsidRDefault="00DB6408" w:rsidP="00DB64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4355F" w:rsidRPr="0064355F" w14:paraId="6035BB87" w14:textId="77777777" w:rsidTr="008D6FAD">
        <w:trPr>
          <w:trHeight w:val="73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D5F26" w14:textId="77777777" w:rsidR="000B54FC" w:rsidRPr="0064355F" w:rsidRDefault="000B54FC" w:rsidP="000B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V.2.2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7E821" w14:textId="77777777" w:rsidR="000B54FC" w:rsidRPr="0064355F" w:rsidRDefault="000B54FC" w:rsidP="000B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Razvoj alata za upoređivanje cena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12416" w14:textId="59C7CE04" w:rsidR="000B54FC" w:rsidRPr="0064355F" w:rsidRDefault="000B54FC" w:rsidP="000B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241A0" w14:textId="77777777" w:rsidR="000B54FC" w:rsidRPr="0064355F" w:rsidRDefault="000B54FC" w:rsidP="000B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- 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C649A" w14:textId="16A3161D" w:rsidR="000B54FC" w:rsidRPr="0064355F" w:rsidRDefault="000B54FC" w:rsidP="000B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7,000.00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C3ABE" w14:textId="77777777" w:rsidR="000B54FC" w:rsidRPr="0064355F" w:rsidRDefault="000B54FC" w:rsidP="000B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         - 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659D9" w14:textId="77777777" w:rsidR="000B54FC" w:rsidRPr="0064355F" w:rsidRDefault="000B54FC" w:rsidP="000B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   -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1B6F7" w14:textId="216EE1DF" w:rsidR="000B54FC" w:rsidRPr="0064355F" w:rsidRDefault="000B54FC" w:rsidP="000B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Donatori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51977" w14:textId="2C240087" w:rsidR="000B54FC" w:rsidRPr="0064355F" w:rsidRDefault="000B54FC" w:rsidP="000B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RUE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ECE43" w14:textId="2B0EF22E" w:rsidR="000B54FC" w:rsidRPr="0064355F" w:rsidRDefault="000B54FC" w:rsidP="000B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Potpuno funkcionalan alat za poređenje cena.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BA6A0" w14:textId="2AD78375" w:rsidR="000B54FC" w:rsidRPr="0064355F" w:rsidRDefault="000B54FC" w:rsidP="000B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Energetska strategija za period 2022.-2031.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40A23" w14:textId="74AB6431" w:rsidR="000B54FC" w:rsidRPr="0064355F" w:rsidRDefault="000B54FC" w:rsidP="000B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Pedeset odsto (50%)</w:t>
            </w:r>
          </w:p>
        </w:tc>
      </w:tr>
      <w:tr w:rsidR="006A1215" w:rsidRPr="0064355F" w14:paraId="092BAE6E" w14:textId="77777777" w:rsidTr="008D6FAD">
        <w:trPr>
          <w:trHeight w:val="31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68099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V.3</w:t>
            </w:r>
          </w:p>
        </w:tc>
        <w:tc>
          <w:tcPr>
            <w:tcW w:w="3131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443CF2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Specifični cilj: Očuvanje zdravlja ljudi i životne sredine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2E302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6FAD" w:rsidRPr="0064355F" w14:paraId="5046B2F0" w14:textId="77777777" w:rsidTr="008D6FAD">
        <w:trPr>
          <w:trHeight w:val="73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BCF583F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C796220" w14:textId="44C301E7" w:rsidR="00571EAF" w:rsidRPr="0064355F" w:rsidRDefault="00EF1AF1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Pokazatelj</w:t>
            </w:r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7B61535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Osnovna vrednost </w:t>
            </w:r>
          </w:p>
        </w:tc>
        <w:tc>
          <w:tcPr>
            <w:tcW w:w="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F5852D8" w14:textId="376A10E6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Kratkoročni cilj </w:t>
            </w:r>
            <w:r w:rsidR="007E6C13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6EF1F9" w14:textId="22F22B44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Cilj prošle godine </w:t>
            </w:r>
            <w:r w:rsidR="00D84D10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2031.</w:t>
            </w:r>
          </w:p>
        </w:tc>
        <w:tc>
          <w:tcPr>
            <w:tcW w:w="9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45BE91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C83BD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6FAD" w:rsidRPr="0064355F" w14:paraId="1565F703" w14:textId="77777777" w:rsidTr="008D6FAD">
        <w:trPr>
          <w:trHeight w:val="2655"/>
        </w:trPr>
        <w:tc>
          <w:tcPr>
            <w:tcW w:w="1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4B93C1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570228A" w14:textId="2A5CE626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Prašina,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r w:rsidR="008D6FA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SO₂ emisije elektrana na lignit.</w:t>
            </w:r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14:paraId="79E9D049" w14:textId="194D6CE9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="008D6FAD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"Kosovo B":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Prašina: preko 300 mg / Nm³,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r w:rsidR="008D6FA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: preko 500 mg / Nm³SO₂: preko 600 mg / Nm³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="008D6FAD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"Kosovo A":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Prašina: preko 50 mg / Nm³,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r w:rsidR="008D6FA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: preko 600 mg / Nm³SO₂: preko 600 mg / Nm³</w:t>
            </w:r>
          </w:p>
        </w:tc>
        <w:tc>
          <w:tcPr>
            <w:tcW w:w="62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14:paraId="752F158C" w14:textId="66191B89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="008D6FAD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"Kosovo B2":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Prašina: 20 mg/ Nm³,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r w:rsidR="008D6FA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: 200 mg/ Nm³, SO₂: 600 mg/ Nm³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="008D6FAD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"Kosovo B1":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Prašina: preko 300 mg/ Nm³,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r w:rsidR="008D6FA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: preko 500 mg/ Nm³, SO₂: preko 600 mg/ Nm³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="008D6FAD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"Kosovo A3":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Prašina: 20 mg/ Nm³,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r w:rsidR="008D6FA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: preko 200 mg/ Nm³, SO₂: preko 200 mg/ Nm³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="008D6FAD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"Kosovo A4 &amp; A5":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 prašinu:  preko 50 mg / Nm³,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r w:rsidR="008D6FA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: preko 600 mg / Nm³, SO₂: preko 600 mg / Nm³</w:t>
            </w:r>
          </w:p>
          <w:p w14:paraId="6F085BAA" w14:textId="77777777" w:rsidR="00DA3784" w:rsidRPr="0064355F" w:rsidRDefault="00DA378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C503225" w14:textId="77777777" w:rsidR="00DA3784" w:rsidRPr="0064355F" w:rsidRDefault="00DA378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94243F" w14:textId="77777777" w:rsidR="00DA3784" w:rsidRPr="0064355F" w:rsidRDefault="00DA378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6E31C9D" w14:textId="77777777" w:rsidR="00DA3784" w:rsidRPr="0064355F" w:rsidRDefault="00DA378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92DAA2" w14:textId="77777777" w:rsidR="00DA3784" w:rsidRPr="0064355F" w:rsidRDefault="00DA378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91CE3D" w14:textId="77777777" w:rsidR="00DA3784" w:rsidRPr="0064355F" w:rsidRDefault="00DA378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61D1E51" w14:textId="77777777" w:rsidR="00DA3784" w:rsidRPr="0064355F" w:rsidRDefault="00DA378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8C7675" w14:textId="77777777" w:rsidR="00DA3784" w:rsidRPr="0064355F" w:rsidRDefault="00DA378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E87DA7" w14:textId="56210A14" w:rsidR="00DA3784" w:rsidRPr="0064355F" w:rsidRDefault="00DA378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4DB67B3" w14:textId="6BBE82E9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</w:t>
            </w:r>
            <w:r w:rsidR="008D6FAD"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"Kosovo B":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Prah: 20 mg/ Nm³NO</w:t>
            </w:r>
            <w:r w:rsidR="008D6FA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200 mg/ Nm³SO₂: 200 mg/ Nm³TC 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"Kosovo A":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Prah: 20 mg/ Nm³NO</w:t>
            </w:r>
            <w:r w:rsidR="008D6FAD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: 200 mg/ Nm³SO₂: 200 mg/ Nm³</w:t>
            </w:r>
          </w:p>
          <w:p w14:paraId="72CCF62E" w14:textId="77777777" w:rsidR="00013F4C" w:rsidRPr="0064355F" w:rsidRDefault="00013F4C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FE11A6" w14:textId="77777777" w:rsidR="00013F4C" w:rsidRPr="0064355F" w:rsidRDefault="00013F4C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22BD4E" w14:textId="77777777" w:rsidR="00013F4C" w:rsidRPr="0064355F" w:rsidRDefault="00013F4C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C73A50" w14:textId="77777777" w:rsidR="00013F4C" w:rsidRPr="0064355F" w:rsidRDefault="00013F4C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46F07F" w14:textId="77777777" w:rsidR="00013F4C" w:rsidRPr="0064355F" w:rsidRDefault="00013F4C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C566E4" w14:textId="77777777" w:rsidR="00013F4C" w:rsidRPr="0064355F" w:rsidRDefault="00013F4C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00381A" w14:textId="77777777" w:rsidR="00013F4C" w:rsidRPr="0064355F" w:rsidRDefault="00013F4C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5BC514" w14:textId="77777777" w:rsidR="00013F4C" w:rsidRPr="0064355F" w:rsidRDefault="00013F4C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293056" w14:textId="057512B8" w:rsidR="00013F4C" w:rsidRPr="0064355F" w:rsidRDefault="00013F4C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22FFD5A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742AF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FAD" w:rsidRPr="0064355F" w14:paraId="76317479" w14:textId="77777777" w:rsidTr="008D6FAD">
        <w:trPr>
          <w:trHeight w:val="315"/>
        </w:trPr>
        <w:tc>
          <w:tcPr>
            <w:tcW w:w="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C1F3DA" w14:textId="558B2AD4" w:rsidR="00571EAF" w:rsidRPr="0064355F" w:rsidRDefault="006A5188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B4A9CB" w14:textId="44DE252D" w:rsidR="00571EAF" w:rsidRPr="0064355F" w:rsidRDefault="00395B4E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Akcija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E2A20C" w14:textId="4F775147" w:rsidR="00571EAF" w:rsidRPr="0064355F" w:rsidRDefault="00391394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Krajnji rok</w:t>
            </w:r>
          </w:p>
        </w:tc>
        <w:tc>
          <w:tcPr>
            <w:tcW w:w="12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6F5CE8" w14:textId="05F3E471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Budžet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4C131D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Izvor finansiranja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86096A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Vodeća i prateća institucija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240518" w14:textId="46CFB594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Proizvod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E43E8B" w14:textId="77777777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Reference u dokumentima</w:t>
            </w:r>
          </w:p>
        </w:tc>
        <w:tc>
          <w:tcPr>
            <w:tcW w:w="16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3FFF4A" w14:textId="7CDA8E7B" w:rsidR="00571EAF" w:rsidRPr="0064355F" w:rsidRDefault="00571EAF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Napredak u </w:t>
            </w:r>
            <w:r w:rsidR="003B715B" w:rsidRPr="0064355F">
              <w:rPr>
                <w:rFonts w:ascii="Times New Roman" w:eastAsia="Times New Roman" w:hAnsi="Times New Roman" w:cs="Times New Roman"/>
                <w:b/>
                <w:bCs/>
              </w:rPr>
              <w:t>sprovođenju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 januar-jun </w:t>
            </w:r>
            <w:r w:rsidR="004A664A" w:rsidRPr="0064355F">
              <w:rPr>
                <w:rFonts w:ascii="Times New Roman" w:eastAsia="Times New Roman" w:hAnsi="Times New Roman" w:cs="Times New Roman"/>
                <w:b/>
                <w:bCs/>
              </w:rPr>
              <w:t>2025.</w:t>
            </w:r>
            <w:r w:rsidRPr="0064355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B715B" w:rsidRPr="0064355F">
              <w:rPr>
                <w:rFonts w:ascii="Times New Roman" w:eastAsia="Times New Roman" w:hAnsi="Times New Roman" w:cs="Times New Roman"/>
                <w:b/>
                <w:bCs/>
              </w:rPr>
              <w:t>godine</w:t>
            </w:r>
          </w:p>
        </w:tc>
      </w:tr>
      <w:tr w:rsidR="006A1215" w:rsidRPr="0064355F" w14:paraId="0E06F9B3" w14:textId="77777777" w:rsidTr="008D6FAD">
        <w:trPr>
          <w:trHeight w:val="300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E47CE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5A1CB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CE187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24F0C0" w14:textId="1ED85EB6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34E791" w14:textId="007F0988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A47C25" w14:textId="4207165D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3B6272" w14:textId="69ED2D9F" w:rsidR="00571EAF" w:rsidRPr="0064355F" w:rsidRDefault="00D84D10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C8270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4C00F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8A9DB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92F6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CF530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6A1215" w:rsidRPr="0064355F" w14:paraId="784A13A0" w14:textId="77777777" w:rsidTr="008D6FAD">
        <w:trPr>
          <w:trHeight w:val="315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5F18A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006BC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F3EB3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954227" w14:textId="280CC36C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17A5F0" w14:textId="1FFB1FD1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45C4DF" w14:textId="29065049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9E934C" w14:textId="2BBBF429" w:rsidR="00571EAF" w:rsidRPr="0064355F" w:rsidRDefault="007E6C13" w:rsidP="005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5C736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86585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B5F61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6F1B0" w14:textId="77777777" w:rsidR="00571EAF" w:rsidRPr="0064355F" w:rsidRDefault="00571EAF" w:rsidP="0057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2EAE5" w14:textId="77777777" w:rsidR="00571EAF" w:rsidRPr="0064355F" w:rsidRDefault="00571EAF" w:rsidP="00571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64355F" w:rsidRPr="0064355F" w14:paraId="7015A44A" w14:textId="77777777" w:rsidTr="008D6FAD">
        <w:trPr>
          <w:trHeight w:val="7144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FE96B" w14:textId="77777777" w:rsidR="008D6FAD" w:rsidRPr="0064355F" w:rsidRDefault="008D6FAD" w:rsidP="008D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V.3.1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A974C" w14:textId="4A31E92B" w:rsidR="008D6FAD" w:rsidRPr="0064355F" w:rsidRDefault="008D6FAD" w:rsidP="008D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Povećanje kapaciteta KAZŽS za praćenje, procenu i izveštavanje o emisijama iz velikih postrojenja za sagorevanje.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B07E4" w14:textId="64DC419C" w:rsidR="008D6FAD" w:rsidRPr="0064355F" w:rsidRDefault="008D6FAD" w:rsidP="008D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A8208" w14:textId="77777777" w:rsidR="008D6FAD" w:rsidRPr="0064355F" w:rsidRDefault="008D6FAD" w:rsidP="008D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B3C54" w14:textId="07B055AB" w:rsidR="008D6FAD" w:rsidRPr="0064355F" w:rsidRDefault="008D6FAD" w:rsidP="008D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       9,000.00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65108" w14:textId="4EA65FF3" w:rsidR="008D6FAD" w:rsidRPr="0064355F" w:rsidRDefault="008D6FAD" w:rsidP="008D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€                    9,000.00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F9D1C" w14:textId="3FE151F2" w:rsidR="008D6FAD" w:rsidRPr="0064355F" w:rsidRDefault="008D6FAD" w:rsidP="008D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€           9,000.00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B2919" w14:textId="5E5862CE" w:rsidR="008D6FAD" w:rsidRPr="0064355F" w:rsidRDefault="008D6FAD" w:rsidP="008D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Budžet Kosova (BK).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4431B" w14:textId="7C858D38" w:rsidR="008D6FAD" w:rsidRPr="0064355F" w:rsidRDefault="008D6FAD" w:rsidP="008D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MŽSPPI, Kosovska agencija za zaštitu životne sredine (KAZŽS).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F1DEE" w14:textId="3ED7C65D" w:rsidR="008D6FAD" w:rsidRPr="0064355F" w:rsidRDefault="008D6FAD" w:rsidP="008D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Izg</w:t>
            </w:r>
            <w:r w:rsidR="006A1215">
              <w:rPr>
                <w:rFonts w:ascii="Times New Roman" w:eastAsia="Times New Roman" w:hAnsi="Times New Roman" w:cs="Times New Roman"/>
                <w:sz w:val="18"/>
                <w:szCs w:val="18"/>
              </w:rPr>
              <w:t>radnja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kapaciteta za osoblje </w:t>
            </w:r>
            <w:r w:rsidR="003B715B"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KAZŽS</w:t>
            </w: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-a za praćenje, procenu i izveštavanje o emisijama iz velikih postrojenja za sagorevanje.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AC0A00" w14:textId="1A045528" w:rsidR="008D6FAD" w:rsidRPr="0064355F" w:rsidRDefault="008D6FAD" w:rsidP="008D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Administrativno uputstvo (AU) o pravilima i stopama ispuštanja vazduha iz stacionarnih izvora </w:t>
            </w:r>
            <w:proofErr w:type="spellStart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zagađennje</w:t>
            </w:r>
            <w:proofErr w:type="spellEnd"/>
            <w:r w:rsidRPr="006435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8B11A" w14:textId="530D82BA" w:rsidR="008D6FAD" w:rsidRPr="0064355F" w:rsidRDefault="008D6FAD" w:rsidP="008D6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Procenat nije relevantan</w:t>
            </w:r>
          </w:p>
          <w:p w14:paraId="662A49C9" w14:textId="77777777" w:rsidR="003B715B" w:rsidRPr="0064355F" w:rsidRDefault="008D6FAD" w:rsidP="008D6FA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 periodu januar-jun 2025. </w:t>
            </w:r>
            <w:r w:rsidR="003B715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godine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 okviru projekta "Jačanje kapaciteta za  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kontrolu zagađenja 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vazduha na Kosovu" koji je podržavao JICA, pet (5) </w:t>
            </w:r>
            <w:r w:rsidR="003B715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službenika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B715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KAZŽS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-a je obučeno za praćenje, procenu, verifikaciju i izveštavanje o emisijama iz velikih postrojenja za sagorevanje, na kojima su održani desetak (10) sastanaka obuke.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3B715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Č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etiri (4) </w:t>
            </w:r>
            <w:r w:rsidR="003B715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službenika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iz </w:t>
            </w:r>
            <w:r w:rsidR="003B715B"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KAZŽS</w:t>
            </w: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učestvovali su na međunarodnoj radionici o inventaru emisije u vazduh i proceni integrisanog modeliranja (GAINS Model) održanoj u Beču, Austrija u organizaciji EU TAIEX.  </w:t>
            </w:r>
          </w:p>
          <w:p w14:paraId="412DCD08" w14:textId="77777777" w:rsidR="003B715B" w:rsidRPr="0064355F" w:rsidRDefault="008D6FAD" w:rsidP="008D6F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Podaci o emisijama iz velikih postrojenja za sagorevanje za 2024. godinu prijavljeni su Evropskoj agenciji za životnu sredinu u okviru Energetske zajednice - Izveštavanje o postrojenjima za sagorevanje (https://cdr.eionet. 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€ pa.eu/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xk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eu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energycommunity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/envz5ixjq/). </w:t>
            </w:r>
          </w:p>
          <w:p w14:paraId="777CE97C" w14:textId="77777777" w:rsidR="003B715B" w:rsidRPr="0064355F" w:rsidRDefault="008D6FAD" w:rsidP="008D6FA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Takođe, podaci o emisijama iz postrojenja sa velikim postrojenjima za sagorevanje takođe su uključeni u Izveštavanje o inventaru emisija u vazduh u skladu sa zahtevima CLRTAP (https://cdr.eionet. € pa.eu/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xk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clrtap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>inventories</w:t>
            </w:r>
            <w:proofErr w:type="spellEnd"/>
            <w:r w:rsidRPr="0064355F">
              <w:rPr>
                <w:rFonts w:ascii="Times New Roman" w:hAnsi="Times New Roman" w:cs="Times New Roman"/>
                <w:sz w:val="18"/>
                <w:szCs w:val="18"/>
              </w:rPr>
              <w:t xml:space="preserve">/envz6x4gw/). </w:t>
            </w:r>
            <w:r w:rsidRPr="0064355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1A66AB75" w14:textId="151F93FC" w:rsidR="008D6FAD" w:rsidRPr="0064355F" w:rsidRDefault="008D6FAD" w:rsidP="008D6FA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35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Podaci o emisijama iz velikih postrojenja za sagorevanje takođe su uključeni u okviru Izveštaja o stanju vazduha za 2024. godinu (https://ammk-rks.net/assets/cms/uploads/files/Drafti%20final%20-%20Raporti%20Vjetor%20%20pe%CC%88r%20Gjendjen%20e%20Ajrit%202024.%2014.07.2025.-Angl_.pdf) i u Nacrtu izveštaja o stanju životne sredine 2024. godine.</w:t>
            </w:r>
          </w:p>
          <w:p w14:paraId="07089A57" w14:textId="4F155348" w:rsidR="008D6FAD" w:rsidRPr="0064355F" w:rsidRDefault="008D6FAD" w:rsidP="008D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919E49F" w14:textId="20B0C55A" w:rsidR="00C01014" w:rsidRPr="0064355F" w:rsidRDefault="00013F4C" w:rsidP="00013F4C">
      <w:pPr>
        <w:rPr>
          <w:rFonts w:ascii="Times New Roman" w:hAnsi="Times New Roman" w:cs="Times New Roman"/>
          <w:b/>
          <w:sz w:val="28"/>
          <w:szCs w:val="28"/>
        </w:rPr>
      </w:pPr>
      <w:r w:rsidRPr="006435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Kraj dokumenta</w:t>
      </w:r>
    </w:p>
    <w:sectPr w:rsidR="00C01014" w:rsidRPr="0064355F" w:rsidSect="00F8088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C0418" w14:textId="77777777" w:rsidR="000B7C84" w:rsidRDefault="000B7C84" w:rsidP="00BC2B80">
      <w:pPr>
        <w:spacing w:after="0" w:line="240" w:lineRule="auto"/>
      </w:pPr>
      <w:r>
        <w:separator/>
      </w:r>
    </w:p>
  </w:endnote>
  <w:endnote w:type="continuationSeparator" w:id="0">
    <w:p w14:paraId="65662DE5" w14:textId="77777777" w:rsidR="000B7C84" w:rsidRDefault="000B7C84" w:rsidP="00BC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89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09E88" w14:textId="374FF04D" w:rsidR="001B192A" w:rsidRDefault="001B192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7A761DB" w14:textId="77777777" w:rsidR="001B192A" w:rsidRDefault="001B19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730EF" w14:textId="77777777" w:rsidR="000B7C84" w:rsidRDefault="000B7C84" w:rsidP="00BC2B80">
      <w:pPr>
        <w:spacing w:after="0" w:line="240" w:lineRule="auto"/>
      </w:pPr>
      <w:r>
        <w:separator/>
      </w:r>
    </w:p>
  </w:footnote>
  <w:footnote w:type="continuationSeparator" w:id="0">
    <w:p w14:paraId="1BEBCCF4" w14:textId="77777777" w:rsidR="000B7C84" w:rsidRDefault="000B7C84" w:rsidP="00BC2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3EA"/>
    <w:multiLevelType w:val="multilevel"/>
    <w:tmpl w:val="F050D2C4"/>
    <w:lvl w:ilvl="0">
      <w:start w:val="2"/>
      <w:numFmt w:val="decimal"/>
      <w:lvlText w:val="%1."/>
      <w:lvlJc w:val="left"/>
      <w:pPr>
        <w:ind w:left="408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0" w:hanging="1800"/>
      </w:pPr>
      <w:rPr>
        <w:rFonts w:hint="default"/>
      </w:rPr>
    </w:lvl>
  </w:abstractNum>
  <w:abstractNum w:abstractNumId="1" w15:restartNumberingAfterBreak="0">
    <w:nsid w:val="0E883C63"/>
    <w:multiLevelType w:val="multilevel"/>
    <w:tmpl w:val="D408BFF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884CED"/>
    <w:multiLevelType w:val="hybridMultilevel"/>
    <w:tmpl w:val="8E54A7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45F1F"/>
    <w:multiLevelType w:val="hybridMultilevel"/>
    <w:tmpl w:val="22D23D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E16"/>
    <w:multiLevelType w:val="hybridMultilevel"/>
    <w:tmpl w:val="07EE982C"/>
    <w:lvl w:ilvl="0" w:tplc="62A85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222"/>
    <w:multiLevelType w:val="hybridMultilevel"/>
    <w:tmpl w:val="E86C2C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D0D45"/>
    <w:multiLevelType w:val="hybridMultilevel"/>
    <w:tmpl w:val="62443A7E"/>
    <w:lvl w:ilvl="0" w:tplc="6F7A21CC">
      <w:start w:val="1"/>
      <w:numFmt w:val="upperRoman"/>
      <w:lvlText w:val="%1."/>
      <w:lvlJc w:val="left"/>
      <w:pPr>
        <w:ind w:left="337" w:hanging="217"/>
      </w:pPr>
      <w:rPr>
        <w:rFonts w:ascii="Tahoma" w:eastAsia="Tahoma" w:hAnsi="Tahoma" w:cs="Tahoma" w:hint="default"/>
        <w:b/>
        <w:bCs/>
        <w:color w:val="0F3D5C"/>
        <w:spacing w:val="-1"/>
        <w:w w:val="67"/>
        <w:sz w:val="28"/>
        <w:szCs w:val="28"/>
        <w:lang w:val="sq-AL" w:eastAsia="en-US" w:bidi="ar-SA"/>
      </w:rPr>
    </w:lvl>
    <w:lvl w:ilvl="1" w:tplc="DB422210">
      <w:numFmt w:val="bullet"/>
      <w:lvlText w:val="•"/>
      <w:lvlJc w:val="left"/>
      <w:pPr>
        <w:ind w:left="573" w:hanging="341"/>
      </w:pPr>
      <w:rPr>
        <w:rFonts w:ascii="Tahoma" w:eastAsia="Tahoma" w:hAnsi="Tahoma" w:cs="Tahoma" w:hint="default"/>
        <w:b/>
        <w:bCs/>
        <w:color w:val="A49375"/>
        <w:w w:val="91"/>
        <w:sz w:val="20"/>
        <w:szCs w:val="20"/>
        <w:lang w:val="sq-AL" w:eastAsia="en-US" w:bidi="ar-SA"/>
      </w:rPr>
    </w:lvl>
    <w:lvl w:ilvl="2" w:tplc="09AA2722">
      <w:numFmt w:val="bullet"/>
      <w:lvlText w:val="•"/>
      <w:lvlJc w:val="left"/>
      <w:pPr>
        <w:ind w:left="1490" w:hanging="341"/>
      </w:pPr>
      <w:rPr>
        <w:rFonts w:hint="default"/>
        <w:lang w:val="sq-AL" w:eastAsia="en-US" w:bidi="ar-SA"/>
      </w:rPr>
    </w:lvl>
    <w:lvl w:ilvl="3" w:tplc="BFB2C2A4">
      <w:numFmt w:val="bullet"/>
      <w:lvlText w:val="•"/>
      <w:lvlJc w:val="left"/>
      <w:pPr>
        <w:ind w:left="2401" w:hanging="341"/>
      </w:pPr>
      <w:rPr>
        <w:rFonts w:hint="default"/>
        <w:lang w:val="sq-AL" w:eastAsia="en-US" w:bidi="ar-SA"/>
      </w:rPr>
    </w:lvl>
    <w:lvl w:ilvl="4" w:tplc="872C1EEE">
      <w:numFmt w:val="bullet"/>
      <w:lvlText w:val="•"/>
      <w:lvlJc w:val="left"/>
      <w:pPr>
        <w:ind w:left="3312" w:hanging="341"/>
      </w:pPr>
      <w:rPr>
        <w:rFonts w:hint="default"/>
        <w:lang w:val="sq-AL" w:eastAsia="en-US" w:bidi="ar-SA"/>
      </w:rPr>
    </w:lvl>
    <w:lvl w:ilvl="5" w:tplc="E6A273EA">
      <w:numFmt w:val="bullet"/>
      <w:lvlText w:val="•"/>
      <w:lvlJc w:val="left"/>
      <w:pPr>
        <w:ind w:left="4223" w:hanging="341"/>
      </w:pPr>
      <w:rPr>
        <w:rFonts w:hint="default"/>
        <w:lang w:val="sq-AL" w:eastAsia="en-US" w:bidi="ar-SA"/>
      </w:rPr>
    </w:lvl>
    <w:lvl w:ilvl="6" w:tplc="5DF611CA">
      <w:numFmt w:val="bullet"/>
      <w:lvlText w:val="•"/>
      <w:lvlJc w:val="left"/>
      <w:pPr>
        <w:ind w:left="5134" w:hanging="341"/>
      </w:pPr>
      <w:rPr>
        <w:rFonts w:hint="default"/>
        <w:lang w:val="sq-AL" w:eastAsia="en-US" w:bidi="ar-SA"/>
      </w:rPr>
    </w:lvl>
    <w:lvl w:ilvl="7" w:tplc="D0025A3A">
      <w:numFmt w:val="bullet"/>
      <w:lvlText w:val="•"/>
      <w:lvlJc w:val="left"/>
      <w:pPr>
        <w:ind w:left="6045" w:hanging="341"/>
      </w:pPr>
      <w:rPr>
        <w:rFonts w:hint="default"/>
        <w:lang w:val="sq-AL" w:eastAsia="en-US" w:bidi="ar-SA"/>
      </w:rPr>
    </w:lvl>
    <w:lvl w:ilvl="8" w:tplc="BB6A4888">
      <w:numFmt w:val="bullet"/>
      <w:lvlText w:val="•"/>
      <w:lvlJc w:val="left"/>
      <w:pPr>
        <w:ind w:left="6956" w:hanging="341"/>
      </w:pPr>
      <w:rPr>
        <w:rFonts w:hint="default"/>
        <w:lang w:val="sq-AL" w:eastAsia="en-US" w:bidi="ar-SA"/>
      </w:rPr>
    </w:lvl>
  </w:abstractNum>
  <w:abstractNum w:abstractNumId="7" w15:restartNumberingAfterBreak="0">
    <w:nsid w:val="3AC43F9C"/>
    <w:multiLevelType w:val="hybridMultilevel"/>
    <w:tmpl w:val="3E24519C"/>
    <w:lvl w:ilvl="0" w:tplc="9066FF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359FC"/>
    <w:multiLevelType w:val="hybridMultilevel"/>
    <w:tmpl w:val="15B41EE6"/>
    <w:lvl w:ilvl="0" w:tplc="B12C53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B57DA"/>
    <w:multiLevelType w:val="hybridMultilevel"/>
    <w:tmpl w:val="38AA2ABE"/>
    <w:lvl w:ilvl="0" w:tplc="9FA4F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727AA"/>
    <w:multiLevelType w:val="hybridMultilevel"/>
    <w:tmpl w:val="CFA6B762"/>
    <w:lvl w:ilvl="0" w:tplc="9066FF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65A62"/>
    <w:multiLevelType w:val="hybridMultilevel"/>
    <w:tmpl w:val="A4E67ACC"/>
    <w:lvl w:ilvl="0" w:tplc="B55AD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A6978"/>
    <w:multiLevelType w:val="multilevel"/>
    <w:tmpl w:val="FBFC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592242"/>
    <w:multiLevelType w:val="multilevel"/>
    <w:tmpl w:val="D494C9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B90CB0"/>
    <w:multiLevelType w:val="hybridMultilevel"/>
    <w:tmpl w:val="DEBECD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D3A79"/>
    <w:multiLevelType w:val="hybridMultilevel"/>
    <w:tmpl w:val="15B41EE6"/>
    <w:lvl w:ilvl="0" w:tplc="B12C53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847E1"/>
    <w:multiLevelType w:val="hybridMultilevel"/>
    <w:tmpl w:val="D44ADB66"/>
    <w:lvl w:ilvl="0" w:tplc="9066FF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E25A3"/>
    <w:multiLevelType w:val="multilevel"/>
    <w:tmpl w:val="3BEC3C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num w:numId="1" w16cid:durableId="546337183">
    <w:abstractNumId w:val="11"/>
  </w:num>
  <w:num w:numId="2" w16cid:durableId="1296570012">
    <w:abstractNumId w:val="9"/>
  </w:num>
  <w:num w:numId="3" w16cid:durableId="805202678">
    <w:abstractNumId w:val="15"/>
  </w:num>
  <w:num w:numId="4" w16cid:durableId="300228659">
    <w:abstractNumId w:val="4"/>
  </w:num>
  <w:num w:numId="5" w16cid:durableId="1984848761">
    <w:abstractNumId w:val="7"/>
  </w:num>
  <w:num w:numId="6" w16cid:durableId="2034375269">
    <w:abstractNumId w:val="14"/>
  </w:num>
  <w:num w:numId="7" w16cid:durableId="1348363068">
    <w:abstractNumId w:val="1"/>
  </w:num>
  <w:num w:numId="8" w16cid:durableId="370497001">
    <w:abstractNumId w:val="8"/>
  </w:num>
  <w:num w:numId="9" w16cid:durableId="193007996">
    <w:abstractNumId w:val="6"/>
  </w:num>
  <w:num w:numId="10" w16cid:durableId="271789083">
    <w:abstractNumId w:val="16"/>
  </w:num>
  <w:num w:numId="11" w16cid:durableId="701712836">
    <w:abstractNumId w:val="3"/>
  </w:num>
  <w:num w:numId="12" w16cid:durableId="1032343333">
    <w:abstractNumId w:val="2"/>
  </w:num>
  <w:num w:numId="13" w16cid:durableId="1789347469">
    <w:abstractNumId w:val="5"/>
  </w:num>
  <w:num w:numId="14" w16cid:durableId="71515416">
    <w:abstractNumId w:val="0"/>
  </w:num>
  <w:num w:numId="15" w16cid:durableId="2132824564">
    <w:abstractNumId w:val="17"/>
  </w:num>
  <w:num w:numId="16" w16cid:durableId="821431267">
    <w:abstractNumId w:val="12"/>
  </w:num>
  <w:num w:numId="17" w16cid:durableId="1496529213">
    <w:abstractNumId w:val="10"/>
  </w:num>
  <w:num w:numId="18" w16cid:durableId="5894362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2C"/>
    <w:rsid w:val="00000A7B"/>
    <w:rsid w:val="00003CDB"/>
    <w:rsid w:val="000068B5"/>
    <w:rsid w:val="000071F2"/>
    <w:rsid w:val="00007C4D"/>
    <w:rsid w:val="00010087"/>
    <w:rsid w:val="00010AEF"/>
    <w:rsid w:val="00010EE3"/>
    <w:rsid w:val="00011EC3"/>
    <w:rsid w:val="00012067"/>
    <w:rsid w:val="00013026"/>
    <w:rsid w:val="00013079"/>
    <w:rsid w:val="000133C6"/>
    <w:rsid w:val="00013F4C"/>
    <w:rsid w:val="000142A9"/>
    <w:rsid w:val="00016A58"/>
    <w:rsid w:val="00016DBB"/>
    <w:rsid w:val="0001779A"/>
    <w:rsid w:val="00017A32"/>
    <w:rsid w:val="00017AD9"/>
    <w:rsid w:val="00017E01"/>
    <w:rsid w:val="000208EA"/>
    <w:rsid w:val="00022B0B"/>
    <w:rsid w:val="00022F7B"/>
    <w:rsid w:val="00024E65"/>
    <w:rsid w:val="00025BE5"/>
    <w:rsid w:val="00026897"/>
    <w:rsid w:val="00026FC5"/>
    <w:rsid w:val="00027483"/>
    <w:rsid w:val="000302E5"/>
    <w:rsid w:val="00030A66"/>
    <w:rsid w:val="00031095"/>
    <w:rsid w:val="00031A8D"/>
    <w:rsid w:val="00031E9F"/>
    <w:rsid w:val="00035956"/>
    <w:rsid w:val="00035DF4"/>
    <w:rsid w:val="00036DAE"/>
    <w:rsid w:val="00036DCE"/>
    <w:rsid w:val="00040E10"/>
    <w:rsid w:val="00041597"/>
    <w:rsid w:val="00041ADD"/>
    <w:rsid w:val="00042207"/>
    <w:rsid w:val="00042532"/>
    <w:rsid w:val="00042ABD"/>
    <w:rsid w:val="00045C4B"/>
    <w:rsid w:val="000467D2"/>
    <w:rsid w:val="00047440"/>
    <w:rsid w:val="000503FE"/>
    <w:rsid w:val="00050556"/>
    <w:rsid w:val="000506AB"/>
    <w:rsid w:val="00050A70"/>
    <w:rsid w:val="00051E71"/>
    <w:rsid w:val="00052E01"/>
    <w:rsid w:val="00053111"/>
    <w:rsid w:val="000541AE"/>
    <w:rsid w:val="00054751"/>
    <w:rsid w:val="000559B5"/>
    <w:rsid w:val="00057089"/>
    <w:rsid w:val="0006187F"/>
    <w:rsid w:val="00062821"/>
    <w:rsid w:val="00062B41"/>
    <w:rsid w:val="00063AFF"/>
    <w:rsid w:val="00063FCB"/>
    <w:rsid w:val="000647E5"/>
    <w:rsid w:val="00065C70"/>
    <w:rsid w:val="00065EB4"/>
    <w:rsid w:val="0006754C"/>
    <w:rsid w:val="00067B38"/>
    <w:rsid w:val="000709A6"/>
    <w:rsid w:val="00070DB2"/>
    <w:rsid w:val="00072162"/>
    <w:rsid w:val="00072BA3"/>
    <w:rsid w:val="00073326"/>
    <w:rsid w:val="000744DE"/>
    <w:rsid w:val="00074571"/>
    <w:rsid w:val="0007521C"/>
    <w:rsid w:val="000753C5"/>
    <w:rsid w:val="00076085"/>
    <w:rsid w:val="00076573"/>
    <w:rsid w:val="00076C48"/>
    <w:rsid w:val="00076C4F"/>
    <w:rsid w:val="00076D7A"/>
    <w:rsid w:val="000774FC"/>
    <w:rsid w:val="00077A5C"/>
    <w:rsid w:val="00077D6F"/>
    <w:rsid w:val="00081788"/>
    <w:rsid w:val="0008399F"/>
    <w:rsid w:val="00083BCD"/>
    <w:rsid w:val="00085DD3"/>
    <w:rsid w:val="000865CA"/>
    <w:rsid w:val="00090892"/>
    <w:rsid w:val="000909FF"/>
    <w:rsid w:val="000922D1"/>
    <w:rsid w:val="00092DF6"/>
    <w:rsid w:val="0009347C"/>
    <w:rsid w:val="000937C8"/>
    <w:rsid w:val="00094026"/>
    <w:rsid w:val="00094138"/>
    <w:rsid w:val="00094B75"/>
    <w:rsid w:val="00095ECC"/>
    <w:rsid w:val="0009751D"/>
    <w:rsid w:val="000A13E5"/>
    <w:rsid w:val="000A27B0"/>
    <w:rsid w:val="000A395E"/>
    <w:rsid w:val="000A43BE"/>
    <w:rsid w:val="000A5E3B"/>
    <w:rsid w:val="000A606A"/>
    <w:rsid w:val="000A6507"/>
    <w:rsid w:val="000A69B8"/>
    <w:rsid w:val="000A7C98"/>
    <w:rsid w:val="000B0801"/>
    <w:rsid w:val="000B0DB7"/>
    <w:rsid w:val="000B1135"/>
    <w:rsid w:val="000B1667"/>
    <w:rsid w:val="000B191A"/>
    <w:rsid w:val="000B1A3F"/>
    <w:rsid w:val="000B204C"/>
    <w:rsid w:val="000B54FC"/>
    <w:rsid w:val="000B60B8"/>
    <w:rsid w:val="000B7C84"/>
    <w:rsid w:val="000C02B2"/>
    <w:rsid w:val="000C199E"/>
    <w:rsid w:val="000C4F5D"/>
    <w:rsid w:val="000C4F73"/>
    <w:rsid w:val="000C55F0"/>
    <w:rsid w:val="000C5C7D"/>
    <w:rsid w:val="000C6C2C"/>
    <w:rsid w:val="000C787C"/>
    <w:rsid w:val="000C7C47"/>
    <w:rsid w:val="000C7C9C"/>
    <w:rsid w:val="000D2717"/>
    <w:rsid w:val="000D3AD7"/>
    <w:rsid w:val="000D6774"/>
    <w:rsid w:val="000D78E2"/>
    <w:rsid w:val="000E03EF"/>
    <w:rsid w:val="000E0459"/>
    <w:rsid w:val="000E2CE8"/>
    <w:rsid w:val="000E42F9"/>
    <w:rsid w:val="000E4EBE"/>
    <w:rsid w:val="000F1BE5"/>
    <w:rsid w:val="000F1CBF"/>
    <w:rsid w:val="000F1EEB"/>
    <w:rsid w:val="000F2963"/>
    <w:rsid w:val="000F2EA9"/>
    <w:rsid w:val="000F4C78"/>
    <w:rsid w:val="000F5AB7"/>
    <w:rsid w:val="000F5B01"/>
    <w:rsid w:val="000F605E"/>
    <w:rsid w:val="000F72E6"/>
    <w:rsid w:val="0010393B"/>
    <w:rsid w:val="00103D45"/>
    <w:rsid w:val="001042F5"/>
    <w:rsid w:val="00106A7D"/>
    <w:rsid w:val="00114325"/>
    <w:rsid w:val="00116416"/>
    <w:rsid w:val="00116BB9"/>
    <w:rsid w:val="00116FA5"/>
    <w:rsid w:val="001174AF"/>
    <w:rsid w:val="00121671"/>
    <w:rsid w:val="001236CD"/>
    <w:rsid w:val="001260D1"/>
    <w:rsid w:val="00126C7C"/>
    <w:rsid w:val="00130011"/>
    <w:rsid w:val="0013062D"/>
    <w:rsid w:val="00130AE1"/>
    <w:rsid w:val="00131999"/>
    <w:rsid w:val="00132964"/>
    <w:rsid w:val="00132A55"/>
    <w:rsid w:val="00133275"/>
    <w:rsid w:val="00134907"/>
    <w:rsid w:val="001349A6"/>
    <w:rsid w:val="001351EC"/>
    <w:rsid w:val="00135202"/>
    <w:rsid w:val="001352E3"/>
    <w:rsid w:val="00135C95"/>
    <w:rsid w:val="00141288"/>
    <w:rsid w:val="00141759"/>
    <w:rsid w:val="00141F0B"/>
    <w:rsid w:val="001421D7"/>
    <w:rsid w:val="00142DFC"/>
    <w:rsid w:val="00142F4F"/>
    <w:rsid w:val="00143CC3"/>
    <w:rsid w:val="0014468A"/>
    <w:rsid w:val="00144860"/>
    <w:rsid w:val="00146DCA"/>
    <w:rsid w:val="001471FB"/>
    <w:rsid w:val="00147340"/>
    <w:rsid w:val="001475CE"/>
    <w:rsid w:val="00147B23"/>
    <w:rsid w:val="00150EF8"/>
    <w:rsid w:val="00151A1B"/>
    <w:rsid w:val="00155B93"/>
    <w:rsid w:val="00155E55"/>
    <w:rsid w:val="00156842"/>
    <w:rsid w:val="00161ACC"/>
    <w:rsid w:val="00161BEA"/>
    <w:rsid w:val="001644E1"/>
    <w:rsid w:val="001654EC"/>
    <w:rsid w:val="001677D5"/>
    <w:rsid w:val="0016786A"/>
    <w:rsid w:val="001702E4"/>
    <w:rsid w:val="00172D39"/>
    <w:rsid w:val="001733E2"/>
    <w:rsid w:val="001736FB"/>
    <w:rsid w:val="00173827"/>
    <w:rsid w:val="001739BC"/>
    <w:rsid w:val="00173E64"/>
    <w:rsid w:val="0017419A"/>
    <w:rsid w:val="001774DA"/>
    <w:rsid w:val="00180501"/>
    <w:rsid w:val="0018087F"/>
    <w:rsid w:val="0018099A"/>
    <w:rsid w:val="00180A7C"/>
    <w:rsid w:val="0018406C"/>
    <w:rsid w:val="00184079"/>
    <w:rsid w:val="001844F3"/>
    <w:rsid w:val="00184B03"/>
    <w:rsid w:val="001871F0"/>
    <w:rsid w:val="00190356"/>
    <w:rsid w:val="00191783"/>
    <w:rsid w:val="00191A13"/>
    <w:rsid w:val="00191B47"/>
    <w:rsid w:val="00193BAB"/>
    <w:rsid w:val="00193DAF"/>
    <w:rsid w:val="001960D4"/>
    <w:rsid w:val="0019696C"/>
    <w:rsid w:val="00197E80"/>
    <w:rsid w:val="001A0901"/>
    <w:rsid w:val="001A0C91"/>
    <w:rsid w:val="001A118E"/>
    <w:rsid w:val="001A14E9"/>
    <w:rsid w:val="001A2D00"/>
    <w:rsid w:val="001A3428"/>
    <w:rsid w:val="001A39A5"/>
    <w:rsid w:val="001A48F5"/>
    <w:rsid w:val="001A6B92"/>
    <w:rsid w:val="001A7D77"/>
    <w:rsid w:val="001B0E7E"/>
    <w:rsid w:val="001B192A"/>
    <w:rsid w:val="001B19AE"/>
    <w:rsid w:val="001B2AD2"/>
    <w:rsid w:val="001B3485"/>
    <w:rsid w:val="001B573A"/>
    <w:rsid w:val="001B62C7"/>
    <w:rsid w:val="001B7470"/>
    <w:rsid w:val="001B7860"/>
    <w:rsid w:val="001B7C4D"/>
    <w:rsid w:val="001B7D2F"/>
    <w:rsid w:val="001C0D33"/>
    <w:rsid w:val="001C153A"/>
    <w:rsid w:val="001C19C7"/>
    <w:rsid w:val="001C21D7"/>
    <w:rsid w:val="001C2CEA"/>
    <w:rsid w:val="001C3515"/>
    <w:rsid w:val="001C508B"/>
    <w:rsid w:val="001C6A25"/>
    <w:rsid w:val="001C7F2C"/>
    <w:rsid w:val="001D0266"/>
    <w:rsid w:val="001D0417"/>
    <w:rsid w:val="001D085D"/>
    <w:rsid w:val="001D0C20"/>
    <w:rsid w:val="001D13F9"/>
    <w:rsid w:val="001D1D81"/>
    <w:rsid w:val="001D2F13"/>
    <w:rsid w:val="001D346E"/>
    <w:rsid w:val="001D34F2"/>
    <w:rsid w:val="001D4D1A"/>
    <w:rsid w:val="001D52E7"/>
    <w:rsid w:val="001E1402"/>
    <w:rsid w:val="001E2616"/>
    <w:rsid w:val="001E2DF1"/>
    <w:rsid w:val="001E3E3F"/>
    <w:rsid w:val="001E48E3"/>
    <w:rsid w:val="001E7730"/>
    <w:rsid w:val="001F181E"/>
    <w:rsid w:val="001F1BA7"/>
    <w:rsid w:val="001F3394"/>
    <w:rsid w:val="001F4B9E"/>
    <w:rsid w:val="001F5595"/>
    <w:rsid w:val="001F5B28"/>
    <w:rsid w:val="001F6CB5"/>
    <w:rsid w:val="002001C4"/>
    <w:rsid w:val="002016E8"/>
    <w:rsid w:val="00201F09"/>
    <w:rsid w:val="0020265A"/>
    <w:rsid w:val="002026BB"/>
    <w:rsid w:val="002026CE"/>
    <w:rsid w:val="002036D6"/>
    <w:rsid w:val="0020511F"/>
    <w:rsid w:val="00205EC8"/>
    <w:rsid w:val="002064C6"/>
    <w:rsid w:val="00207235"/>
    <w:rsid w:val="002072C8"/>
    <w:rsid w:val="0020786C"/>
    <w:rsid w:val="00207987"/>
    <w:rsid w:val="00207C47"/>
    <w:rsid w:val="00207E9B"/>
    <w:rsid w:val="00210DC5"/>
    <w:rsid w:val="00210EC7"/>
    <w:rsid w:val="00211290"/>
    <w:rsid w:val="0021154B"/>
    <w:rsid w:val="00211B54"/>
    <w:rsid w:val="002131E0"/>
    <w:rsid w:val="002134B1"/>
    <w:rsid w:val="00213F32"/>
    <w:rsid w:val="00215786"/>
    <w:rsid w:val="00216F91"/>
    <w:rsid w:val="00217B14"/>
    <w:rsid w:val="002204DD"/>
    <w:rsid w:val="00221A73"/>
    <w:rsid w:val="00221C02"/>
    <w:rsid w:val="00222276"/>
    <w:rsid w:val="00222349"/>
    <w:rsid w:val="00222A6C"/>
    <w:rsid w:val="00222E27"/>
    <w:rsid w:val="00223184"/>
    <w:rsid w:val="0022494B"/>
    <w:rsid w:val="00225C96"/>
    <w:rsid w:val="00226149"/>
    <w:rsid w:val="002279B6"/>
    <w:rsid w:val="002311AB"/>
    <w:rsid w:val="00232345"/>
    <w:rsid w:val="00232720"/>
    <w:rsid w:val="002337CD"/>
    <w:rsid w:val="00233C6F"/>
    <w:rsid w:val="00233FAA"/>
    <w:rsid w:val="0023414D"/>
    <w:rsid w:val="00236567"/>
    <w:rsid w:val="00240684"/>
    <w:rsid w:val="002407D5"/>
    <w:rsid w:val="00241017"/>
    <w:rsid w:val="00242669"/>
    <w:rsid w:val="00242889"/>
    <w:rsid w:val="00243347"/>
    <w:rsid w:val="0024335D"/>
    <w:rsid w:val="002433F0"/>
    <w:rsid w:val="00243425"/>
    <w:rsid w:val="0024383B"/>
    <w:rsid w:val="0024416C"/>
    <w:rsid w:val="002447D6"/>
    <w:rsid w:val="00244B0D"/>
    <w:rsid w:val="00245D5A"/>
    <w:rsid w:val="00251138"/>
    <w:rsid w:val="00252CC3"/>
    <w:rsid w:val="00253F20"/>
    <w:rsid w:val="00254A04"/>
    <w:rsid w:val="00255280"/>
    <w:rsid w:val="00255CBC"/>
    <w:rsid w:val="00256530"/>
    <w:rsid w:val="00256D27"/>
    <w:rsid w:val="00256EBF"/>
    <w:rsid w:val="00257065"/>
    <w:rsid w:val="00257C8D"/>
    <w:rsid w:val="00261E01"/>
    <w:rsid w:val="002668B9"/>
    <w:rsid w:val="00266AC9"/>
    <w:rsid w:val="00267EC1"/>
    <w:rsid w:val="00271BB4"/>
    <w:rsid w:val="00271D5E"/>
    <w:rsid w:val="00272EA7"/>
    <w:rsid w:val="00275454"/>
    <w:rsid w:val="002771CA"/>
    <w:rsid w:val="002826C9"/>
    <w:rsid w:val="00282D5B"/>
    <w:rsid w:val="0028604A"/>
    <w:rsid w:val="002876B5"/>
    <w:rsid w:val="002907C6"/>
    <w:rsid w:val="00290A76"/>
    <w:rsid w:val="002924C6"/>
    <w:rsid w:val="0029505C"/>
    <w:rsid w:val="00297750"/>
    <w:rsid w:val="002A09FE"/>
    <w:rsid w:val="002A0B21"/>
    <w:rsid w:val="002A202B"/>
    <w:rsid w:val="002A20B0"/>
    <w:rsid w:val="002A38A5"/>
    <w:rsid w:val="002A4455"/>
    <w:rsid w:val="002A7790"/>
    <w:rsid w:val="002B00ED"/>
    <w:rsid w:val="002B0109"/>
    <w:rsid w:val="002B3D4F"/>
    <w:rsid w:val="002B42C4"/>
    <w:rsid w:val="002B437E"/>
    <w:rsid w:val="002B4966"/>
    <w:rsid w:val="002C0C40"/>
    <w:rsid w:val="002C2455"/>
    <w:rsid w:val="002C3657"/>
    <w:rsid w:val="002C36A0"/>
    <w:rsid w:val="002C427B"/>
    <w:rsid w:val="002C5E47"/>
    <w:rsid w:val="002C757F"/>
    <w:rsid w:val="002C7B3E"/>
    <w:rsid w:val="002D0334"/>
    <w:rsid w:val="002D0901"/>
    <w:rsid w:val="002D0A97"/>
    <w:rsid w:val="002D1AF4"/>
    <w:rsid w:val="002D235F"/>
    <w:rsid w:val="002D27D0"/>
    <w:rsid w:val="002D3757"/>
    <w:rsid w:val="002D4454"/>
    <w:rsid w:val="002D592E"/>
    <w:rsid w:val="002D66C0"/>
    <w:rsid w:val="002E0614"/>
    <w:rsid w:val="002E2B4C"/>
    <w:rsid w:val="002E392F"/>
    <w:rsid w:val="002E393B"/>
    <w:rsid w:val="002E3F2D"/>
    <w:rsid w:val="002E41F6"/>
    <w:rsid w:val="002E456D"/>
    <w:rsid w:val="002E5943"/>
    <w:rsid w:val="002E5FA9"/>
    <w:rsid w:val="002E6022"/>
    <w:rsid w:val="002E71D3"/>
    <w:rsid w:val="002E72D0"/>
    <w:rsid w:val="002F230E"/>
    <w:rsid w:val="002F29FE"/>
    <w:rsid w:val="002F2F7E"/>
    <w:rsid w:val="002F32C9"/>
    <w:rsid w:val="002F4C58"/>
    <w:rsid w:val="002F504E"/>
    <w:rsid w:val="002F735A"/>
    <w:rsid w:val="00300EC8"/>
    <w:rsid w:val="00301444"/>
    <w:rsid w:val="00301CC4"/>
    <w:rsid w:val="00302C84"/>
    <w:rsid w:val="00302FFA"/>
    <w:rsid w:val="00304180"/>
    <w:rsid w:val="0030457C"/>
    <w:rsid w:val="003048BF"/>
    <w:rsid w:val="00304902"/>
    <w:rsid w:val="0030666D"/>
    <w:rsid w:val="00307755"/>
    <w:rsid w:val="00307AAE"/>
    <w:rsid w:val="003104D8"/>
    <w:rsid w:val="0031083A"/>
    <w:rsid w:val="0031151C"/>
    <w:rsid w:val="00312801"/>
    <w:rsid w:val="00312D2E"/>
    <w:rsid w:val="00313657"/>
    <w:rsid w:val="003136D4"/>
    <w:rsid w:val="003136F2"/>
    <w:rsid w:val="003159C3"/>
    <w:rsid w:val="003208EA"/>
    <w:rsid w:val="00320F08"/>
    <w:rsid w:val="00322AE6"/>
    <w:rsid w:val="00322FFB"/>
    <w:rsid w:val="003241DA"/>
    <w:rsid w:val="00324A96"/>
    <w:rsid w:val="00327C38"/>
    <w:rsid w:val="00327DB7"/>
    <w:rsid w:val="00331C82"/>
    <w:rsid w:val="00332BDF"/>
    <w:rsid w:val="003341F3"/>
    <w:rsid w:val="00334895"/>
    <w:rsid w:val="00340BCD"/>
    <w:rsid w:val="00340C68"/>
    <w:rsid w:val="00342257"/>
    <w:rsid w:val="00342456"/>
    <w:rsid w:val="00343148"/>
    <w:rsid w:val="00344BEA"/>
    <w:rsid w:val="003471C6"/>
    <w:rsid w:val="00347BBC"/>
    <w:rsid w:val="00347E05"/>
    <w:rsid w:val="00347F00"/>
    <w:rsid w:val="0035139F"/>
    <w:rsid w:val="00352D98"/>
    <w:rsid w:val="00353740"/>
    <w:rsid w:val="003541B3"/>
    <w:rsid w:val="003541EB"/>
    <w:rsid w:val="003541F8"/>
    <w:rsid w:val="003548B4"/>
    <w:rsid w:val="003561B4"/>
    <w:rsid w:val="003566DA"/>
    <w:rsid w:val="0035715C"/>
    <w:rsid w:val="00357987"/>
    <w:rsid w:val="0036076A"/>
    <w:rsid w:val="00363A99"/>
    <w:rsid w:val="0036400C"/>
    <w:rsid w:val="003642F5"/>
    <w:rsid w:val="00364620"/>
    <w:rsid w:val="00370002"/>
    <w:rsid w:val="00371129"/>
    <w:rsid w:val="00371A9B"/>
    <w:rsid w:val="00371E9B"/>
    <w:rsid w:val="003729F4"/>
    <w:rsid w:val="00372ED2"/>
    <w:rsid w:val="00373E9F"/>
    <w:rsid w:val="003741CD"/>
    <w:rsid w:val="00374A55"/>
    <w:rsid w:val="00375E28"/>
    <w:rsid w:val="00380108"/>
    <w:rsid w:val="00380F5C"/>
    <w:rsid w:val="00382529"/>
    <w:rsid w:val="00382CE0"/>
    <w:rsid w:val="00382F45"/>
    <w:rsid w:val="0038336B"/>
    <w:rsid w:val="00383D6D"/>
    <w:rsid w:val="00384056"/>
    <w:rsid w:val="003852F7"/>
    <w:rsid w:val="00386DCD"/>
    <w:rsid w:val="00387D3A"/>
    <w:rsid w:val="00391394"/>
    <w:rsid w:val="0039183D"/>
    <w:rsid w:val="00391FAD"/>
    <w:rsid w:val="00392B19"/>
    <w:rsid w:val="00394B29"/>
    <w:rsid w:val="00395B4E"/>
    <w:rsid w:val="003961E7"/>
    <w:rsid w:val="0039701E"/>
    <w:rsid w:val="00397847"/>
    <w:rsid w:val="00397ED1"/>
    <w:rsid w:val="003A0F89"/>
    <w:rsid w:val="003A166F"/>
    <w:rsid w:val="003A1A5F"/>
    <w:rsid w:val="003A24E3"/>
    <w:rsid w:val="003A462A"/>
    <w:rsid w:val="003A56B2"/>
    <w:rsid w:val="003A5911"/>
    <w:rsid w:val="003A5AFE"/>
    <w:rsid w:val="003A5B74"/>
    <w:rsid w:val="003B0A2E"/>
    <w:rsid w:val="003B0E6B"/>
    <w:rsid w:val="003B2249"/>
    <w:rsid w:val="003B34BD"/>
    <w:rsid w:val="003B5B08"/>
    <w:rsid w:val="003B6BD7"/>
    <w:rsid w:val="003B6E5E"/>
    <w:rsid w:val="003B715B"/>
    <w:rsid w:val="003C0529"/>
    <w:rsid w:val="003C1C46"/>
    <w:rsid w:val="003C224F"/>
    <w:rsid w:val="003C4D47"/>
    <w:rsid w:val="003C5492"/>
    <w:rsid w:val="003C64F9"/>
    <w:rsid w:val="003D0357"/>
    <w:rsid w:val="003D07A5"/>
    <w:rsid w:val="003D0B6D"/>
    <w:rsid w:val="003D1813"/>
    <w:rsid w:val="003D45C5"/>
    <w:rsid w:val="003D55C1"/>
    <w:rsid w:val="003D5746"/>
    <w:rsid w:val="003D5DDF"/>
    <w:rsid w:val="003D61E4"/>
    <w:rsid w:val="003D7ED9"/>
    <w:rsid w:val="003E025A"/>
    <w:rsid w:val="003E0424"/>
    <w:rsid w:val="003E1D2C"/>
    <w:rsid w:val="003E226B"/>
    <w:rsid w:val="003E2299"/>
    <w:rsid w:val="003E27A4"/>
    <w:rsid w:val="003E59A7"/>
    <w:rsid w:val="003F1D99"/>
    <w:rsid w:val="003F2384"/>
    <w:rsid w:val="003F388E"/>
    <w:rsid w:val="003F48C3"/>
    <w:rsid w:val="003F4D0E"/>
    <w:rsid w:val="003F64F9"/>
    <w:rsid w:val="003F6806"/>
    <w:rsid w:val="003F7652"/>
    <w:rsid w:val="003F77FF"/>
    <w:rsid w:val="00400AA0"/>
    <w:rsid w:val="0040103D"/>
    <w:rsid w:val="00402CA7"/>
    <w:rsid w:val="004031EE"/>
    <w:rsid w:val="004046CF"/>
    <w:rsid w:val="00405B4A"/>
    <w:rsid w:val="00410B25"/>
    <w:rsid w:val="0041213B"/>
    <w:rsid w:val="00413E98"/>
    <w:rsid w:val="00415F9B"/>
    <w:rsid w:val="00416D16"/>
    <w:rsid w:val="004170F7"/>
    <w:rsid w:val="00417D2C"/>
    <w:rsid w:val="00417F26"/>
    <w:rsid w:val="00421035"/>
    <w:rsid w:val="0042201F"/>
    <w:rsid w:val="0042399D"/>
    <w:rsid w:val="0042495A"/>
    <w:rsid w:val="00426A33"/>
    <w:rsid w:val="004311F1"/>
    <w:rsid w:val="00431E24"/>
    <w:rsid w:val="0043319B"/>
    <w:rsid w:val="004341ED"/>
    <w:rsid w:val="0043436D"/>
    <w:rsid w:val="00434C94"/>
    <w:rsid w:val="00434FA1"/>
    <w:rsid w:val="00435165"/>
    <w:rsid w:val="0043534C"/>
    <w:rsid w:val="004354E5"/>
    <w:rsid w:val="004357FF"/>
    <w:rsid w:val="00435B0A"/>
    <w:rsid w:val="00436DF0"/>
    <w:rsid w:val="00441705"/>
    <w:rsid w:val="00442203"/>
    <w:rsid w:val="00444FFD"/>
    <w:rsid w:val="004508AC"/>
    <w:rsid w:val="004512AB"/>
    <w:rsid w:val="0045151F"/>
    <w:rsid w:val="00453ABB"/>
    <w:rsid w:val="00454346"/>
    <w:rsid w:val="004576FA"/>
    <w:rsid w:val="004609C2"/>
    <w:rsid w:val="004616FF"/>
    <w:rsid w:val="00462552"/>
    <w:rsid w:val="0046283B"/>
    <w:rsid w:val="0046312A"/>
    <w:rsid w:val="00464B61"/>
    <w:rsid w:val="00465DCC"/>
    <w:rsid w:val="004708F0"/>
    <w:rsid w:val="00473CAC"/>
    <w:rsid w:val="00473DAA"/>
    <w:rsid w:val="00476FBC"/>
    <w:rsid w:val="00477C49"/>
    <w:rsid w:val="00482FBF"/>
    <w:rsid w:val="004831FE"/>
    <w:rsid w:val="00483A9F"/>
    <w:rsid w:val="0048448E"/>
    <w:rsid w:val="00484A92"/>
    <w:rsid w:val="00485C90"/>
    <w:rsid w:val="0048695A"/>
    <w:rsid w:val="00486DC1"/>
    <w:rsid w:val="004920DA"/>
    <w:rsid w:val="00493EAF"/>
    <w:rsid w:val="00493F91"/>
    <w:rsid w:val="00495BE6"/>
    <w:rsid w:val="00495E97"/>
    <w:rsid w:val="00497AC9"/>
    <w:rsid w:val="004A15AC"/>
    <w:rsid w:val="004A1C7B"/>
    <w:rsid w:val="004A4099"/>
    <w:rsid w:val="004A4349"/>
    <w:rsid w:val="004A56AD"/>
    <w:rsid w:val="004A5EF7"/>
    <w:rsid w:val="004A664A"/>
    <w:rsid w:val="004A7C51"/>
    <w:rsid w:val="004B1710"/>
    <w:rsid w:val="004B2D57"/>
    <w:rsid w:val="004B3807"/>
    <w:rsid w:val="004C02CB"/>
    <w:rsid w:val="004C1346"/>
    <w:rsid w:val="004C1516"/>
    <w:rsid w:val="004C21AF"/>
    <w:rsid w:val="004C5BCC"/>
    <w:rsid w:val="004C645A"/>
    <w:rsid w:val="004C746C"/>
    <w:rsid w:val="004D02DB"/>
    <w:rsid w:val="004D16FE"/>
    <w:rsid w:val="004D1775"/>
    <w:rsid w:val="004D208F"/>
    <w:rsid w:val="004D396D"/>
    <w:rsid w:val="004D427C"/>
    <w:rsid w:val="004D52FC"/>
    <w:rsid w:val="004D7222"/>
    <w:rsid w:val="004E0209"/>
    <w:rsid w:val="004E0237"/>
    <w:rsid w:val="004E0928"/>
    <w:rsid w:val="004E09F7"/>
    <w:rsid w:val="004E1E64"/>
    <w:rsid w:val="004E1E94"/>
    <w:rsid w:val="004E2ADE"/>
    <w:rsid w:val="004E328D"/>
    <w:rsid w:val="004E5895"/>
    <w:rsid w:val="004E6669"/>
    <w:rsid w:val="004F0419"/>
    <w:rsid w:val="004F0596"/>
    <w:rsid w:val="004F2C96"/>
    <w:rsid w:val="004F301E"/>
    <w:rsid w:val="004F3B08"/>
    <w:rsid w:val="004F3D36"/>
    <w:rsid w:val="004F41B5"/>
    <w:rsid w:val="004F58AA"/>
    <w:rsid w:val="004F75B2"/>
    <w:rsid w:val="0050075A"/>
    <w:rsid w:val="005020AA"/>
    <w:rsid w:val="0050450F"/>
    <w:rsid w:val="00504694"/>
    <w:rsid w:val="00506E8A"/>
    <w:rsid w:val="00507672"/>
    <w:rsid w:val="00507BD2"/>
    <w:rsid w:val="005111E8"/>
    <w:rsid w:val="005114B8"/>
    <w:rsid w:val="00512D67"/>
    <w:rsid w:val="0051318E"/>
    <w:rsid w:val="005137CF"/>
    <w:rsid w:val="00514BBE"/>
    <w:rsid w:val="00515302"/>
    <w:rsid w:val="005201A5"/>
    <w:rsid w:val="00521C34"/>
    <w:rsid w:val="0052319A"/>
    <w:rsid w:val="00523DC1"/>
    <w:rsid w:val="005250E0"/>
    <w:rsid w:val="00525435"/>
    <w:rsid w:val="00525593"/>
    <w:rsid w:val="00525C15"/>
    <w:rsid w:val="00527CBC"/>
    <w:rsid w:val="005311F7"/>
    <w:rsid w:val="0053158B"/>
    <w:rsid w:val="0053498A"/>
    <w:rsid w:val="00534F00"/>
    <w:rsid w:val="0053577C"/>
    <w:rsid w:val="00535812"/>
    <w:rsid w:val="005366AB"/>
    <w:rsid w:val="00536C46"/>
    <w:rsid w:val="00537A99"/>
    <w:rsid w:val="00537C4B"/>
    <w:rsid w:val="00537EA7"/>
    <w:rsid w:val="00542BA7"/>
    <w:rsid w:val="00542FAE"/>
    <w:rsid w:val="00543849"/>
    <w:rsid w:val="005447F8"/>
    <w:rsid w:val="0054656F"/>
    <w:rsid w:val="00546944"/>
    <w:rsid w:val="00550783"/>
    <w:rsid w:val="00552F32"/>
    <w:rsid w:val="00553478"/>
    <w:rsid w:val="005544DF"/>
    <w:rsid w:val="0055506E"/>
    <w:rsid w:val="005552DE"/>
    <w:rsid w:val="005553CD"/>
    <w:rsid w:val="00555E18"/>
    <w:rsid w:val="00556DC8"/>
    <w:rsid w:val="00556F8C"/>
    <w:rsid w:val="00557753"/>
    <w:rsid w:val="0055784D"/>
    <w:rsid w:val="005607C8"/>
    <w:rsid w:val="0056082C"/>
    <w:rsid w:val="0056137B"/>
    <w:rsid w:val="00562EEF"/>
    <w:rsid w:val="0056350D"/>
    <w:rsid w:val="00563C72"/>
    <w:rsid w:val="00564028"/>
    <w:rsid w:val="00564849"/>
    <w:rsid w:val="0056643B"/>
    <w:rsid w:val="005673CF"/>
    <w:rsid w:val="00567E11"/>
    <w:rsid w:val="00570DB1"/>
    <w:rsid w:val="0057152D"/>
    <w:rsid w:val="00571DE6"/>
    <w:rsid w:val="00571EAF"/>
    <w:rsid w:val="00573767"/>
    <w:rsid w:val="00573D46"/>
    <w:rsid w:val="0057651F"/>
    <w:rsid w:val="00576759"/>
    <w:rsid w:val="00576917"/>
    <w:rsid w:val="00577B88"/>
    <w:rsid w:val="00581D86"/>
    <w:rsid w:val="0058236D"/>
    <w:rsid w:val="00582B2E"/>
    <w:rsid w:val="00584AB1"/>
    <w:rsid w:val="00586724"/>
    <w:rsid w:val="00590AD4"/>
    <w:rsid w:val="00591143"/>
    <w:rsid w:val="0059147E"/>
    <w:rsid w:val="005947A9"/>
    <w:rsid w:val="0059521E"/>
    <w:rsid w:val="00597DB6"/>
    <w:rsid w:val="005A0187"/>
    <w:rsid w:val="005A0B1D"/>
    <w:rsid w:val="005A34CC"/>
    <w:rsid w:val="005A372F"/>
    <w:rsid w:val="005A3A42"/>
    <w:rsid w:val="005A4D43"/>
    <w:rsid w:val="005A50E3"/>
    <w:rsid w:val="005A5188"/>
    <w:rsid w:val="005A7E1E"/>
    <w:rsid w:val="005B09B6"/>
    <w:rsid w:val="005B2B6E"/>
    <w:rsid w:val="005B528F"/>
    <w:rsid w:val="005B57A1"/>
    <w:rsid w:val="005B5896"/>
    <w:rsid w:val="005B715C"/>
    <w:rsid w:val="005B73AE"/>
    <w:rsid w:val="005C008F"/>
    <w:rsid w:val="005C0657"/>
    <w:rsid w:val="005C094E"/>
    <w:rsid w:val="005C14B5"/>
    <w:rsid w:val="005C317F"/>
    <w:rsid w:val="005C328F"/>
    <w:rsid w:val="005C3C50"/>
    <w:rsid w:val="005C5F17"/>
    <w:rsid w:val="005C6040"/>
    <w:rsid w:val="005C68DA"/>
    <w:rsid w:val="005C6CF7"/>
    <w:rsid w:val="005D04BD"/>
    <w:rsid w:val="005D0A48"/>
    <w:rsid w:val="005D0C7F"/>
    <w:rsid w:val="005D4C11"/>
    <w:rsid w:val="005D6DB8"/>
    <w:rsid w:val="005D7851"/>
    <w:rsid w:val="005E187F"/>
    <w:rsid w:val="005E3009"/>
    <w:rsid w:val="005E3274"/>
    <w:rsid w:val="005E3403"/>
    <w:rsid w:val="005E482C"/>
    <w:rsid w:val="005E51B8"/>
    <w:rsid w:val="005E5A32"/>
    <w:rsid w:val="005E699E"/>
    <w:rsid w:val="005F0147"/>
    <w:rsid w:val="005F11D5"/>
    <w:rsid w:val="005F1FC1"/>
    <w:rsid w:val="005F26CD"/>
    <w:rsid w:val="005F2F16"/>
    <w:rsid w:val="005F4766"/>
    <w:rsid w:val="005F4783"/>
    <w:rsid w:val="005F4908"/>
    <w:rsid w:val="005F5D0C"/>
    <w:rsid w:val="00601D66"/>
    <w:rsid w:val="006024DB"/>
    <w:rsid w:val="00602C0F"/>
    <w:rsid w:val="00605367"/>
    <w:rsid w:val="00606492"/>
    <w:rsid w:val="00606BA6"/>
    <w:rsid w:val="0060733A"/>
    <w:rsid w:val="0061262E"/>
    <w:rsid w:val="00613B4D"/>
    <w:rsid w:val="00614B09"/>
    <w:rsid w:val="00615B6E"/>
    <w:rsid w:val="00615C35"/>
    <w:rsid w:val="00616409"/>
    <w:rsid w:val="00620F28"/>
    <w:rsid w:val="00621751"/>
    <w:rsid w:val="00622D66"/>
    <w:rsid w:val="00622D71"/>
    <w:rsid w:val="00626F66"/>
    <w:rsid w:val="006272EA"/>
    <w:rsid w:val="006300D0"/>
    <w:rsid w:val="00633C3C"/>
    <w:rsid w:val="0063421C"/>
    <w:rsid w:val="00634535"/>
    <w:rsid w:val="00635604"/>
    <w:rsid w:val="00636FA2"/>
    <w:rsid w:val="0063722D"/>
    <w:rsid w:val="00640264"/>
    <w:rsid w:val="00641C65"/>
    <w:rsid w:val="00641DF1"/>
    <w:rsid w:val="006422D0"/>
    <w:rsid w:val="0064290C"/>
    <w:rsid w:val="0064355F"/>
    <w:rsid w:val="00644B0A"/>
    <w:rsid w:val="0064546F"/>
    <w:rsid w:val="00646E38"/>
    <w:rsid w:val="00646F44"/>
    <w:rsid w:val="0065019A"/>
    <w:rsid w:val="00652696"/>
    <w:rsid w:val="00652B04"/>
    <w:rsid w:val="006543EA"/>
    <w:rsid w:val="006560E7"/>
    <w:rsid w:val="00657AD6"/>
    <w:rsid w:val="00657D90"/>
    <w:rsid w:val="006602BA"/>
    <w:rsid w:val="00660DD0"/>
    <w:rsid w:val="0066164B"/>
    <w:rsid w:val="00663153"/>
    <w:rsid w:val="0066319E"/>
    <w:rsid w:val="00664AA7"/>
    <w:rsid w:val="0066617B"/>
    <w:rsid w:val="0066702B"/>
    <w:rsid w:val="00667331"/>
    <w:rsid w:val="00667390"/>
    <w:rsid w:val="006716FE"/>
    <w:rsid w:val="00671E4F"/>
    <w:rsid w:val="0067360F"/>
    <w:rsid w:val="0067437D"/>
    <w:rsid w:val="00674509"/>
    <w:rsid w:val="006805DA"/>
    <w:rsid w:val="00681B57"/>
    <w:rsid w:val="0068297C"/>
    <w:rsid w:val="00682BBE"/>
    <w:rsid w:val="0068305D"/>
    <w:rsid w:val="00683CE3"/>
    <w:rsid w:val="006841A1"/>
    <w:rsid w:val="006841B5"/>
    <w:rsid w:val="006855E8"/>
    <w:rsid w:val="00685972"/>
    <w:rsid w:val="0068603B"/>
    <w:rsid w:val="00687063"/>
    <w:rsid w:val="0068733B"/>
    <w:rsid w:val="006877DA"/>
    <w:rsid w:val="00687EE4"/>
    <w:rsid w:val="006906EE"/>
    <w:rsid w:val="00690F6E"/>
    <w:rsid w:val="0069215A"/>
    <w:rsid w:val="006946F1"/>
    <w:rsid w:val="0069520C"/>
    <w:rsid w:val="00696880"/>
    <w:rsid w:val="006970E2"/>
    <w:rsid w:val="0069747F"/>
    <w:rsid w:val="00697A9C"/>
    <w:rsid w:val="00697FF5"/>
    <w:rsid w:val="006A0020"/>
    <w:rsid w:val="006A00DC"/>
    <w:rsid w:val="006A1215"/>
    <w:rsid w:val="006A3D88"/>
    <w:rsid w:val="006A42DF"/>
    <w:rsid w:val="006A5188"/>
    <w:rsid w:val="006A69D0"/>
    <w:rsid w:val="006A6FC0"/>
    <w:rsid w:val="006A75A8"/>
    <w:rsid w:val="006B33B6"/>
    <w:rsid w:val="006B35B9"/>
    <w:rsid w:val="006B3789"/>
    <w:rsid w:val="006B6484"/>
    <w:rsid w:val="006C1591"/>
    <w:rsid w:val="006C2883"/>
    <w:rsid w:val="006C2AC0"/>
    <w:rsid w:val="006C4DC8"/>
    <w:rsid w:val="006C6126"/>
    <w:rsid w:val="006C647E"/>
    <w:rsid w:val="006C6ABB"/>
    <w:rsid w:val="006C7983"/>
    <w:rsid w:val="006D246D"/>
    <w:rsid w:val="006D6B8F"/>
    <w:rsid w:val="006D6C13"/>
    <w:rsid w:val="006D7470"/>
    <w:rsid w:val="006D7D04"/>
    <w:rsid w:val="006E079E"/>
    <w:rsid w:val="006E12FB"/>
    <w:rsid w:val="006E4650"/>
    <w:rsid w:val="006E4C71"/>
    <w:rsid w:val="006E52A3"/>
    <w:rsid w:val="006E5CE6"/>
    <w:rsid w:val="006F30AD"/>
    <w:rsid w:val="006F4F13"/>
    <w:rsid w:val="006F537C"/>
    <w:rsid w:val="006F6EDE"/>
    <w:rsid w:val="006F7682"/>
    <w:rsid w:val="00700A4C"/>
    <w:rsid w:val="00700E58"/>
    <w:rsid w:val="0070195D"/>
    <w:rsid w:val="00701E79"/>
    <w:rsid w:val="00702E6A"/>
    <w:rsid w:val="00702F96"/>
    <w:rsid w:val="00704512"/>
    <w:rsid w:val="00707868"/>
    <w:rsid w:val="00707EAA"/>
    <w:rsid w:val="007109D4"/>
    <w:rsid w:val="00710ADC"/>
    <w:rsid w:val="00711D90"/>
    <w:rsid w:val="007123A8"/>
    <w:rsid w:val="007123AC"/>
    <w:rsid w:val="00714512"/>
    <w:rsid w:val="00714C78"/>
    <w:rsid w:val="00714EF9"/>
    <w:rsid w:val="00715D91"/>
    <w:rsid w:val="007166E3"/>
    <w:rsid w:val="007171D9"/>
    <w:rsid w:val="00721585"/>
    <w:rsid w:val="00721BCE"/>
    <w:rsid w:val="00721F48"/>
    <w:rsid w:val="00721FBE"/>
    <w:rsid w:val="00723526"/>
    <w:rsid w:val="00724CD5"/>
    <w:rsid w:val="0072667A"/>
    <w:rsid w:val="00726BE9"/>
    <w:rsid w:val="007306E8"/>
    <w:rsid w:val="00730F53"/>
    <w:rsid w:val="00731058"/>
    <w:rsid w:val="007311F1"/>
    <w:rsid w:val="00731B78"/>
    <w:rsid w:val="00732E27"/>
    <w:rsid w:val="00733C60"/>
    <w:rsid w:val="00734830"/>
    <w:rsid w:val="007405DA"/>
    <w:rsid w:val="007407CA"/>
    <w:rsid w:val="00742AC2"/>
    <w:rsid w:val="0074535A"/>
    <w:rsid w:val="00745984"/>
    <w:rsid w:val="007461C7"/>
    <w:rsid w:val="00746C56"/>
    <w:rsid w:val="00746CA5"/>
    <w:rsid w:val="00747E9C"/>
    <w:rsid w:val="00750034"/>
    <w:rsid w:val="00752965"/>
    <w:rsid w:val="00752B0B"/>
    <w:rsid w:val="00752B22"/>
    <w:rsid w:val="00752B76"/>
    <w:rsid w:val="007538E6"/>
    <w:rsid w:val="00754ABD"/>
    <w:rsid w:val="0075535B"/>
    <w:rsid w:val="00755921"/>
    <w:rsid w:val="00755B9E"/>
    <w:rsid w:val="00755F0D"/>
    <w:rsid w:val="00755FFE"/>
    <w:rsid w:val="00756085"/>
    <w:rsid w:val="007565DD"/>
    <w:rsid w:val="007578A9"/>
    <w:rsid w:val="00760803"/>
    <w:rsid w:val="00760B43"/>
    <w:rsid w:val="00762145"/>
    <w:rsid w:val="00762A1E"/>
    <w:rsid w:val="0076437C"/>
    <w:rsid w:val="0077116A"/>
    <w:rsid w:val="007729E0"/>
    <w:rsid w:val="00772C80"/>
    <w:rsid w:val="00772F2E"/>
    <w:rsid w:val="00773686"/>
    <w:rsid w:val="007741C9"/>
    <w:rsid w:val="00775957"/>
    <w:rsid w:val="00775F1C"/>
    <w:rsid w:val="00776647"/>
    <w:rsid w:val="00776E8E"/>
    <w:rsid w:val="007804D1"/>
    <w:rsid w:val="00781827"/>
    <w:rsid w:val="007837E9"/>
    <w:rsid w:val="00784D04"/>
    <w:rsid w:val="00786971"/>
    <w:rsid w:val="00787207"/>
    <w:rsid w:val="00787D7A"/>
    <w:rsid w:val="00791CA6"/>
    <w:rsid w:val="00793035"/>
    <w:rsid w:val="0079330E"/>
    <w:rsid w:val="00793BEB"/>
    <w:rsid w:val="00794AAF"/>
    <w:rsid w:val="00794FAD"/>
    <w:rsid w:val="007950D0"/>
    <w:rsid w:val="0079565F"/>
    <w:rsid w:val="00795932"/>
    <w:rsid w:val="007A152A"/>
    <w:rsid w:val="007A321C"/>
    <w:rsid w:val="007A363D"/>
    <w:rsid w:val="007A419C"/>
    <w:rsid w:val="007A4AB2"/>
    <w:rsid w:val="007B01F2"/>
    <w:rsid w:val="007B07E8"/>
    <w:rsid w:val="007B0E44"/>
    <w:rsid w:val="007B2344"/>
    <w:rsid w:val="007B3F5F"/>
    <w:rsid w:val="007B66E3"/>
    <w:rsid w:val="007C08D4"/>
    <w:rsid w:val="007C6388"/>
    <w:rsid w:val="007C750B"/>
    <w:rsid w:val="007D010F"/>
    <w:rsid w:val="007D1274"/>
    <w:rsid w:val="007D1D47"/>
    <w:rsid w:val="007D1D84"/>
    <w:rsid w:val="007D2B52"/>
    <w:rsid w:val="007D31D6"/>
    <w:rsid w:val="007D36D1"/>
    <w:rsid w:val="007D458B"/>
    <w:rsid w:val="007D56BD"/>
    <w:rsid w:val="007D600D"/>
    <w:rsid w:val="007E07FB"/>
    <w:rsid w:val="007E0E87"/>
    <w:rsid w:val="007E279B"/>
    <w:rsid w:val="007E2E5E"/>
    <w:rsid w:val="007E69A1"/>
    <w:rsid w:val="007E6C13"/>
    <w:rsid w:val="007E776C"/>
    <w:rsid w:val="007F07A3"/>
    <w:rsid w:val="007F45BB"/>
    <w:rsid w:val="007F5E11"/>
    <w:rsid w:val="00800D9A"/>
    <w:rsid w:val="008010D7"/>
    <w:rsid w:val="008011C1"/>
    <w:rsid w:val="00804A0D"/>
    <w:rsid w:val="0080683D"/>
    <w:rsid w:val="008068F0"/>
    <w:rsid w:val="008101EE"/>
    <w:rsid w:val="00811652"/>
    <w:rsid w:val="008116E8"/>
    <w:rsid w:val="008142C6"/>
    <w:rsid w:val="00814391"/>
    <w:rsid w:val="008155F8"/>
    <w:rsid w:val="00815D19"/>
    <w:rsid w:val="00816953"/>
    <w:rsid w:val="00816B48"/>
    <w:rsid w:val="00816EAF"/>
    <w:rsid w:val="00817019"/>
    <w:rsid w:val="0081779B"/>
    <w:rsid w:val="00820762"/>
    <w:rsid w:val="00820BC9"/>
    <w:rsid w:val="00823A3F"/>
    <w:rsid w:val="00824574"/>
    <w:rsid w:val="00825A5D"/>
    <w:rsid w:val="00825C85"/>
    <w:rsid w:val="00826C0B"/>
    <w:rsid w:val="00831B77"/>
    <w:rsid w:val="0083200D"/>
    <w:rsid w:val="00832146"/>
    <w:rsid w:val="0083279C"/>
    <w:rsid w:val="008331BC"/>
    <w:rsid w:val="00833733"/>
    <w:rsid w:val="00834585"/>
    <w:rsid w:val="008345A7"/>
    <w:rsid w:val="008364C9"/>
    <w:rsid w:val="00836C3D"/>
    <w:rsid w:val="008412E5"/>
    <w:rsid w:val="00841C5F"/>
    <w:rsid w:val="008465A7"/>
    <w:rsid w:val="00847544"/>
    <w:rsid w:val="00847C13"/>
    <w:rsid w:val="00853E11"/>
    <w:rsid w:val="00853E91"/>
    <w:rsid w:val="00853FF7"/>
    <w:rsid w:val="00854D4A"/>
    <w:rsid w:val="008556AD"/>
    <w:rsid w:val="00856638"/>
    <w:rsid w:val="0086179F"/>
    <w:rsid w:val="00861A0F"/>
    <w:rsid w:val="008630C0"/>
    <w:rsid w:val="0086313B"/>
    <w:rsid w:val="00863D7E"/>
    <w:rsid w:val="00864770"/>
    <w:rsid w:val="008654BF"/>
    <w:rsid w:val="008663F5"/>
    <w:rsid w:val="008677B7"/>
    <w:rsid w:val="00870066"/>
    <w:rsid w:val="00871028"/>
    <w:rsid w:val="008710D3"/>
    <w:rsid w:val="008718BA"/>
    <w:rsid w:val="0087224C"/>
    <w:rsid w:val="008727EC"/>
    <w:rsid w:val="00872E54"/>
    <w:rsid w:val="008738C5"/>
    <w:rsid w:val="008742EE"/>
    <w:rsid w:val="008744ED"/>
    <w:rsid w:val="00874844"/>
    <w:rsid w:val="00874CF4"/>
    <w:rsid w:val="00876530"/>
    <w:rsid w:val="008772ED"/>
    <w:rsid w:val="00880225"/>
    <w:rsid w:val="008803FD"/>
    <w:rsid w:val="00880D0E"/>
    <w:rsid w:val="008831D9"/>
    <w:rsid w:val="008835BC"/>
    <w:rsid w:val="008839D0"/>
    <w:rsid w:val="00884C7D"/>
    <w:rsid w:val="00886635"/>
    <w:rsid w:val="0088684C"/>
    <w:rsid w:val="00886BB1"/>
    <w:rsid w:val="00887590"/>
    <w:rsid w:val="00892B3E"/>
    <w:rsid w:val="008935FE"/>
    <w:rsid w:val="008939CC"/>
    <w:rsid w:val="00894821"/>
    <w:rsid w:val="008958CC"/>
    <w:rsid w:val="008972D9"/>
    <w:rsid w:val="00897371"/>
    <w:rsid w:val="008A0F19"/>
    <w:rsid w:val="008A12C4"/>
    <w:rsid w:val="008A42E6"/>
    <w:rsid w:val="008A450F"/>
    <w:rsid w:val="008A4C62"/>
    <w:rsid w:val="008A5ABB"/>
    <w:rsid w:val="008A6779"/>
    <w:rsid w:val="008A6D9C"/>
    <w:rsid w:val="008A6DB1"/>
    <w:rsid w:val="008A6FDC"/>
    <w:rsid w:val="008B06AE"/>
    <w:rsid w:val="008B13E7"/>
    <w:rsid w:val="008B200B"/>
    <w:rsid w:val="008B28B3"/>
    <w:rsid w:val="008B2B4F"/>
    <w:rsid w:val="008B3A2D"/>
    <w:rsid w:val="008B4B61"/>
    <w:rsid w:val="008B5BFD"/>
    <w:rsid w:val="008B73B5"/>
    <w:rsid w:val="008C27D7"/>
    <w:rsid w:val="008C2E51"/>
    <w:rsid w:val="008C47B0"/>
    <w:rsid w:val="008C6728"/>
    <w:rsid w:val="008C69CB"/>
    <w:rsid w:val="008D0192"/>
    <w:rsid w:val="008D067B"/>
    <w:rsid w:val="008D0C63"/>
    <w:rsid w:val="008D127F"/>
    <w:rsid w:val="008D1736"/>
    <w:rsid w:val="008D1FA9"/>
    <w:rsid w:val="008D3B6B"/>
    <w:rsid w:val="008D4DAA"/>
    <w:rsid w:val="008D6FAD"/>
    <w:rsid w:val="008E0554"/>
    <w:rsid w:val="008E0EE1"/>
    <w:rsid w:val="008E2703"/>
    <w:rsid w:val="008E5EC3"/>
    <w:rsid w:val="008E62AA"/>
    <w:rsid w:val="008E71F6"/>
    <w:rsid w:val="008E7C79"/>
    <w:rsid w:val="008E7D64"/>
    <w:rsid w:val="008F01E9"/>
    <w:rsid w:val="008F0467"/>
    <w:rsid w:val="008F153E"/>
    <w:rsid w:val="008F26F5"/>
    <w:rsid w:val="008F4E22"/>
    <w:rsid w:val="00903545"/>
    <w:rsid w:val="00904DA6"/>
    <w:rsid w:val="00905FC3"/>
    <w:rsid w:val="00906983"/>
    <w:rsid w:val="00907F36"/>
    <w:rsid w:val="00910351"/>
    <w:rsid w:val="00911F78"/>
    <w:rsid w:val="0091220E"/>
    <w:rsid w:val="0091307B"/>
    <w:rsid w:val="009137C7"/>
    <w:rsid w:val="00913E55"/>
    <w:rsid w:val="0091485F"/>
    <w:rsid w:val="00914E04"/>
    <w:rsid w:val="0091605B"/>
    <w:rsid w:val="0091629D"/>
    <w:rsid w:val="00916887"/>
    <w:rsid w:val="00917220"/>
    <w:rsid w:val="00920E5C"/>
    <w:rsid w:val="00922621"/>
    <w:rsid w:val="00922CA9"/>
    <w:rsid w:val="00923492"/>
    <w:rsid w:val="00924358"/>
    <w:rsid w:val="009258CE"/>
    <w:rsid w:val="00926540"/>
    <w:rsid w:val="00926C0C"/>
    <w:rsid w:val="00930797"/>
    <w:rsid w:val="00931649"/>
    <w:rsid w:val="00932958"/>
    <w:rsid w:val="00934076"/>
    <w:rsid w:val="00934E69"/>
    <w:rsid w:val="00935EDF"/>
    <w:rsid w:val="00936359"/>
    <w:rsid w:val="00936F1D"/>
    <w:rsid w:val="00937116"/>
    <w:rsid w:val="00937391"/>
    <w:rsid w:val="00937CB8"/>
    <w:rsid w:val="00942875"/>
    <w:rsid w:val="00942E34"/>
    <w:rsid w:val="00944C93"/>
    <w:rsid w:val="00945F54"/>
    <w:rsid w:val="00950FBB"/>
    <w:rsid w:val="009513D1"/>
    <w:rsid w:val="009525AE"/>
    <w:rsid w:val="00952856"/>
    <w:rsid w:val="009539D0"/>
    <w:rsid w:val="009559FA"/>
    <w:rsid w:val="0095799D"/>
    <w:rsid w:val="009600A8"/>
    <w:rsid w:val="0096044E"/>
    <w:rsid w:val="00960FA7"/>
    <w:rsid w:val="00961231"/>
    <w:rsid w:val="00962124"/>
    <w:rsid w:val="009626DA"/>
    <w:rsid w:val="00962E40"/>
    <w:rsid w:val="00966322"/>
    <w:rsid w:val="00966F5A"/>
    <w:rsid w:val="0096797E"/>
    <w:rsid w:val="0097027E"/>
    <w:rsid w:val="0097040F"/>
    <w:rsid w:val="0097152F"/>
    <w:rsid w:val="00972572"/>
    <w:rsid w:val="00973224"/>
    <w:rsid w:val="00974FAC"/>
    <w:rsid w:val="00975861"/>
    <w:rsid w:val="0097704F"/>
    <w:rsid w:val="009771A9"/>
    <w:rsid w:val="009842EA"/>
    <w:rsid w:val="00985C2A"/>
    <w:rsid w:val="00985E90"/>
    <w:rsid w:val="00986315"/>
    <w:rsid w:val="00990BEE"/>
    <w:rsid w:val="00992CD8"/>
    <w:rsid w:val="00993B85"/>
    <w:rsid w:val="00994217"/>
    <w:rsid w:val="0099443F"/>
    <w:rsid w:val="00994C8F"/>
    <w:rsid w:val="0099694E"/>
    <w:rsid w:val="009A0CBC"/>
    <w:rsid w:val="009A2D26"/>
    <w:rsid w:val="009A5A09"/>
    <w:rsid w:val="009A5FC3"/>
    <w:rsid w:val="009B040D"/>
    <w:rsid w:val="009B16DF"/>
    <w:rsid w:val="009B1E6E"/>
    <w:rsid w:val="009B525C"/>
    <w:rsid w:val="009B5BE3"/>
    <w:rsid w:val="009B660C"/>
    <w:rsid w:val="009B709F"/>
    <w:rsid w:val="009B716D"/>
    <w:rsid w:val="009C0245"/>
    <w:rsid w:val="009C154D"/>
    <w:rsid w:val="009C15B5"/>
    <w:rsid w:val="009C31BC"/>
    <w:rsid w:val="009C4DE0"/>
    <w:rsid w:val="009C65D4"/>
    <w:rsid w:val="009C690D"/>
    <w:rsid w:val="009C7D73"/>
    <w:rsid w:val="009D131E"/>
    <w:rsid w:val="009D1BC0"/>
    <w:rsid w:val="009D1F81"/>
    <w:rsid w:val="009D4713"/>
    <w:rsid w:val="009D4D19"/>
    <w:rsid w:val="009D4F38"/>
    <w:rsid w:val="009D5DA7"/>
    <w:rsid w:val="009D661E"/>
    <w:rsid w:val="009E1F11"/>
    <w:rsid w:val="009E3BD1"/>
    <w:rsid w:val="009E4CF2"/>
    <w:rsid w:val="009E60A2"/>
    <w:rsid w:val="009E616C"/>
    <w:rsid w:val="009E6FE0"/>
    <w:rsid w:val="009E778B"/>
    <w:rsid w:val="009E7A7C"/>
    <w:rsid w:val="009E7B7C"/>
    <w:rsid w:val="009F0DA9"/>
    <w:rsid w:val="009F26CD"/>
    <w:rsid w:val="009F4B3D"/>
    <w:rsid w:val="009F55B6"/>
    <w:rsid w:val="009F5617"/>
    <w:rsid w:val="009F56EB"/>
    <w:rsid w:val="009F6134"/>
    <w:rsid w:val="009F69FE"/>
    <w:rsid w:val="009F70E2"/>
    <w:rsid w:val="009F79BA"/>
    <w:rsid w:val="00A001E0"/>
    <w:rsid w:val="00A0053E"/>
    <w:rsid w:val="00A012A2"/>
    <w:rsid w:val="00A02649"/>
    <w:rsid w:val="00A02B98"/>
    <w:rsid w:val="00A035F3"/>
    <w:rsid w:val="00A04924"/>
    <w:rsid w:val="00A0496E"/>
    <w:rsid w:val="00A0529F"/>
    <w:rsid w:val="00A052C0"/>
    <w:rsid w:val="00A055DB"/>
    <w:rsid w:val="00A05889"/>
    <w:rsid w:val="00A06414"/>
    <w:rsid w:val="00A06644"/>
    <w:rsid w:val="00A06EEE"/>
    <w:rsid w:val="00A07947"/>
    <w:rsid w:val="00A0796C"/>
    <w:rsid w:val="00A07EDA"/>
    <w:rsid w:val="00A1294A"/>
    <w:rsid w:val="00A1336F"/>
    <w:rsid w:val="00A152BA"/>
    <w:rsid w:val="00A174A0"/>
    <w:rsid w:val="00A21020"/>
    <w:rsid w:val="00A240BC"/>
    <w:rsid w:val="00A242FA"/>
    <w:rsid w:val="00A24BF4"/>
    <w:rsid w:val="00A25CE5"/>
    <w:rsid w:val="00A25DE9"/>
    <w:rsid w:val="00A266DF"/>
    <w:rsid w:val="00A315AD"/>
    <w:rsid w:val="00A318D1"/>
    <w:rsid w:val="00A326F0"/>
    <w:rsid w:val="00A3281C"/>
    <w:rsid w:val="00A330C7"/>
    <w:rsid w:val="00A332BF"/>
    <w:rsid w:val="00A357D1"/>
    <w:rsid w:val="00A36C41"/>
    <w:rsid w:val="00A36C9A"/>
    <w:rsid w:val="00A36EF5"/>
    <w:rsid w:val="00A414D4"/>
    <w:rsid w:val="00A416A7"/>
    <w:rsid w:val="00A41AE6"/>
    <w:rsid w:val="00A421C5"/>
    <w:rsid w:val="00A42362"/>
    <w:rsid w:val="00A424D5"/>
    <w:rsid w:val="00A46B34"/>
    <w:rsid w:val="00A47C0A"/>
    <w:rsid w:val="00A527AA"/>
    <w:rsid w:val="00A52EE6"/>
    <w:rsid w:val="00A53BB3"/>
    <w:rsid w:val="00A5451D"/>
    <w:rsid w:val="00A56D20"/>
    <w:rsid w:val="00A5774C"/>
    <w:rsid w:val="00A61744"/>
    <w:rsid w:val="00A61B70"/>
    <w:rsid w:val="00A62665"/>
    <w:rsid w:val="00A640BB"/>
    <w:rsid w:val="00A646DF"/>
    <w:rsid w:val="00A6632F"/>
    <w:rsid w:val="00A711C2"/>
    <w:rsid w:val="00A71439"/>
    <w:rsid w:val="00A73F4D"/>
    <w:rsid w:val="00A741CA"/>
    <w:rsid w:val="00A74337"/>
    <w:rsid w:val="00A74AA9"/>
    <w:rsid w:val="00A768D9"/>
    <w:rsid w:val="00A80165"/>
    <w:rsid w:val="00A80F20"/>
    <w:rsid w:val="00A824B4"/>
    <w:rsid w:val="00A835FC"/>
    <w:rsid w:val="00A85313"/>
    <w:rsid w:val="00A865A4"/>
    <w:rsid w:val="00A87BA9"/>
    <w:rsid w:val="00A90FBF"/>
    <w:rsid w:val="00A9134A"/>
    <w:rsid w:val="00A91BDC"/>
    <w:rsid w:val="00A93576"/>
    <w:rsid w:val="00A944E6"/>
    <w:rsid w:val="00AA0223"/>
    <w:rsid w:val="00AA2497"/>
    <w:rsid w:val="00AA27DA"/>
    <w:rsid w:val="00AA3292"/>
    <w:rsid w:val="00AA348C"/>
    <w:rsid w:val="00AA3B94"/>
    <w:rsid w:val="00AA4D23"/>
    <w:rsid w:val="00AA511E"/>
    <w:rsid w:val="00AA5123"/>
    <w:rsid w:val="00AA75C3"/>
    <w:rsid w:val="00AA777F"/>
    <w:rsid w:val="00AA7BFF"/>
    <w:rsid w:val="00AB0D2B"/>
    <w:rsid w:val="00AB1098"/>
    <w:rsid w:val="00AB1478"/>
    <w:rsid w:val="00AB1DDA"/>
    <w:rsid w:val="00AB473D"/>
    <w:rsid w:val="00AB5653"/>
    <w:rsid w:val="00AB5902"/>
    <w:rsid w:val="00AB6A85"/>
    <w:rsid w:val="00AC0341"/>
    <w:rsid w:val="00AC10DE"/>
    <w:rsid w:val="00AC13CC"/>
    <w:rsid w:val="00AC157F"/>
    <w:rsid w:val="00AC179E"/>
    <w:rsid w:val="00AC193B"/>
    <w:rsid w:val="00AC1AD8"/>
    <w:rsid w:val="00AC263A"/>
    <w:rsid w:val="00AC3B67"/>
    <w:rsid w:val="00AC404A"/>
    <w:rsid w:val="00AC4058"/>
    <w:rsid w:val="00AC41E5"/>
    <w:rsid w:val="00AC4D5C"/>
    <w:rsid w:val="00AC512F"/>
    <w:rsid w:val="00AC5A67"/>
    <w:rsid w:val="00AC7605"/>
    <w:rsid w:val="00AC79FA"/>
    <w:rsid w:val="00AD03FF"/>
    <w:rsid w:val="00AD23AD"/>
    <w:rsid w:val="00AD4343"/>
    <w:rsid w:val="00AD4773"/>
    <w:rsid w:val="00AD52D3"/>
    <w:rsid w:val="00AD53B6"/>
    <w:rsid w:val="00AD57DB"/>
    <w:rsid w:val="00AD7779"/>
    <w:rsid w:val="00AE035D"/>
    <w:rsid w:val="00AE0394"/>
    <w:rsid w:val="00AE1944"/>
    <w:rsid w:val="00AE2E70"/>
    <w:rsid w:val="00AE2FD2"/>
    <w:rsid w:val="00AE7DEE"/>
    <w:rsid w:val="00AF009D"/>
    <w:rsid w:val="00AF0D80"/>
    <w:rsid w:val="00AF2E19"/>
    <w:rsid w:val="00AF4248"/>
    <w:rsid w:val="00AF4DAA"/>
    <w:rsid w:val="00AF659C"/>
    <w:rsid w:val="00B02979"/>
    <w:rsid w:val="00B0397A"/>
    <w:rsid w:val="00B041AD"/>
    <w:rsid w:val="00B05FDB"/>
    <w:rsid w:val="00B07115"/>
    <w:rsid w:val="00B07C02"/>
    <w:rsid w:val="00B1052C"/>
    <w:rsid w:val="00B10991"/>
    <w:rsid w:val="00B11C1F"/>
    <w:rsid w:val="00B13B5D"/>
    <w:rsid w:val="00B16787"/>
    <w:rsid w:val="00B175C3"/>
    <w:rsid w:val="00B1795B"/>
    <w:rsid w:val="00B17A79"/>
    <w:rsid w:val="00B2068C"/>
    <w:rsid w:val="00B20804"/>
    <w:rsid w:val="00B219DB"/>
    <w:rsid w:val="00B22C07"/>
    <w:rsid w:val="00B2622E"/>
    <w:rsid w:val="00B2747C"/>
    <w:rsid w:val="00B30375"/>
    <w:rsid w:val="00B3126A"/>
    <w:rsid w:val="00B314CB"/>
    <w:rsid w:val="00B3453B"/>
    <w:rsid w:val="00B35C64"/>
    <w:rsid w:val="00B36B4C"/>
    <w:rsid w:val="00B40C8B"/>
    <w:rsid w:val="00B4128E"/>
    <w:rsid w:val="00B4208C"/>
    <w:rsid w:val="00B43384"/>
    <w:rsid w:val="00B44325"/>
    <w:rsid w:val="00B475E4"/>
    <w:rsid w:val="00B47B47"/>
    <w:rsid w:val="00B47FB2"/>
    <w:rsid w:val="00B50B1F"/>
    <w:rsid w:val="00B51884"/>
    <w:rsid w:val="00B52753"/>
    <w:rsid w:val="00B5650E"/>
    <w:rsid w:val="00B57546"/>
    <w:rsid w:val="00B57721"/>
    <w:rsid w:val="00B619B4"/>
    <w:rsid w:val="00B61B53"/>
    <w:rsid w:val="00B61ED2"/>
    <w:rsid w:val="00B63779"/>
    <w:rsid w:val="00B6446C"/>
    <w:rsid w:val="00B65910"/>
    <w:rsid w:val="00B67CF1"/>
    <w:rsid w:val="00B718FD"/>
    <w:rsid w:val="00B71B02"/>
    <w:rsid w:val="00B724D2"/>
    <w:rsid w:val="00B72DD4"/>
    <w:rsid w:val="00B7411B"/>
    <w:rsid w:val="00B74531"/>
    <w:rsid w:val="00B75D58"/>
    <w:rsid w:val="00B76699"/>
    <w:rsid w:val="00B7682F"/>
    <w:rsid w:val="00B8209E"/>
    <w:rsid w:val="00B82BE8"/>
    <w:rsid w:val="00B83EA5"/>
    <w:rsid w:val="00B849AB"/>
    <w:rsid w:val="00B85AB2"/>
    <w:rsid w:val="00B87704"/>
    <w:rsid w:val="00B87F27"/>
    <w:rsid w:val="00B91B49"/>
    <w:rsid w:val="00B91FDE"/>
    <w:rsid w:val="00B92738"/>
    <w:rsid w:val="00B92E14"/>
    <w:rsid w:val="00B93233"/>
    <w:rsid w:val="00B93504"/>
    <w:rsid w:val="00B940B6"/>
    <w:rsid w:val="00B95298"/>
    <w:rsid w:val="00B96AFE"/>
    <w:rsid w:val="00B974DA"/>
    <w:rsid w:val="00BA03D5"/>
    <w:rsid w:val="00BA089F"/>
    <w:rsid w:val="00BA0F21"/>
    <w:rsid w:val="00BA1067"/>
    <w:rsid w:val="00BA23F3"/>
    <w:rsid w:val="00BA2C72"/>
    <w:rsid w:val="00BA3EEB"/>
    <w:rsid w:val="00BA4615"/>
    <w:rsid w:val="00BA4895"/>
    <w:rsid w:val="00BA4E98"/>
    <w:rsid w:val="00BA4EAC"/>
    <w:rsid w:val="00BA5665"/>
    <w:rsid w:val="00BA5858"/>
    <w:rsid w:val="00BA5E89"/>
    <w:rsid w:val="00BB5980"/>
    <w:rsid w:val="00BB5E00"/>
    <w:rsid w:val="00BB636F"/>
    <w:rsid w:val="00BC00BF"/>
    <w:rsid w:val="00BC0FEA"/>
    <w:rsid w:val="00BC16BB"/>
    <w:rsid w:val="00BC2B80"/>
    <w:rsid w:val="00BC3B19"/>
    <w:rsid w:val="00BC4B04"/>
    <w:rsid w:val="00BC652E"/>
    <w:rsid w:val="00BC6A8E"/>
    <w:rsid w:val="00BC6B6E"/>
    <w:rsid w:val="00BC7D76"/>
    <w:rsid w:val="00BC7E3E"/>
    <w:rsid w:val="00BD0CEC"/>
    <w:rsid w:val="00BD2241"/>
    <w:rsid w:val="00BD47C9"/>
    <w:rsid w:val="00BE341F"/>
    <w:rsid w:val="00BE34B0"/>
    <w:rsid w:val="00BE3922"/>
    <w:rsid w:val="00BE3924"/>
    <w:rsid w:val="00BE46DC"/>
    <w:rsid w:val="00BE4C88"/>
    <w:rsid w:val="00BE576B"/>
    <w:rsid w:val="00BE6597"/>
    <w:rsid w:val="00BF0F41"/>
    <w:rsid w:val="00BF149B"/>
    <w:rsid w:val="00BF2C11"/>
    <w:rsid w:val="00BF330E"/>
    <w:rsid w:val="00BF3690"/>
    <w:rsid w:val="00BF70E5"/>
    <w:rsid w:val="00C000C6"/>
    <w:rsid w:val="00C001D6"/>
    <w:rsid w:val="00C01014"/>
    <w:rsid w:val="00C014F5"/>
    <w:rsid w:val="00C07D77"/>
    <w:rsid w:val="00C10AC9"/>
    <w:rsid w:val="00C10DB1"/>
    <w:rsid w:val="00C10E2E"/>
    <w:rsid w:val="00C120E2"/>
    <w:rsid w:val="00C1239F"/>
    <w:rsid w:val="00C137F7"/>
    <w:rsid w:val="00C13A6D"/>
    <w:rsid w:val="00C14974"/>
    <w:rsid w:val="00C156C8"/>
    <w:rsid w:val="00C164F2"/>
    <w:rsid w:val="00C1650A"/>
    <w:rsid w:val="00C171FE"/>
    <w:rsid w:val="00C17BB7"/>
    <w:rsid w:val="00C26DEC"/>
    <w:rsid w:val="00C30783"/>
    <w:rsid w:val="00C311E0"/>
    <w:rsid w:val="00C32FFE"/>
    <w:rsid w:val="00C33537"/>
    <w:rsid w:val="00C348C8"/>
    <w:rsid w:val="00C34DC1"/>
    <w:rsid w:val="00C3646E"/>
    <w:rsid w:val="00C36792"/>
    <w:rsid w:val="00C37B8B"/>
    <w:rsid w:val="00C402B3"/>
    <w:rsid w:val="00C40A0B"/>
    <w:rsid w:val="00C4170E"/>
    <w:rsid w:val="00C4193F"/>
    <w:rsid w:val="00C41D4F"/>
    <w:rsid w:val="00C4235B"/>
    <w:rsid w:val="00C423A8"/>
    <w:rsid w:val="00C431A6"/>
    <w:rsid w:val="00C43A7C"/>
    <w:rsid w:val="00C43E16"/>
    <w:rsid w:val="00C43F29"/>
    <w:rsid w:val="00C43F93"/>
    <w:rsid w:val="00C44D25"/>
    <w:rsid w:val="00C471D7"/>
    <w:rsid w:val="00C47D52"/>
    <w:rsid w:val="00C50086"/>
    <w:rsid w:val="00C516C7"/>
    <w:rsid w:val="00C52BB3"/>
    <w:rsid w:val="00C543AE"/>
    <w:rsid w:val="00C56020"/>
    <w:rsid w:val="00C57811"/>
    <w:rsid w:val="00C57FBA"/>
    <w:rsid w:val="00C6150C"/>
    <w:rsid w:val="00C678D2"/>
    <w:rsid w:val="00C70873"/>
    <w:rsid w:val="00C70AA5"/>
    <w:rsid w:val="00C72116"/>
    <w:rsid w:val="00C73AD8"/>
    <w:rsid w:val="00C75122"/>
    <w:rsid w:val="00C76FD6"/>
    <w:rsid w:val="00C80656"/>
    <w:rsid w:val="00C80704"/>
    <w:rsid w:val="00C81BD6"/>
    <w:rsid w:val="00C83635"/>
    <w:rsid w:val="00C84742"/>
    <w:rsid w:val="00C85452"/>
    <w:rsid w:val="00C865A6"/>
    <w:rsid w:val="00C86BA6"/>
    <w:rsid w:val="00C87AFD"/>
    <w:rsid w:val="00C907A3"/>
    <w:rsid w:val="00C91F78"/>
    <w:rsid w:val="00C91F83"/>
    <w:rsid w:val="00C92683"/>
    <w:rsid w:val="00C92D4F"/>
    <w:rsid w:val="00C93CDE"/>
    <w:rsid w:val="00C93E1E"/>
    <w:rsid w:val="00C94591"/>
    <w:rsid w:val="00C95A71"/>
    <w:rsid w:val="00C96F6A"/>
    <w:rsid w:val="00C975B8"/>
    <w:rsid w:val="00C97B95"/>
    <w:rsid w:val="00C97CB9"/>
    <w:rsid w:val="00CA0839"/>
    <w:rsid w:val="00CA0E02"/>
    <w:rsid w:val="00CA285D"/>
    <w:rsid w:val="00CA32DB"/>
    <w:rsid w:val="00CA358F"/>
    <w:rsid w:val="00CA42E8"/>
    <w:rsid w:val="00CA7C9D"/>
    <w:rsid w:val="00CB01FD"/>
    <w:rsid w:val="00CB3917"/>
    <w:rsid w:val="00CB43EF"/>
    <w:rsid w:val="00CB78E1"/>
    <w:rsid w:val="00CB7FE4"/>
    <w:rsid w:val="00CC0D32"/>
    <w:rsid w:val="00CC23CD"/>
    <w:rsid w:val="00CC29F4"/>
    <w:rsid w:val="00CC2ADA"/>
    <w:rsid w:val="00CC391C"/>
    <w:rsid w:val="00CC3A5A"/>
    <w:rsid w:val="00CC4C03"/>
    <w:rsid w:val="00CC70CD"/>
    <w:rsid w:val="00CD04A9"/>
    <w:rsid w:val="00CD05A9"/>
    <w:rsid w:val="00CD1964"/>
    <w:rsid w:val="00CD1CC2"/>
    <w:rsid w:val="00CD2089"/>
    <w:rsid w:val="00CD69CE"/>
    <w:rsid w:val="00CD78CB"/>
    <w:rsid w:val="00CD7FE7"/>
    <w:rsid w:val="00CE1945"/>
    <w:rsid w:val="00CE2772"/>
    <w:rsid w:val="00CE2AA6"/>
    <w:rsid w:val="00CE2B42"/>
    <w:rsid w:val="00CE4F3A"/>
    <w:rsid w:val="00CE5664"/>
    <w:rsid w:val="00CE73A6"/>
    <w:rsid w:val="00CE7A4F"/>
    <w:rsid w:val="00CF07CB"/>
    <w:rsid w:val="00CF0D2E"/>
    <w:rsid w:val="00CF2633"/>
    <w:rsid w:val="00CF2B59"/>
    <w:rsid w:val="00CF32C4"/>
    <w:rsid w:val="00CF3866"/>
    <w:rsid w:val="00CF5351"/>
    <w:rsid w:val="00CF5708"/>
    <w:rsid w:val="00CF6072"/>
    <w:rsid w:val="00D00226"/>
    <w:rsid w:val="00D0116E"/>
    <w:rsid w:val="00D011E4"/>
    <w:rsid w:val="00D01355"/>
    <w:rsid w:val="00D01427"/>
    <w:rsid w:val="00D026F9"/>
    <w:rsid w:val="00D0327D"/>
    <w:rsid w:val="00D05113"/>
    <w:rsid w:val="00D05BD3"/>
    <w:rsid w:val="00D05FBF"/>
    <w:rsid w:val="00D10434"/>
    <w:rsid w:val="00D108FF"/>
    <w:rsid w:val="00D10F3A"/>
    <w:rsid w:val="00D114EE"/>
    <w:rsid w:val="00D12EDE"/>
    <w:rsid w:val="00D13796"/>
    <w:rsid w:val="00D13F2C"/>
    <w:rsid w:val="00D15FBE"/>
    <w:rsid w:val="00D17CF8"/>
    <w:rsid w:val="00D2025C"/>
    <w:rsid w:val="00D20A9C"/>
    <w:rsid w:val="00D22D7C"/>
    <w:rsid w:val="00D23316"/>
    <w:rsid w:val="00D235CE"/>
    <w:rsid w:val="00D2446F"/>
    <w:rsid w:val="00D244E5"/>
    <w:rsid w:val="00D254E5"/>
    <w:rsid w:val="00D26CA0"/>
    <w:rsid w:val="00D27BFB"/>
    <w:rsid w:val="00D27EB8"/>
    <w:rsid w:val="00D316FE"/>
    <w:rsid w:val="00D3263D"/>
    <w:rsid w:val="00D33513"/>
    <w:rsid w:val="00D33737"/>
    <w:rsid w:val="00D35809"/>
    <w:rsid w:val="00D36410"/>
    <w:rsid w:val="00D3775C"/>
    <w:rsid w:val="00D40B7A"/>
    <w:rsid w:val="00D412E8"/>
    <w:rsid w:val="00D41384"/>
    <w:rsid w:val="00D42034"/>
    <w:rsid w:val="00D435FB"/>
    <w:rsid w:val="00D44B94"/>
    <w:rsid w:val="00D44E21"/>
    <w:rsid w:val="00D46629"/>
    <w:rsid w:val="00D4720F"/>
    <w:rsid w:val="00D5023B"/>
    <w:rsid w:val="00D51C8D"/>
    <w:rsid w:val="00D51DC9"/>
    <w:rsid w:val="00D542CD"/>
    <w:rsid w:val="00D54901"/>
    <w:rsid w:val="00D5569E"/>
    <w:rsid w:val="00D57119"/>
    <w:rsid w:val="00D57523"/>
    <w:rsid w:val="00D57D7C"/>
    <w:rsid w:val="00D63111"/>
    <w:rsid w:val="00D643A2"/>
    <w:rsid w:val="00D64CF3"/>
    <w:rsid w:val="00D65011"/>
    <w:rsid w:val="00D652DB"/>
    <w:rsid w:val="00D66CB9"/>
    <w:rsid w:val="00D66ED6"/>
    <w:rsid w:val="00D71B54"/>
    <w:rsid w:val="00D73E94"/>
    <w:rsid w:val="00D745BC"/>
    <w:rsid w:val="00D75912"/>
    <w:rsid w:val="00D7604C"/>
    <w:rsid w:val="00D77A50"/>
    <w:rsid w:val="00D80B0B"/>
    <w:rsid w:val="00D81FD5"/>
    <w:rsid w:val="00D82006"/>
    <w:rsid w:val="00D82612"/>
    <w:rsid w:val="00D84D10"/>
    <w:rsid w:val="00D85F52"/>
    <w:rsid w:val="00D86EC8"/>
    <w:rsid w:val="00D9142E"/>
    <w:rsid w:val="00D91AB6"/>
    <w:rsid w:val="00D9223B"/>
    <w:rsid w:val="00D92902"/>
    <w:rsid w:val="00D93D58"/>
    <w:rsid w:val="00D952A4"/>
    <w:rsid w:val="00D95583"/>
    <w:rsid w:val="00D95BC0"/>
    <w:rsid w:val="00D96058"/>
    <w:rsid w:val="00D97347"/>
    <w:rsid w:val="00DA1047"/>
    <w:rsid w:val="00DA141E"/>
    <w:rsid w:val="00DA1A31"/>
    <w:rsid w:val="00DA1AC6"/>
    <w:rsid w:val="00DA208F"/>
    <w:rsid w:val="00DA2BB9"/>
    <w:rsid w:val="00DA344E"/>
    <w:rsid w:val="00DA3784"/>
    <w:rsid w:val="00DA4558"/>
    <w:rsid w:val="00DA47F9"/>
    <w:rsid w:val="00DA6221"/>
    <w:rsid w:val="00DA7373"/>
    <w:rsid w:val="00DB1294"/>
    <w:rsid w:val="00DB19EB"/>
    <w:rsid w:val="00DB3018"/>
    <w:rsid w:val="00DB3170"/>
    <w:rsid w:val="00DB598B"/>
    <w:rsid w:val="00DB5F1A"/>
    <w:rsid w:val="00DB6408"/>
    <w:rsid w:val="00DB7105"/>
    <w:rsid w:val="00DC30CB"/>
    <w:rsid w:val="00DC3B28"/>
    <w:rsid w:val="00DC4639"/>
    <w:rsid w:val="00DC6B22"/>
    <w:rsid w:val="00DC7AF9"/>
    <w:rsid w:val="00DD0420"/>
    <w:rsid w:val="00DD1A39"/>
    <w:rsid w:val="00DD1E72"/>
    <w:rsid w:val="00DD4765"/>
    <w:rsid w:val="00DD5AAF"/>
    <w:rsid w:val="00DD5BC1"/>
    <w:rsid w:val="00DD6AE6"/>
    <w:rsid w:val="00DD6B39"/>
    <w:rsid w:val="00DD70C3"/>
    <w:rsid w:val="00DE05D4"/>
    <w:rsid w:val="00DE06F0"/>
    <w:rsid w:val="00DE074B"/>
    <w:rsid w:val="00DE0857"/>
    <w:rsid w:val="00DE0EFA"/>
    <w:rsid w:val="00DE15E3"/>
    <w:rsid w:val="00DE2F8C"/>
    <w:rsid w:val="00DE3801"/>
    <w:rsid w:val="00DE3CAD"/>
    <w:rsid w:val="00DE4535"/>
    <w:rsid w:val="00DE48B0"/>
    <w:rsid w:val="00DE62D8"/>
    <w:rsid w:val="00DE7479"/>
    <w:rsid w:val="00DF0592"/>
    <w:rsid w:val="00DF4606"/>
    <w:rsid w:val="00DF4AA1"/>
    <w:rsid w:val="00DF6CAB"/>
    <w:rsid w:val="00DF7B52"/>
    <w:rsid w:val="00E02739"/>
    <w:rsid w:val="00E06AD3"/>
    <w:rsid w:val="00E06E13"/>
    <w:rsid w:val="00E07348"/>
    <w:rsid w:val="00E07D05"/>
    <w:rsid w:val="00E07D7A"/>
    <w:rsid w:val="00E07E0C"/>
    <w:rsid w:val="00E12D10"/>
    <w:rsid w:val="00E13F2E"/>
    <w:rsid w:val="00E14FB6"/>
    <w:rsid w:val="00E20A91"/>
    <w:rsid w:val="00E21057"/>
    <w:rsid w:val="00E21348"/>
    <w:rsid w:val="00E225F7"/>
    <w:rsid w:val="00E22D1B"/>
    <w:rsid w:val="00E23181"/>
    <w:rsid w:val="00E234A7"/>
    <w:rsid w:val="00E23A81"/>
    <w:rsid w:val="00E244E4"/>
    <w:rsid w:val="00E2495D"/>
    <w:rsid w:val="00E24DA9"/>
    <w:rsid w:val="00E2511A"/>
    <w:rsid w:val="00E259FB"/>
    <w:rsid w:val="00E25A75"/>
    <w:rsid w:val="00E3259C"/>
    <w:rsid w:val="00E330AD"/>
    <w:rsid w:val="00E33A85"/>
    <w:rsid w:val="00E35F20"/>
    <w:rsid w:val="00E411FD"/>
    <w:rsid w:val="00E41948"/>
    <w:rsid w:val="00E42AA6"/>
    <w:rsid w:val="00E4355C"/>
    <w:rsid w:val="00E441E0"/>
    <w:rsid w:val="00E44AEB"/>
    <w:rsid w:val="00E45505"/>
    <w:rsid w:val="00E46B9B"/>
    <w:rsid w:val="00E46D31"/>
    <w:rsid w:val="00E5027B"/>
    <w:rsid w:val="00E509C6"/>
    <w:rsid w:val="00E5190E"/>
    <w:rsid w:val="00E5197C"/>
    <w:rsid w:val="00E5270D"/>
    <w:rsid w:val="00E565B7"/>
    <w:rsid w:val="00E57D5E"/>
    <w:rsid w:val="00E60DAC"/>
    <w:rsid w:val="00E61906"/>
    <w:rsid w:val="00E61DC3"/>
    <w:rsid w:val="00E62BED"/>
    <w:rsid w:val="00E63076"/>
    <w:rsid w:val="00E63ACE"/>
    <w:rsid w:val="00E64557"/>
    <w:rsid w:val="00E66186"/>
    <w:rsid w:val="00E66A19"/>
    <w:rsid w:val="00E700F3"/>
    <w:rsid w:val="00E70261"/>
    <w:rsid w:val="00E71107"/>
    <w:rsid w:val="00E7171D"/>
    <w:rsid w:val="00E71AEF"/>
    <w:rsid w:val="00E71F22"/>
    <w:rsid w:val="00E72020"/>
    <w:rsid w:val="00E749F9"/>
    <w:rsid w:val="00E81C1A"/>
    <w:rsid w:val="00E81F68"/>
    <w:rsid w:val="00E82C23"/>
    <w:rsid w:val="00E83B76"/>
    <w:rsid w:val="00E84452"/>
    <w:rsid w:val="00E84DCC"/>
    <w:rsid w:val="00E853BE"/>
    <w:rsid w:val="00E86032"/>
    <w:rsid w:val="00E86413"/>
    <w:rsid w:val="00E865CC"/>
    <w:rsid w:val="00E86E19"/>
    <w:rsid w:val="00E90712"/>
    <w:rsid w:val="00E936E0"/>
    <w:rsid w:val="00E94E10"/>
    <w:rsid w:val="00E97555"/>
    <w:rsid w:val="00EA00D6"/>
    <w:rsid w:val="00EA591E"/>
    <w:rsid w:val="00EA7126"/>
    <w:rsid w:val="00EB19BF"/>
    <w:rsid w:val="00EB1C99"/>
    <w:rsid w:val="00EB261F"/>
    <w:rsid w:val="00EB4266"/>
    <w:rsid w:val="00EB4CE6"/>
    <w:rsid w:val="00EB788E"/>
    <w:rsid w:val="00EC0283"/>
    <w:rsid w:val="00EC3169"/>
    <w:rsid w:val="00EC447D"/>
    <w:rsid w:val="00EC4A0E"/>
    <w:rsid w:val="00EC4F8B"/>
    <w:rsid w:val="00EC5743"/>
    <w:rsid w:val="00EC6C2F"/>
    <w:rsid w:val="00EC71EE"/>
    <w:rsid w:val="00EC7BB9"/>
    <w:rsid w:val="00EC7F4A"/>
    <w:rsid w:val="00EC7F85"/>
    <w:rsid w:val="00ED0F3A"/>
    <w:rsid w:val="00ED1555"/>
    <w:rsid w:val="00ED19CA"/>
    <w:rsid w:val="00ED1B10"/>
    <w:rsid w:val="00ED22A4"/>
    <w:rsid w:val="00ED2C9A"/>
    <w:rsid w:val="00ED31A6"/>
    <w:rsid w:val="00ED3E78"/>
    <w:rsid w:val="00ED3FC1"/>
    <w:rsid w:val="00ED4097"/>
    <w:rsid w:val="00ED4E10"/>
    <w:rsid w:val="00ED5957"/>
    <w:rsid w:val="00ED684D"/>
    <w:rsid w:val="00ED7511"/>
    <w:rsid w:val="00ED77EF"/>
    <w:rsid w:val="00EE00DE"/>
    <w:rsid w:val="00EE183A"/>
    <w:rsid w:val="00EE1F79"/>
    <w:rsid w:val="00EE3010"/>
    <w:rsid w:val="00EE391C"/>
    <w:rsid w:val="00EE4EEC"/>
    <w:rsid w:val="00EE623C"/>
    <w:rsid w:val="00EE7139"/>
    <w:rsid w:val="00EF1AF1"/>
    <w:rsid w:val="00EF2926"/>
    <w:rsid w:val="00EF48F9"/>
    <w:rsid w:val="00EF4F04"/>
    <w:rsid w:val="00EF5544"/>
    <w:rsid w:val="00F00744"/>
    <w:rsid w:val="00F010C2"/>
    <w:rsid w:val="00F04B91"/>
    <w:rsid w:val="00F0590B"/>
    <w:rsid w:val="00F0699C"/>
    <w:rsid w:val="00F1086B"/>
    <w:rsid w:val="00F10FCC"/>
    <w:rsid w:val="00F11AEC"/>
    <w:rsid w:val="00F12173"/>
    <w:rsid w:val="00F127A1"/>
    <w:rsid w:val="00F12D45"/>
    <w:rsid w:val="00F13603"/>
    <w:rsid w:val="00F13E8D"/>
    <w:rsid w:val="00F14118"/>
    <w:rsid w:val="00F15409"/>
    <w:rsid w:val="00F16B07"/>
    <w:rsid w:val="00F16DCD"/>
    <w:rsid w:val="00F175B5"/>
    <w:rsid w:val="00F22F9E"/>
    <w:rsid w:val="00F23C10"/>
    <w:rsid w:val="00F24DD4"/>
    <w:rsid w:val="00F24DEA"/>
    <w:rsid w:val="00F2629C"/>
    <w:rsid w:val="00F26A69"/>
    <w:rsid w:val="00F2736D"/>
    <w:rsid w:val="00F27491"/>
    <w:rsid w:val="00F27929"/>
    <w:rsid w:val="00F306C1"/>
    <w:rsid w:val="00F30F00"/>
    <w:rsid w:val="00F3289E"/>
    <w:rsid w:val="00F32BF9"/>
    <w:rsid w:val="00F33EED"/>
    <w:rsid w:val="00F33F12"/>
    <w:rsid w:val="00F35CFC"/>
    <w:rsid w:val="00F3681B"/>
    <w:rsid w:val="00F36E7C"/>
    <w:rsid w:val="00F378A9"/>
    <w:rsid w:val="00F40476"/>
    <w:rsid w:val="00F41758"/>
    <w:rsid w:val="00F42B57"/>
    <w:rsid w:val="00F42B58"/>
    <w:rsid w:val="00F45304"/>
    <w:rsid w:val="00F45637"/>
    <w:rsid w:val="00F457BF"/>
    <w:rsid w:val="00F45B34"/>
    <w:rsid w:val="00F45D12"/>
    <w:rsid w:val="00F45DF4"/>
    <w:rsid w:val="00F46A9B"/>
    <w:rsid w:val="00F473D3"/>
    <w:rsid w:val="00F47C4D"/>
    <w:rsid w:val="00F505CE"/>
    <w:rsid w:val="00F505EC"/>
    <w:rsid w:val="00F517BB"/>
    <w:rsid w:val="00F53087"/>
    <w:rsid w:val="00F60F2E"/>
    <w:rsid w:val="00F628D1"/>
    <w:rsid w:val="00F63AF4"/>
    <w:rsid w:val="00F63E00"/>
    <w:rsid w:val="00F661F2"/>
    <w:rsid w:val="00F70816"/>
    <w:rsid w:val="00F715CB"/>
    <w:rsid w:val="00F737F0"/>
    <w:rsid w:val="00F73B8C"/>
    <w:rsid w:val="00F744DB"/>
    <w:rsid w:val="00F74C2E"/>
    <w:rsid w:val="00F753BE"/>
    <w:rsid w:val="00F8088A"/>
    <w:rsid w:val="00F81860"/>
    <w:rsid w:val="00F824F1"/>
    <w:rsid w:val="00F834C8"/>
    <w:rsid w:val="00F84115"/>
    <w:rsid w:val="00F84584"/>
    <w:rsid w:val="00F85AA3"/>
    <w:rsid w:val="00F85C31"/>
    <w:rsid w:val="00F869EB"/>
    <w:rsid w:val="00F875E6"/>
    <w:rsid w:val="00F91259"/>
    <w:rsid w:val="00F92292"/>
    <w:rsid w:val="00F94EDC"/>
    <w:rsid w:val="00F9597C"/>
    <w:rsid w:val="00F96912"/>
    <w:rsid w:val="00FA089D"/>
    <w:rsid w:val="00FA0B64"/>
    <w:rsid w:val="00FA1A89"/>
    <w:rsid w:val="00FA2E93"/>
    <w:rsid w:val="00FA4AA2"/>
    <w:rsid w:val="00FA63BA"/>
    <w:rsid w:val="00FA7F24"/>
    <w:rsid w:val="00FB02A0"/>
    <w:rsid w:val="00FB083B"/>
    <w:rsid w:val="00FB18A6"/>
    <w:rsid w:val="00FB2299"/>
    <w:rsid w:val="00FB2F14"/>
    <w:rsid w:val="00FB70F0"/>
    <w:rsid w:val="00FB70F8"/>
    <w:rsid w:val="00FB7171"/>
    <w:rsid w:val="00FB72D7"/>
    <w:rsid w:val="00FB7F1B"/>
    <w:rsid w:val="00FC1CD4"/>
    <w:rsid w:val="00FC2C68"/>
    <w:rsid w:val="00FC417F"/>
    <w:rsid w:val="00FC5DE6"/>
    <w:rsid w:val="00FC7A45"/>
    <w:rsid w:val="00FC7C02"/>
    <w:rsid w:val="00FD0FFC"/>
    <w:rsid w:val="00FD360B"/>
    <w:rsid w:val="00FD441C"/>
    <w:rsid w:val="00FD688C"/>
    <w:rsid w:val="00FD6DF4"/>
    <w:rsid w:val="00FD7174"/>
    <w:rsid w:val="00FD7431"/>
    <w:rsid w:val="00FD7F1A"/>
    <w:rsid w:val="00FE03F4"/>
    <w:rsid w:val="00FE086E"/>
    <w:rsid w:val="00FE26CD"/>
    <w:rsid w:val="00FE361E"/>
    <w:rsid w:val="00FE5445"/>
    <w:rsid w:val="00FE6753"/>
    <w:rsid w:val="00FE772B"/>
    <w:rsid w:val="00FE7D91"/>
    <w:rsid w:val="00FF05F7"/>
    <w:rsid w:val="00FF1D23"/>
    <w:rsid w:val="00FF48A2"/>
    <w:rsid w:val="00FF5FFB"/>
    <w:rsid w:val="00FF6AFA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4C7F"/>
  <w15:chartTrackingRefBased/>
  <w15:docId w15:val="{CD1993D1-70F2-4B6D-864A-7BD70D88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C156C8"/>
    <w:rPr>
      <w:lang w:val="sr-Latn-RS"/>
    </w:rPr>
  </w:style>
  <w:style w:type="paragraph" w:styleId="Naslov1">
    <w:name w:val="heading 1"/>
    <w:basedOn w:val="Normalno"/>
    <w:next w:val="Normalno"/>
    <w:link w:val="Naslov1Znak"/>
    <w:uiPriority w:val="9"/>
    <w:qFormat/>
    <w:rsid w:val="001B19AE"/>
    <w:pPr>
      <w:keepNext/>
      <w:keepLines/>
      <w:numPr>
        <w:numId w:val="7"/>
      </w:numPr>
      <w:spacing w:before="3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 w:eastAsia="sq-AL"/>
    </w:rPr>
  </w:style>
  <w:style w:type="paragraph" w:styleId="Naslov2">
    <w:name w:val="heading 2"/>
    <w:basedOn w:val="Normalno"/>
    <w:next w:val="Normalno"/>
    <w:link w:val="Naslov2Znak"/>
    <w:uiPriority w:val="9"/>
    <w:unhideWhenUsed/>
    <w:qFormat/>
    <w:rsid w:val="001B19AE"/>
    <w:pPr>
      <w:keepNext/>
      <w:keepLines/>
      <w:numPr>
        <w:ilvl w:val="1"/>
        <w:numId w:val="7"/>
      </w:numPr>
      <w:spacing w:before="160" w:after="120" w:line="240" w:lineRule="auto"/>
      <w:outlineLvl w:val="1"/>
    </w:pPr>
    <w:rPr>
      <w:rFonts w:ascii="Times New Roman" w:eastAsia="Times New Roman" w:hAnsi="Times New Roman" w:cs="Times New Roman"/>
      <w:b/>
      <w:sz w:val="24"/>
      <w:szCs w:val="26"/>
      <w:lang w:eastAsia="sq-AL"/>
    </w:rPr>
  </w:style>
  <w:style w:type="paragraph" w:styleId="Naslov3">
    <w:name w:val="heading 3"/>
    <w:basedOn w:val="Normalno"/>
    <w:next w:val="Normalno"/>
    <w:link w:val="Naslov3Znak"/>
    <w:uiPriority w:val="9"/>
    <w:unhideWhenUsed/>
    <w:qFormat/>
    <w:rsid w:val="0031151C"/>
    <w:pPr>
      <w:keepNext/>
      <w:keepLines/>
      <w:numPr>
        <w:ilvl w:val="2"/>
        <w:numId w:val="7"/>
      </w:numPr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0"/>
      <w:szCs w:val="20"/>
      <w:lang w:eastAsia="sq-AL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31151C"/>
    <w:pPr>
      <w:keepNext/>
      <w:keepLines/>
      <w:numPr>
        <w:ilvl w:val="3"/>
        <w:numId w:val="7"/>
      </w:numPr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0"/>
      <w:szCs w:val="20"/>
      <w:lang w:eastAsia="sq-AL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31151C"/>
    <w:pPr>
      <w:keepNext/>
      <w:keepLines/>
      <w:numPr>
        <w:ilvl w:val="4"/>
        <w:numId w:val="7"/>
      </w:numPr>
      <w:spacing w:before="40" w:after="0" w:line="240" w:lineRule="auto"/>
      <w:outlineLvl w:val="4"/>
    </w:pPr>
    <w:rPr>
      <w:rFonts w:ascii="Calibri Light" w:eastAsia="Times New Roman" w:hAnsi="Calibri Light" w:cs="Times New Roman"/>
      <w:color w:val="2F5496"/>
      <w:sz w:val="20"/>
      <w:szCs w:val="20"/>
      <w:lang w:eastAsia="sq-AL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31151C"/>
    <w:pPr>
      <w:keepNext/>
      <w:keepLines/>
      <w:numPr>
        <w:ilvl w:val="5"/>
        <w:numId w:val="7"/>
      </w:numPr>
      <w:spacing w:before="40" w:after="0" w:line="240" w:lineRule="auto"/>
      <w:outlineLvl w:val="5"/>
    </w:pPr>
    <w:rPr>
      <w:rFonts w:ascii="Calibri Light" w:eastAsia="Times New Roman" w:hAnsi="Calibri Light" w:cs="Times New Roman"/>
      <w:color w:val="1F3763"/>
      <w:sz w:val="20"/>
      <w:szCs w:val="20"/>
      <w:lang w:eastAsia="sq-AL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31151C"/>
    <w:pPr>
      <w:keepNext/>
      <w:keepLines/>
      <w:numPr>
        <w:ilvl w:val="6"/>
        <w:numId w:val="7"/>
      </w:numPr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3763"/>
      <w:sz w:val="20"/>
      <w:szCs w:val="20"/>
      <w:lang w:eastAsia="sq-AL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31151C"/>
    <w:pPr>
      <w:keepNext/>
      <w:keepLines/>
      <w:numPr>
        <w:ilvl w:val="7"/>
        <w:numId w:val="7"/>
      </w:numPr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sq-AL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31151C"/>
    <w:pPr>
      <w:keepNext/>
      <w:keepLines/>
      <w:numPr>
        <w:ilvl w:val="8"/>
        <w:numId w:val="7"/>
      </w:numPr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sq-AL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aslov">
    <w:name w:val="Subtitle"/>
    <w:basedOn w:val="Normalno"/>
    <w:next w:val="Normalno"/>
    <w:link w:val="PodnaslovZnak"/>
    <w:uiPriority w:val="11"/>
    <w:qFormat/>
    <w:rsid w:val="00F85AA3"/>
    <w:pPr>
      <w:pageBreakBefore/>
      <w:numPr>
        <w:ilvl w:val="1"/>
      </w:numPr>
      <w:outlineLvl w:val="0"/>
    </w:pPr>
    <w:rPr>
      <w:rFonts w:asciiTheme="majorHAnsi" w:eastAsiaTheme="minorEastAsia" w:hAnsiTheme="majorHAnsi"/>
      <w:bCs/>
      <w:color w:val="5A5A5A" w:themeColor="text1" w:themeTint="A5"/>
      <w:spacing w:val="15"/>
    </w:rPr>
  </w:style>
  <w:style w:type="character" w:customStyle="1" w:styleId="PodnaslovZnak">
    <w:name w:val="Podnaslov Znak"/>
    <w:basedOn w:val="Zadanifontparagrafa"/>
    <w:link w:val="Podnaslov"/>
    <w:uiPriority w:val="11"/>
    <w:rsid w:val="00F85AA3"/>
    <w:rPr>
      <w:rFonts w:asciiTheme="majorHAnsi" w:eastAsiaTheme="minorEastAsia" w:hAnsiTheme="majorHAnsi"/>
      <w:bCs/>
      <w:color w:val="5A5A5A" w:themeColor="text1" w:themeTint="A5"/>
      <w:spacing w:val="15"/>
      <w:lang w:val="sq-AL"/>
    </w:rPr>
  </w:style>
  <w:style w:type="paragraph" w:styleId="Paragrafspiska">
    <w:name w:val="List Paragraph"/>
    <w:aliases w:val="List Paragraph (numbered (a)),Normal 1,List Paragraph 1,Akapit z listą BS,Bullets"/>
    <w:basedOn w:val="Normalno"/>
    <w:link w:val="ParagrafspiskaZnak"/>
    <w:uiPriority w:val="1"/>
    <w:qFormat/>
    <w:rsid w:val="00C83635"/>
    <w:pPr>
      <w:ind w:left="720"/>
      <w:contextualSpacing/>
    </w:pPr>
  </w:style>
  <w:style w:type="character" w:customStyle="1" w:styleId="ParagrafspiskaZnak">
    <w:name w:val="Paragraf spiska Znak"/>
    <w:aliases w:val="List Paragraph (numbered (a)) Znak,Normal 1 Znak,List Paragraph 1 Znak,Akapit z listą BS Znak,Bullets Znak"/>
    <w:link w:val="Paragrafspiska"/>
    <w:uiPriority w:val="34"/>
    <w:rsid w:val="0031151C"/>
    <w:rPr>
      <w:lang w:val="sq-AL"/>
    </w:rPr>
  </w:style>
  <w:style w:type="character" w:customStyle="1" w:styleId="Naslov1Znak">
    <w:name w:val="Naslov 1 Znak"/>
    <w:basedOn w:val="Zadanifontparagrafa"/>
    <w:link w:val="Naslov1"/>
    <w:uiPriority w:val="9"/>
    <w:rsid w:val="001B19AE"/>
    <w:rPr>
      <w:rFonts w:ascii="Times New Roman" w:eastAsia="Times New Roman" w:hAnsi="Times New Roman" w:cs="Times New Roman"/>
      <w:b/>
      <w:sz w:val="28"/>
      <w:szCs w:val="32"/>
      <w:lang w:val="sq-AL" w:eastAsia="sq-AL"/>
    </w:rPr>
  </w:style>
  <w:style w:type="character" w:customStyle="1" w:styleId="Naslov2Znak">
    <w:name w:val="Naslov 2 Znak"/>
    <w:basedOn w:val="Zadanifontparagrafa"/>
    <w:link w:val="Naslov2"/>
    <w:uiPriority w:val="9"/>
    <w:rsid w:val="001B19AE"/>
    <w:rPr>
      <w:rFonts w:ascii="Times New Roman" w:eastAsia="Times New Roman" w:hAnsi="Times New Roman" w:cs="Times New Roman"/>
      <w:b/>
      <w:sz w:val="24"/>
      <w:szCs w:val="26"/>
      <w:lang w:val="sq-AL" w:eastAsia="sq-AL"/>
    </w:rPr>
  </w:style>
  <w:style w:type="character" w:customStyle="1" w:styleId="Naslov3Znak">
    <w:name w:val="Naslov 3 Znak"/>
    <w:basedOn w:val="Zadanifontparagrafa"/>
    <w:link w:val="Naslov3"/>
    <w:uiPriority w:val="9"/>
    <w:rsid w:val="0031151C"/>
    <w:rPr>
      <w:rFonts w:ascii="Calibri Light" w:eastAsia="Times New Roman" w:hAnsi="Calibri Light" w:cs="Times New Roman"/>
      <w:color w:val="1F3763"/>
      <w:sz w:val="20"/>
      <w:szCs w:val="20"/>
      <w:lang w:val="sq-AL" w:eastAsia="sq-AL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31151C"/>
    <w:rPr>
      <w:rFonts w:ascii="Calibri Light" w:eastAsia="Times New Roman" w:hAnsi="Calibri Light" w:cs="Times New Roman"/>
      <w:i/>
      <w:iCs/>
      <w:color w:val="2F5496"/>
      <w:sz w:val="20"/>
      <w:szCs w:val="20"/>
      <w:lang w:val="sq-AL" w:eastAsia="sq-AL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31151C"/>
    <w:rPr>
      <w:rFonts w:ascii="Calibri Light" w:eastAsia="Times New Roman" w:hAnsi="Calibri Light" w:cs="Times New Roman"/>
      <w:color w:val="2F5496"/>
      <w:sz w:val="20"/>
      <w:szCs w:val="20"/>
      <w:lang w:val="sq-AL" w:eastAsia="sq-AL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31151C"/>
    <w:rPr>
      <w:rFonts w:ascii="Calibri Light" w:eastAsia="Times New Roman" w:hAnsi="Calibri Light" w:cs="Times New Roman"/>
      <w:color w:val="1F3763"/>
      <w:sz w:val="20"/>
      <w:szCs w:val="20"/>
      <w:lang w:val="sq-AL" w:eastAsia="sq-AL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31151C"/>
    <w:rPr>
      <w:rFonts w:ascii="Calibri Light" w:eastAsia="Times New Roman" w:hAnsi="Calibri Light" w:cs="Times New Roman"/>
      <w:i/>
      <w:iCs/>
      <w:color w:val="1F3763"/>
      <w:sz w:val="20"/>
      <w:szCs w:val="20"/>
      <w:lang w:val="sq-AL" w:eastAsia="sq-AL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31151C"/>
    <w:rPr>
      <w:rFonts w:ascii="Calibri Light" w:eastAsia="Times New Roman" w:hAnsi="Calibri Light" w:cs="Times New Roman"/>
      <w:color w:val="272727"/>
      <w:sz w:val="21"/>
      <w:szCs w:val="21"/>
      <w:lang w:val="sq-AL" w:eastAsia="sq-AL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31151C"/>
    <w:rPr>
      <w:rFonts w:ascii="Calibri Light" w:eastAsia="Times New Roman" w:hAnsi="Calibri Light" w:cs="Times New Roman"/>
      <w:i/>
      <w:iCs/>
      <w:color w:val="272727"/>
      <w:sz w:val="21"/>
      <w:szCs w:val="21"/>
      <w:lang w:val="sq-AL" w:eastAsia="sq-AL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6F3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6F30AD"/>
    <w:rPr>
      <w:rFonts w:ascii="Segoe UI" w:hAnsi="Segoe UI" w:cs="Segoe UI"/>
      <w:sz w:val="18"/>
      <w:szCs w:val="18"/>
      <w:lang w:val="sq-AL"/>
    </w:rPr>
  </w:style>
  <w:style w:type="character" w:styleId="Naglaavanje">
    <w:name w:val="Emphasis"/>
    <w:basedOn w:val="Zadanifontparagrafa"/>
    <w:uiPriority w:val="20"/>
    <w:qFormat/>
    <w:rsid w:val="00776647"/>
    <w:rPr>
      <w:i/>
      <w:iCs/>
    </w:rPr>
  </w:style>
  <w:style w:type="paragraph" w:styleId="Zaglavlje">
    <w:name w:val="header"/>
    <w:basedOn w:val="Normalno"/>
    <w:link w:val="ZaglavljeZnak"/>
    <w:uiPriority w:val="99"/>
    <w:unhideWhenUsed/>
    <w:rsid w:val="00BC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BC2B80"/>
    <w:rPr>
      <w:lang w:val="sq-AL"/>
    </w:rPr>
  </w:style>
  <w:style w:type="paragraph" w:styleId="Podnoje">
    <w:name w:val="footer"/>
    <w:basedOn w:val="Normalno"/>
    <w:link w:val="PodnojeZnak"/>
    <w:uiPriority w:val="99"/>
    <w:unhideWhenUsed/>
    <w:rsid w:val="00BC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BC2B80"/>
    <w:rPr>
      <w:lang w:val="sq-AL"/>
    </w:rPr>
  </w:style>
  <w:style w:type="paragraph" w:styleId="Naslovsadraja">
    <w:name w:val="TOC Heading"/>
    <w:basedOn w:val="Naslov1"/>
    <w:next w:val="Normalno"/>
    <w:uiPriority w:val="39"/>
    <w:unhideWhenUsed/>
    <w:qFormat/>
    <w:rsid w:val="00615B6E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n-US" w:eastAsia="en-US"/>
    </w:rPr>
  </w:style>
  <w:style w:type="paragraph" w:styleId="Sadraj1">
    <w:name w:val="toc 1"/>
    <w:basedOn w:val="Normalno"/>
    <w:next w:val="Normalno"/>
    <w:autoRedefine/>
    <w:uiPriority w:val="39"/>
    <w:unhideWhenUsed/>
    <w:rsid w:val="00615B6E"/>
    <w:pPr>
      <w:spacing w:after="100"/>
    </w:pPr>
  </w:style>
  <w:style w:type="character" w:styleId="Hiperveza">
    <w:name w:val="Hyperlink"/>
    <w:basedOn w:val="Zadanifontparagrafa"/>
    <w:uiPriority w:val="99"/>
    <w:unhideWhenUsed/>
    <w:rsid w:val="00615B6E"/>
    <w:rPr>
      <w:color w:val="0563C1" w:themeColor="hyperlink"/>
      <w:u w:val="single"/>
    </w:rPr>
  </w:style>
  <w:style w:type="paragraph" w:styleId="Tijeloteksta">
    <w:name w:val="Body Text"/>
    <w:basedOn w:val="Normalno"/>
    <w:link w:val="TijelotekstaZnak"/>
    <w:uiPriority w:val="1"/>
    <w:qFormat/>
    <w:rsid w:val="00F13E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ijelotekstaZnak">
    <w:name w:val="Tijelo teksta Znak"/>
    <w:basedOn w:val="Zadanifontparagrafa"/>
    <w:link w:val="Tijeloteksta"/>
    <w:uiPriority w:val="1"/>
    <w:rsid w:val="00F13E8D"/>
    <w:rPr>
      <w:rFonts w:ascii="Tahoma" w:eastAsia="Tahoma" w:hAnsi="Tahoma" w:cs="Tahoma"/>
      <w:sz w:val="20"/>
      <w:szCs w:val="20"/>
      <w:lang w:val="sq-AL"/>
    </w:rPr>
  </w:style>
  <w:style w:type="paragraph" w:styleId="Sadraj2">
    <w:name w:val="toc 2"/>
    <w:basedOn w:val="Normalno"/>
    <w:next w:val="Normalno"/>
    <w:autoRedefine/>
    <w:uiPriority w:val="39"/>
    <w:unhideWhenUsed/>
    <w:rsid w:val="00C43A7C"/>
    <w:pPr>
      <w:tabs>
        <w:tab w:val="left" w:pos="660"/>
        <w:tab w:val="right" w:leader="dot" w:pos="9350"/>
      </w:tabs>
      <w:spacing w:after="100"/>
      <w:ind w:left="220"/>
    </w:pPr>
  </w:style>
  <w:style w:type="character" w:styleId="Referencakomentara">
    <w:name w:val="annotation reference"/>
    <w:basedOn w:val="Zadanifontparagrafa"/>
    <w:uiPriority w:val="99"/>
    <w:semiHidden/>
    <w:unhideWhenUsed/>
    <w:rsid w:val="00E60DAC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E60DAC"/>
    <w:pPr>
      <w:spacing w:line="240" w:lineRule="auto"/>
    </w:pPr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E60DAC"/>
    <w:rPr>
      <w:sz w:val="20"/>
      <w:szCs w:val="20"/>
      <w:lang w:val="sq-AL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E60DAC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E60DAC"/>
    <w:rPr>
      <w:b/>
      <w:bCs/>
      <w:sz w:val="20"/>
      <w:szCs w:val="20"/>
      <w:lang w:val="sq-AL"/>
    </w:rPr>
  </w:style>
  <w:style w:type="paragraph" w:styleId="NormalnoWeb">
    <w:name w:val="Normal (Web)"/>
    <w:basedOn w:val="Normalno"/>
    <w:uiPriority w:val="99"/>
    <w:unhideWhenUsed/>
    <w:rsid w:val="0095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kstuvaramjesta">
    <w:name w:val="Placeholder Text"/>
    <w:basedOn w:val="Zadanifontparagrafa"/>
    <w:uiPriority w:val="99"/>
    <w:semiHidden/>
    <w:rsid w:val="008A6D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keta.suka\AppData\Local\Microsoft\Windows\INetCache\Content.Outlook\VJOV2YYU\Raporti%20pe&#776;r%20mbikqyrjen%20e%20raportit%20te&#776;%20PZSEK-se&#776;%20pe&#776;r%20Janar-%20Qershor%202025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s-Latn-B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</a:t>
            </a:r>
            <a:r>
              <a:rPr lang="hr-HR" sz="11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rocenat realizovanja ciljeva </a:t>
            </a:r>
            <a:r>
              <a:rPr lang="en-US" sz="11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jan</a:t>
            </a:r>
            <a:r>
              <a:rPr lang="hr-HR" sz="11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u</a:t>
            </a:r>
            <a:r>
              <a:rPr lang="en-US" sz="11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ar</a:t>
            </a:r>
            <a:r>
              <a:rPr lang="sq-AL" sz="11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 sz="11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-</a:t>
            </a:r>
            <a:r>
              <a:rPr lang="sq-AL" sz="11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jun 2025.</a:t>
            </a:r>
            <a:endParaRPr lang="en-US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229747887018709"/>
          <c:y val="4.500764507240333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2.5515886411583609E-2"/>
                  <c:y val="-4.1666734895657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DB-432A-A639-2E0CB68EAA89}"/>
                </c:ext>
              </c:extLst>
            </c:dLbl>
            <c:dLbl>
              <c:idx val="1"/>
              <c:layout>
                <c:manualLayout>
                  <c:x val="1.7511904181245416E-2"/>
                  <c:y val="-6.4814702616030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DB-432A-A639-2E0CB68EAA89}"/>
                </c:ext>
              </c:extLst>
            </c:dLbl>
            <c:dLbl>
              <c:idx val="2"/>
              <c:layout>
                <c:manualLayout>
                  <c:x val="2.0137484883005596E-2"/>
                  <c:y val="-4.704296101155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DB-432A-A639-2E0CB68EAA89}"/>
                </c:ext>
              </c:extLst>
            </c:dLbl>
            <c:dLbl>
              <c:idx val="3"/>
              <c:layout>
                <c:manualLayout>
                  <c:x val="1.4075456864344483E-2"/>
                  <c:y val="-5.0529844506676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DB-432A-A639-2E0CB68EAA89}"/>
                </c:ext>
              </c:extLst>
            </c:dLbl>
            <c:dLbl>
              <c:idx val="4"/>
              <c:layout>
                <c:manualLayout>
                  <c:x val="2.0815134942972324E-2"/>
                  <c:y val="-2.7449341612075288E-2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ABDB-432A-A639-2E0CB68EAA89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Sheet1!$G$5:$G$9</c:f>
              <c:strCache>
                <c:ptCount val="5"/>
                <c:pt idx="0">
                  <c:v>Objektivi 1</c:v>
                </c:pt>
                <c:pt idx="1">
                  <c:v>Objektivi 2</c:v>
                </c:pt>
                <c:pt idx="2">
                  <c:v>Objektivi 3</c:v>
                </c:pt>
                <c:pt idx="3">
                  <c:v>Objektivi 4</c:v>
                </c:pt>
                <c:pt idx="4">
                  <c:v>Objektivi 5</c:v>
                </c:pt>
              </c:strCache>
            </c:strRef>
          </c:cat>
          <c:val>
            <c:numRef>
              <c:f>Sheet1!$H$5:$H$9</c:f>
              <c:numCache>
                <c:formatCode>0%</c:formatCode>
                <c:ptCount val="5"/>
                <c:pt idx="0">
                  <c:v>0.39</c:v>
                </c:pt>
                <c:pt idx="1">
                  <c:v>0.38</c:v>
                </c:pt>
                <c:pt idx="2">
                  <c:v>0.49</c:v>
                </c:pt>
                <c:pt idx="3">
                  <c:v>0.21</c:v>
                </c:pt>
                <c:pt idx="4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BDB-432A-A639-2E0CB68EAA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0995040"/>
        <c:axId val="680998848"/>
        <c:axId val="0"/>
      </c:bar3DChart>
      <c:catAx>
        <c:axId val="68099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0998848"/>
        <c:crosses val="autoZero"/>
        <c:auto val="1"/>
        <c:lblAlgn val="ctr"/>
        <c:lblOffset val="100"/>
        <c:noMultiLvlLbl val="0"/>
      </c:catAx>
      <c:valAx>
        <c:axId val="68099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09950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s-Latn-B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5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05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</a:t>
            </a:r>
            <a:r>
              <a:rPr lang="hr-HR" sz="105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rocenat realizovanja ciljeva </a:t>
            </a:r>
            <a:r>
              <a:rPr lang="en-US" sz="105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j</a:t>
            </a:r>
            <a:r>
              <a:rPr lang="sq-AL" sz="105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anuar - jun 2025.</a:t>
            </a:r>
            <a:endParaRPr lang="en-US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668939371084361"/>
          <c:y val="3.991552380455754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2.6992625556364246E-2"/>
                  <c:y val="-7.247630827120069E-2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DA76-4E26-9C6D-A0000FE561EE}"/>
                </c:ext>
              </c:extLst>
            </c:dLbl>
            <c:dLbl>
              <c:idx val="1"/>
              <c:layout>
                <c:manualLayout>
                  <c:x val="3.1320250049919715E-2"/>
                  <c:y val="-4.4698627273360741E-2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DA76-4E26-9C6D-A0000FE561EE}"/>
                </c:ext>
              </c:extLst>
            </c:dLbl>
            <c:dLbl>
              <c:idx val="2"/>
              <c:layout>
                <c:manualLayout>
                  <c:x val="2.0651904360092496E-2"/>
                  <c:y val="-5.6579855062364993E-2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DA76-4E26-9C6D-A0000FE561EE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Sheet1!$G$20:$G$22</c:f>
              <c:strCache>
                <c:ptCount val="3"/>
                <c:pt idx="0">
                  <c:v>Potpuno realizovane</c:v>
                </c:pt>
                <c:pt idx="1">
                  <c:v>Delimično realizovane</c:v>
                </c:pt>
                <c:pt idx="2">
                  <c:v>Ne realizovane</c:v>
                </c:pt>
              </c:strCache>
            </c:strRef>
          </c:cat>
          <c:val>
            <c:numRef>
              <c:f>Sheet1!$J$20:$J$22</c:f>
              <c:numCache>
                <c:formatCode>0.00%</c:formatCode>
                <c:ptCount val="3"/>
                <c:pt idx="0">
                  <c:v>5.3600000000000002E-2</c:v>
                </c:pt>
                <c:pt idx="1">
                  <c:v>0.66069999999999995</c:v>
                </c:pt>
                <c:pt idx="2">
                  <c:v>0.28570000000000001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76-4E26-9C6D-A0000FE561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0984704"/>
        <c:axId val="680990688"/>
        <c:axId val="0"/>
      </c:bar3DChart>
      <c:catAx>
        <c:axId val="68098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0990688"/>
        <c:crosses val="autoZero"/>
        <c:auto val="1"/>
        <c:lblAlgn val="ctr"/>
        <c:lblOffset val="100"/>
        <c:noMultiLvlLbl val="0"/>
      </c:catAx>
      <c:valAx>
        <c:axId val="68099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09847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FCEC-D815-47BC-B1B8-3157F9E6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68</Pages>
  <Words>14339</Words>
  <Characters>81738</Characters>
  <Application>Microsoft Office Word</Application>
  <DocSecurity>0</DocSecurity>
  <Lines>681</Lines>
  <Paragraphs>191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Behije Tahiri</dc:creator>
  <cp:keywords/>
  <dc:description/>
  <cp:lastModifiedBy>Toshiba Satellite </cp:lastModifiedBy>
  <cp:revision>125</cp:revision>
  <cp:lastPrinted>2024-08-23T07:23:00Z</cp:lastPrinted>
  <dcterms:created xsi:type="dcterms:W3CDTF">2025-08-21T13:49:00Z</dcterms:created>
  <dcterms:modified xsi:type="dcterms:W3CDTF">2025-09-05T13:45:00Z</dcterms:modified>
</cp:coreProperties>
</file>