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A3" w:rsidRPr="0077446E" w:rsidRDefault="00F85AA3" w:rsidP="00F85AA3">
      <w:pPr>
        <w:jc w:val="center"/>
        <w:rPr>
          <w:rFonts w:ascii="Times New Roman" w:hAnsi="Times New Roman"/>
          <w:b/>
          <w:bCs/>
          <w:sz w:val="24"/>
          <w:szCs w:val="24"/>
        </w:rPr>
      </w:pPr>
    </w:p>
    <w:p w:rsidR="00F85AA3" w:rsidRPr="0077446E" w:rsidRDefault="00F85AA3" w:rsidP="00F85AA3">
      <w:pPr>
        <w:jc w:val="center"/>
        <w:rPr>
          <w:rFonts w:ascii="Times New Roman" w:hAnsi="Times New Roman"/>
          <w:b/>
          <w:bCs/>
          <w:sz w:val="24"/>
          <w:szCs w:val="24"/>
        </w:rPr>
      </w:pPr>
    </w:p>
    <w:p w:rsidR="00F85AA3" w:rsidRPr="0077446E" w:rsidRDefault="00F85AA3" w:rsidP="00F85AA3">
      <w:pPr>
        <w:jc w:val="center"/>
        <w:rPr>
          <w:rFonts w:ascii="Times New Roman" w:hAnsi="Times New Roman"/>
          <w:b/>
          <w:bCs/>
          <w:sz w:val="24"/>
          <w:szCs w:val="24"/>
        </w:rPr>
      </w:pPr>
    </w:p>
    <w:p w:rsidR="00F85AA3" w:rsidRPr="0077446E" w:rsidRDefault="001E0569" w:rsidP="00F85AA3">
      <w:pPr>
        <w:pBdr>
          <w:bottom w:val="single" w:sz="4" w:space="1" w:color="auto"/>
        </w:pBdr>
        <w:jc w:val="center"/>
        <w:rPr>
          <w:rFonts w:ascii="Book Antiqua" w:hAnsi="Book Antiqua"/>
          <w:b/>
          <w:bCs/>
          <w:iCs/>
          <w:sz w:val="24"/>
          <w:szCs w:val="24"/>
        </w:rPr>
      </w:pPr>
      <w:r>
        <w:rPr>
          <w:rFonts w:ascii="Book Antiqua" w:hAnsi="Book Antiqua"/>
          <w:noProof/>
          <w:sz w:val="28"/>
          <w:szCs w:val="28"/>
        </w:rPr>
        <w:drawing>
          <wp:anchor distT="0" distB="0" distL="114300" distR="114300" simplePos="0" relativeHeight="251658240" behindDoc="1" locked="0" layoutInCell="1" allowOverlap="1">
            <wp:simplePos x="0" y="0"/>
            <wp:positionH relativeFrom="column">
              <wp:align>center</wp:align>
            </wp:positionH>
            <wp:positionV relativeFrom="paragraph">
              <wp:posOffset>-1047750</wp:posOffset>
            </wp:positionV>
            <wp:extent cx="890270" cy="94297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890270" cy="942975"/>
                    </a:xfrm>
                    <a:prstGeom prst="rect">
                      <a:avLst/>
                    </a:prstGeom>
                    <a:noFill/>
                  </pic:spPr>
                </pic:pic>
              </a:graphicData>
            </a:graphic>
          </wp:anchor>
        </w:drawing>
      </w:r>
      <w:bookmarkStart w:id="0" w:name="OLE_LINK3"/>
      <w:r>
        <w:rPr>
          <w:rFonts w:ascii="Book Antiqua" w:hAnsi="Book Antiqua"/>
          <w:b/>
          <w:bCs/>
          <w:sz w:val="28"/>
          <w:szCs w:val="28"/>
        </w:rPr>
        <w:t>Republika e Kosovës</w:t>
      </w:r>
    </w:p>
    <w:p w:rsidR="00F85AA3" w:rsidRPr="0077446E" w:rsidRDefault="001E0569" w:rsidP="00F85AA3">
      <w:pPr>
        <w:pBdr>
          <w:bottom w:val="single" w:sz="4" w:space="1" w:color="auto"/>
        </w:pBdr>
        <w:jc w:val="center"/>
        <w:rPr>
          <w:rFonts w:ascii="Book Antiqua" w:hAnsi="Book Antiqua"/>
          <w:b/>
          <w:bCs/>
          <w:iCs/>
          <w:sz w:val="24"/>
          <w:szCs w:val="24"/>
        </w:rPr>
      </w:pPr>
      <w:r>
        <w:rPr>
          <w:rFonts w:ascii="Book Antiqua" w:hAnsi="Book Antiqua"/>
          <w:b/>
          <w:bCs/>
          <w:sz w:val="24"/>
          <w:szCs w:val="24"/>
        </w:rPr>
        <w:t xml:space="preserve"> Republika Kosova-Republic of Kosovo</w:t>
      </w:r>
      <w:bookmarkEnd w:id="0"/>
    </w:p>
    <w:p w:rsidR="00F85AA3" w:rsidRPr="0077446E" w:rsidRDefault="001E0569" w:rsidP="00F85AA3">
      <w:pPr>
        <w:pBdr>
          <w:bottom w:val="single" w:sz="4" w:space="1" w:color="auto"/>
        </w:pBdr>
        <w:jc w:val="center"/>
        <w:rPr>
          <w:rFonts w:ascii="Book Antiqua" w:hAnsi="Book Antiqua"/>
          <w:b/>
          <w:bCs/>
          <w:iCs/>
          <w:sz w:val="24"/>
          <w:szCs w:val="24"/>
        </w:rPr>
      </w:pPr>
      <w:r>
        <w:rPr>
          <w:rFonts w:ascii="Book Antiqua" w:hAnsi="Book Antiqua"/>
          <w:bCs/>
          <w:i/>
          <w:iCs/>
          <w:sz w:val="24"/>
          <w:szCs w:val="24"/>
        </w:rPr>
        <w:t>Qeveria-Vlada-Government</w:t>
      </w:r>
    </w:p>
    <w:p w:rsidR="00F85AA3" w:rsidRPr="0077446E" w:rsidRDefault="001E0569" w:rsidP="00F85AA3">
      <w:pPr>
        <w:pBdr>
          <w:bottom w:val="single" w:sz="4" w:space="1" w:color="auto"/>
        </w:pBdr>
        <w:jc w:val="center"/>
        <w:rPr>
          <w:rFonts w:ascii="Book Antiqua" w:hAnsi="Book Antiqua"/>
          <w:b/>
          <w:bCs/>
          <w:iCs/>
          <w:sz w:val="24"/>
          <w:szCs w:val="24"/>
        </w:rPr>
      </w:pPr>
      <w:r>
        <w:rPr>
          <w:rFonts w:ascii="Book Antiqua" w:hAnsi="Book Antiqua"/>
          <w:b/>
          <w:bCs/>
          <w:iCs/>
          <w:sz w:val="24"/>
          <w:szCs w:val="24"/>
        </w:rPr>
        <w:t>Ministria e Ekonomisë</w:t>
      </w:r>
    </w:p>
    <w:p w:rsidR="00F85AA3" w:rsidRPr="0077446E" w:rsidRDefault="001E0569" w:rsidP="00F85AA3">
      <w:pPr>
        <w:pBdr>
          <w:bottom w:val="single" w:sz="4" w:space="1" w:color="auto"/>
        </w:pBdr>
        <w:jc w:val="center"/>
        <w:rPr>
          <w:rFonts w:ascii="Book Antiqua" w:hAnsi="Book Antiqua"/>
          <w:b/>
          <w:bCs/>
          <w:iCs/>
          <w:sz w:val="24"/>
          <w:szCs w:val="24"/>
        </w:rPr>
      </w:pPr>
      <w:r>
        <w:rPr>
          <w:rFonts w:ascii="Book Antiqua" w:hAnsi="Book Antiqua"/>
          <w:b/>
          <w:bCs/>
          <w:iCs/>
          <w:color w:val="000000"/>
          <w:sz w:val="24"/>
          <w:szCs w:val="24"/>
        </w:rPr>
        <w:t xml:space="preserve">Ministarstvo Ekonomije </w:t>
      </w:r>
      <w:r>
        <w:rPr>
          <w:rFonts w:ascii="Book Antiqua" w:hAnsi="Book Antiqua"/>
          <w:b/>
          <w:bCs/>
          <w:iCs/>
          <w:sz w:val="24"/>
          <w:szCs w:val="24"/>
        </w:rPr>
        <w:t>-Ministry of Economy</w:t>
      </w:r>
    </w:p>
    <w:p w:rsidR="00F85AA3" w:rsidRPr="00A2420A" w:rsidRDefault="00F85AA3" w:rsidP="00F85AA3">
      <w:pPr>
        <w:tabs>
          <w:tab w:val="left" w:pos="8820"/>
        </w:tabs>
        <w:rPr>
          <w:rFonts w:ascii="Times New Roman" w:hAnsi="Times New Roman" w:cs="Times New Roman"/>
        </w:rPr>
      </w:pPr>
    </w:p>
    <w:p w:rsidR="00F85AA3" w:rsidRDefault="00F85AA3" w:rsidP="00F85AA3">
      <w:pPr>
        <w:tabs>
          <w:tab w:val="left" w:pos="8820"/>
        </w:tabs>
        <w:rPr>
          <w:rFonts w:ascii="Times New Roman" w:hAnsi="Times New Roman" w:cs="Times New Roman"/>
        </w:rPr>
      </w:pPr>
    </w:p>
    <w:p w:rsidR="00F85AA3" w:rsidRDefault="00F85AA3" w:rsidP="00F85AA3">
      <w:pPr>
        <w:tabs>
          <w:tab w:val="left" w:pos="8820"/>
        </w:tabs>
        <w:rPr>
          <w:rFonts w:ascii="Times New Roman" w:hAnsi="Times New Roman" w:cs="Times New Roman"/>
        </w:rPr>
      </w:pPr>
    </w:p>
    <w:p w:rsidR="00F85AA3" w:rsidRDefault="00F85AA3" w:rsidP="00F85AA3">
      <w:pPr>
        <w:tabs>
          <w:tab w:val="left" w:pos="8820"/>
        </w:tabs>
        <w:rPr>
          <w:rFonts w:ascii="Times New Roman" w:hAnsi="Times New Roman" w:cs="Times New Roman"/>
        </w:rPr>
      </w:pPr>
    </w:p>
    <w:p w:rsidR="00F85AA3" w:rsidRPr="00A2420A" w:rsidRDefault="00F85AA3" w:rsidP="00F85AA3">
      <w:pPr>
        <w:tabs>
          <w:tab w:val="left" w:pos="8820"/>
        </w:tabs>
        <w:rPr>
          <w:rFonts w:ascii="Times New Roman" w:hAnsi="Times New Roman" w:cs="Times New Roman"/>
        </w:rPr>
      </w:pPr>
    </w:p>
    <w:p w:rsidR="00F85AA3" w:rsidRDefault="00F85AA3" w:rsidP="00F85AA3">
      <w:pPr>
        <w:tabs>
          <w:tab w:val="left" w:pos="8820"/>
        </w:tabs>
        <w:jc w:val="right"/>
        <w:rPr>
          <w:rFonts w:ascii="Times New Roman" w:hAnsi="Times New Roman" w:cs="Times New Roman"/>
        </w:rPr>
      </w:pPr>
    </w:p>
    <w:p w:rsidR="00F85AA3" w:rsidRPr="00A2420A" w:rsidRDefault="00F85AA3" w:rsidP="00F85AA3">
      <w:pPr>
        <w:tabs>
          <w:tab w:val="left" w:pos="8820"/>
        </w:tabs>
        <w:jc w:val="right"/>
        <w:rPr>
          <w:rFonts w:ascii="Times New Roman" w:hAnsi="Times New Roman" w:cs="Times New Roman"/>
        </w:rPr>
      </w:pPr>
    </w:p>
    <w:p w:rsidR="006A75A8" w:rsidRDefault="001E0569" w:rsidP="006A75A8">
      <w:pPr>
        <w:tabs>
          <w:tab w:val="left" w:pos="8820"/>
        </w:tabs>
        <w:spacing w:line="240" w:lineRule="auto"/>
        <w:jc w:val="center"/>
        <w:rPr>
          <w:rFonts w:ascii="Times New Roman" w:hAnsi="Times New Roman" w:cs="Times New Roman"/>
          <w:b/>
          <w:sz w:val="32"/>
          <w:szCs w:val="32"/>
        </w:rPr>
      </w:pPr>
      <w:r>
        <w:rPr>
          <w:rFonts w:ascii="Times New Roman" w:hAnsi="Times New Roman"/>
          <w:b/>
          <w:sz w:val="32"/>
          <w:szCs w:val="32"/>
        </w:rPr>
        <w:t xml:space="preserve">PROGRESS REPORT FOR THE PERIOD </w:t>
      </w:r>
    </w:p>
    <w:p w:rsidR="00F85AA3" w:rsidRPr="00B85AB2" w:rsidRDefault="001E0569" w:rsidP="006A75A8">
      <w:pPr>
        <w:tabs>
          <w:tab w:val="left" w:pos="8820"/>
        </w:tabs>
        <w:spacing w:line="240" w:lineRule="auto"/>
        <w:jc w:val="center"/>
        <w:rPr>
          <w:rFonts w:ascii="Times New Roman" w:hAnsi="Times New Roman" w:cs="Times New Roman"/>
          <w:b/>
          <w:sz w:val="32"/>
          <w:szCs w:val="32"/>
        </w:rPr>
      </w:pPr>
      <w:r>
        <w:rPr>
          <w:rFonts w:ascii="Times New Roman" w:hAnsi="Times New Roman"/>
          <w:b/>
          <w:sz w:val="32"/>
          <w:szCs w:val="32"/>
        </w:rPr>
        <w:t xml:space="preserve">JANUARY </w:t>
      </w:r>
      <w:r>
        <w:rPr>
          <w:rFonts w:ascii="Times New Roman" w:hAnsi="Times New Roman"/>
          <w:bCs/>
          <w:sz w:val="32"/>
          <w:szCs w:val="32"/>
        </w:rPr>
        <w:t xml:space="preserve">- </w:t>
      </w:r>
      <w:r>
        <w:rPr>
          <w:rFonts w:ascii="Times New Roman" w:hAnsi="Times New Roman"/>
          <w:b/>
          <w:sz w:val="32"/>
          <w:szCs w:val="32"/>
        </w:rPr>
        <w:t>JUNE 2025</w:t>
      </w:r>
    </w:p>
    <w:p w:rsidR="00F85AA3" w:rsidRPr="00B85AB2" w:rsidRDefault="001E0569" w:rsidP="006A75A8">
      <w:pPr>
        <w:tabs>
          <w:tab w:val="left" w:pos="8820"/>
        </w:tabs>
        <w:spacing w:before="240" w:after="240" w:line="240" w:lineRule="auto"/>
        <w:jc w:val="center"/>
        <w:rPr>
          <w:rFonts w:ascii="Times New Roman" w:hAnsi="Times New Roman" w:cs="Times New Roman"/>
          <w:b/>
          <w:sz w:val="32"/>
          <w:szCs w:val="32"/>
        </w:rPr>
      </w:pPr>
      <w:r>
        <w:rPr>
          <w:rFonts w:ascii="Times New Roman" w:hAnsi="Times New Roman"/>
          <w:b/>
          <w:sz w:val="32"/>
          <w:szCs w:val="32"/>
        </w:rPr>
        <w:t>OF</w:t>
      </w:r>
    </w:p>
    <w:p w:rsidR="002668B9" w:rsidRPr="00B85AB2" w:rsidRDefault="001E0569" w:rsidP="006A75A8">
      <w:pPr>
        <w:tabs>
          <w:tab w:val="left" w:pos="8820"/>
        </w:tabs>
        <w:spacing w:line="240" w:lineRule="auto"/>
        <w:jc w:val="center"/>
        <w:rPr>
          <w:rFonts w:ascii="Times New Roman" w:hAnsi="Times New Roman" w:cs="Times New Roman"/>
          <w:b/>
          <w:sz w:val="32"/>
          <w:szCs w:val="32"/>
        </w:rPr>
      </w:pPr>
      <w:r>
        <w:rPr>
          <w:rFonts w:ascii="Times New Roman" w:hAnsi="Times New Roman"/>
          <w:b/>
          <w:sz w:val="32"/>
          <w:szCs w:val="32"/>
        </w:rPr>
        <w:t xml:space="preserve">KOSOVO ENERGY STRATEGY  </w:t>
      </w:r>
    </w:p>
    <w:p w:rsidR="00F85AA3" w:rsidRPr="00B85AB2" w:rsidRDefault="001E0569" w:rsidP="006A75A8">
      <w:pPr>
        <w:tabs>
          <w:tab w:val="left" w:pos="8820"/>
        </w:tabs>
        <w:spacing w:line="240" w:lineRule="auto"/>
        <w:jc w:val="center"/>
        <w:rPr>
          <w:rFonts w:ascii="Times New Roman" w:hAnsi="Times New Roman" w:cs="Times New Roman"/>
          <w:b/>
          <w:sz w:val="32"/>
          <w:szCs w:val="32"/>
        </w:rPr>
      </w:pPr>
      <w:r>
        <w:rPr>
          <w:rFonts w:ascii="Times New Roman" w:hAnsi="Times New Roman"/>
          <w:b/>
          <w:sz w:val="32"/>
          <w:szCs w:val="32"/>
        </w:rPr>
        <w:t>IMPLEMENTATION PROGRAM (KESIP)</w:t>
      </w:r>
    </w:p>
    <w:p w:rsidR="00F85AA3" w:rsidRPr="00B85AB2" w:rsidRDefault="001E0569" w:rsidP="006A75A8">
      <w:pPr>
        <w:tabs>
          <w:tab w:val="left" w:pos="8820"/>
        </w:tabs>
        <w:spacing w:line="240" w:lineRule="auto"/>
        <w:rPr>
          <w:rFonts w:ascii="Times New Roman" w:hAnsi="Times New Roman" w:cs="Times New Roman"/>
          <w:b/>
          <w:sz w:val="32"/>
          <w:szCs w:val="32"/>
        </w:rPr>
      </w:pPr>
      <w:r>
        <w:rPr>
          <w:rFonts w:ascii="Times New Roman" w:hAnsi="Times New Roman"/>
          <w:b/>
          <w:sz w:val="32"/>
          <w:szCs w:val="32"/>
        </w:rPr>
        <w:t xml:space="preserve">                                  FOR THE PERIOD 2022 </w:t>
      </w:r>
      <w:r>
        <w:rPr>
          <w:rFonts w:ascii="Times New Roman" w:hAnsi="Times New Roman"/>
          <w:bCs/>
          <w:sz w:val="32"/>
          <w:szCs w:val="32"/>
        </w:rPr>
        <w:t xml:space="preserve">- </w:t>
      </w:r>
      <w:r>
        <w:rPr>
          <w:rFonts w:ascii="Times New Roman" w:hAnsi="Times New Roman"/>
          <w:b/>
          <w:sz w:val="32"/>
          <w:szCs w:val="32"/>
        </w:rPr>
        <w:t>2025</w:t>
      </w:r>
    </w:p>
    <w:p w:rsidR="00F85AA3" w:rsidRPr="00562EEF" w:rsidRDefault="00F85AA3" w:rsidP="00F85AA3">
      <w:pPr>
        <w:tabs>
          <w:tab w:val="left" w:pos="8820"/>
        </w:tabs>
        <w:jc w:val="center"/>
        <w:rPr>
          <w:rFonts w:ascii="Times New Roman" w:hAnsi="Times New Roman" w:cs="Times New Roman"/>
          <w:b/>
          <w:sz w:val="32"/>
          <w:szCs w:val="32"/>
        </w:rPr>
      </w:pPr>
    </w:p>
    <w:p w:rsidR="00F85AA3" w:rsidRDefault="00F85AA3" w:rsidP="00F85AA3">
      <w:pPr>
        <w:tabs>
          <w:tab w:val="left" w:pos="8820"/>
        </w:tabs>
        <w:jc w:val="center"/>
        <w:rPr>
          <w:rFonts w:ascii="Times New Roman" w:hAnsi="Times New Roman" w:cs="Times New Roman"/>
          <w:b/>
          <w:sz w:val="32"/>
          <w:szCs w:val="32"/>
        </w:rPr>
      </w:pPr>
    </w:p>
    <w:p w:rsidR="00C83635" w:rsidRDefault="00C83635" w:rsidP="004170F7">
      <w:pPr>
        <w:tabs>
          <w:tab w:val="left" w:pos="8820"/>
        </w:tabs>
        <w:rPr>
          <w:rFonts w:ascii="Times New Roman" w:hAnsi="Times New Roman" w:cs="Times New Roman"/>
          <w:b/>
          <w:sz w:val="32"/>
          <w:szCs w:val="32"/>
        </w:rPr>
      </w:pPr>
    </w:p>
    <w:p w:rsidR="004170F7" w:rsidRDefault="004170F7" w:rsidP="004170F7">
      <w:pPr>
        <w:tabs>
          <w:tab w:val="left" w:pos="8820"/>
        </w:tabs>
        <w:rPr>
          <w:rFonts w:ascii="Times New Roman" w:hAnsi="Times New Roman" w:cs="Times New Roman"/>
          <w:b/>
          <w:sz w:val="32"/>
          <w:szCs w:val="32"/>
        </w:rPr>
      </w:pPr>
    </w:p>
    <w:p w:rsidR="004170F7" w:rsidRDefault="004170F7" w:rsidP="004170F7">
      <w:pPr>
        <w:tabs>
          <w:tab w:val="left" w:pos="8820"/>
        </w:tabs>
        <w:rPr>
          <w:rFonts w:ascii="Times New Roman" w:hAnsi="Times New Roman" w:cs="Times New Roman"/>
          <w:b/>
          <w:sz w:val="32"/>
          <w:szCs w:val="32"/>
        </w:rPr>
      </w:pPr>
    </w:p>
    <w:p w:rsidR="00562EEF" w:rsidRPr="00FE0874" w:rsidRDefault="001E0569" w:rsidP="004170F7">
      <w:pPr>
        <w:tabs>
          <w:tab w:val="left" w:pos="8820"/>
        </w:tabs>
        <w:rPr>
          <w:rFonts w:ascii="Times New Roman" w:hAnsi="Times New Roman" w:cs="Times New Roman"/>
          <w:b/>
          <w:sz w:val="24"/>
          <w:szCs w:val="24"/>
        </w:rPr>
      </w:pPr>
      <w:r>
        <w:rPr>
          <w:rFonts w:ascii="Times New Roman" w:hAnsi="Times New Roman"/>
          <w:b/>
          <w:sz w:val="24"/>
          <w:szCs w:val="24"/>
        </w:rPr>
        <w:lastRenderedPageBreak/>
        <w:t xml:space="preserve">                                                          Prishtina, August 2025</w:t>
      </w:r>
    </w:p>
    <w:p w:rsidR="004170F7" w:rsidRPr="0006187F" w:rsidRDefault="004170F7" w:rsidP="0006187F">
      <w:pPr>
        <w:spacing w:before="120" w:after="120"/>
        <w:jc w:val="both"/>
        <w:rPr>
          <w:rFonts w:ascii="Times New Roman" w:hAnsi="Times New Roman" w:cs="Times New Roman"/>
          <w:b/>
          <w:sz w:val="24"/>
          <w:szCs w:val="24"/>
        </w:rPr>
      </w:pPr>
    </w:p>
    <w:p w:rsidR="00615B6E" w:rsidRPr="0006187F" w:rsidRDefault="00615B6E" w:rsidP="0006187F">
      <w:pPr>
        <w:pStyle w:val="TOC1"/>
        <w:tabs>
          <w:tab w:val="left" w:pos="440"/>
          <w:tab w:val="right" w:leader="dot" w:pos="9350"/>
        </w:tabs>
        <w:jc w:val="both"/>
        <w:rPr>
          <w:rFonts w:ascii="Times New Roman" w:hAnsi="Times New Roman" w:cs="Times New Roman"/>
          <w:sz w:val="24"/>
          <w:szCs w:val="24"/>
        </w:rPr>
      </w:pPr>
    </w:p>
    <w:sdt>
      <w:sdtPr>
        <w:rPr>
          <w:rFonts w:ascii="Times New Roman" w:eastAsiaTheme="minorHAnsi" w:hAnsi="Times New Roman" w:cs="Times New Roman"/>
          <w:b w:val="0"/>
          <w:color w:val="auto"/>
          <w:sz w:val="24"/>
          <w:szCs w:val="24"/>
        </w:rPr>
        <w:id w:val="1793164189"/>
        <w:docPartObj>
          <w:docPartGallery w:val="Table of Contents"/>
          <w:docPartUnique/>
        </w:docPartObj>
      </w:sdtPr>
      <w:sdtEndPr>
        <w:rPr>
          <w:bCs/>
          <w:noProof/>
        </w:rPr>
      </w:sdtEndPr>
      <w:sdtContent>
        <w:p w:rsidR="001B19AE" w:rsidRPr="008B200B" w:rsidRDefault="001E0569" w:rsidP="0006187F">
          <w:pPr>
            <w:pStyle w:val="TOCHeading"/>
            <w:rPr>
              <w:rFonts w:ascii="Times New Roman" w:hAnsi="Times New Roman" w:cs="Times New Roman"/>
              <w:color w:val="auto"/>
              <w:szCs w:val="24"/>
            </w:rPr>
          </w:pPr>
          <w:r>
            <w:rPr>
              <w:rFonts w:ascii="Times New Roman" w:hAnsi="Times New Roman"/>
              <w:color w:val="auto"/>
              <w:szCs w:val="24"/>
            </w:rPr>
            <w:t>Table of Contents</w:t>
          </w:r>
        </w:p>
        <w:p w:rsidR="00592D66" w:rsidRDefault="001E0569">
          <w:pPr>
            <w:pStyle w:val="TOC1"/>
            <w:tabs>
              <w:tab w:val="left" w:pos="440"/>
              <w:tab w:val="right" w:leader="dot" w:pos="9350"/>
            </w:tabs>
            <w:rPr>
              <w:rFonts w:eastAsiaTheme="minorEastAsia"/>
              <w:noProof/>
            </w:rPr>
          </w:pPr>
          <w:r w:rsidRPr="0006187F">
            <w:rPr>
              <w:rFonts w:ascii="Times New Roman" w:hAnsi="Times New Roman" w:cs="Times New Roman"/>
              <w:sz w:val="24"/>
              <w:szCs w:val="24"/>
            </w:rPr>
            <w:fldChar w:fldCharType="begin"/>
          </w:r>
          <w:r w:rsidRPr="0006187F">
            <w:rPr>
              <w:rFonts w:ascii="Times New Roman" w:hAnsi="Times New Roman" w:cs="Times New Roman"/>
              <w:sz w:val="24"/>
              <w:szCs w:val="24"/>
            </w:rPr>
            <w:instrText xml:space="preserve"> TOC \o "1-3" \h \z \u </w:instrText>
          </w:r>
          <w:r w:rsidRPr="0006187F">
            <w:rPr>
              <w:rFonts w:ascii="Times New Roman" w:hAnsi="Times New Roman" w:cs="Times New Roman"/>
              <w:sz w:val="24"/>
              <w:szCs w:val="24"/>
            </w:rPr>
            <w:fldChar w:fldCharType="separate"/>
          </w:r>
          <w:hyperlink w:anchor="_Toc208220117" w:history="1">
            <w:r w:rsidRPr="008C4D09">
              <w:rPr>
                <w:rStyle w:val="Hyperlink"/>
                <w:noProof/>
              </w:rPr>
              <w:t>1</w:t>
            </w:r>
            <w:r w:rsidR="007D73EC">
              <w:rPr>
                <w:rStyle w:val="Hyperlink"/>
                <w:noProof/>
              </w:rPr>
              <w:t>.</w:t>
            </w:r>
            <w:r>
              <w:rPr>
                <w:rFonts w:eastAsiaTheme="minorEastAsia"/>
                <w:noProof/>
              </w:rPr>
              <w:tab/>
            </w:r>
            <w:r w:rsidRPr="008C4D09">
              <w:rPr>
                <w:rStyle w:val="Hyperlink"/>
                <w:bCs/>
                <w:noProof/>
              </w:rPr>
              <w:t>ABBREVIATIONS:</w:t>
            </w:r>
            <w:r>
              <w:rPr>
                <w:noProof/>
                <w:webHidden/>
              </w:rPr>
              <w:tab/>
            </w:r>
            <w:r>
              <w:rPr>
                <w:noProof/>
                <w:webHidden/>
              </w:rPr>
              <w:fldChar w:fldCharType="begin"/>
            </w:r>
            <w:r>
              <w:rPr>
                <w:noProof/>
                <w:webHidden/>
              </w:rPr>
              <w:instrText xml:space="preserve"> PAGEREF _Toc208220117 \h </w:instrText>
            </w:r>
            <w:r>
              <w:rPr>
                <w:noProof/>
                <w:webHidden/>
              </w:rPr>
            </w:r>
            <w:r>
              <w:rPr>
                <w:noProof/>
                <w:webHidden/>
              </w:rPr>
              <w:fldChar w:fldCharType="separate"/>
            </w:r>
            <w:r>
              <w:rPr>
                <w:noProof/>
                <w:webHidden/>
              </w:rPr>
              <w:t>3</w:t>
            </w:r>
            <w:r>
              <w:rPr>
                <w:noProof/>
                <w:webHidden/>
              </w:rPr>
              <w:fldChar w:fldCharType="end"/>
            </w:r>
          </w:hyperlink>
        </w:p>
        <w:p w:rsidR="00592D66" w:rsidRDefault="001E0569">
          <w:pPr>
            <w:pStyle w:val="TOC1"/>
            <w:tabs>
              <w:tab w:val="right" w:leader="dot" w:pos="9350"/>
            </w:tabs>
            <w:rPr>
              <w:rFonts w:eastAsiaTheme="minorEastAsia"/>
              <w:noProof/>
            </w:rPr>
          </w:pPr>
          <w:hyperlink w:anchor="_Toc208220118" w:history="1">
            <w:r w:rsidRPr="008C4D09">
              <w:rPr>
                <w:rStyle w:val="Hyperlink"/>
                <w:noProof/>
              </w:rPr>
              <w:t>2. GENERAL INFORMATION</w:t>
            </w:r>
            <w:r>
              <w:rPr>
                <w:noProof/>
                <w:webHidden/>
              </w:rPr>
              <w:tab/>
            </w:r>
            <w:r>
              <w:rPr>
                <w:noProof/>
                <w:webHidden/>
              </w:rPr>
              <w:fldChar w:fldCharType="begin"/>
            </w:r>
            <w:r>
              <w:rPr>
                <w:noProof/>
                <w:webHidden/>
              </w:rPr>
              <w:instrText xml:space="preserve"> PAGEREF _Toc208220118 \h </w:instrText>
            </w:r>
            <w:r>
              <w:rPr>
                <w:noProof/>
                <w:webHidden/>
              </w:rPr>
            </w:r>
            <w:r>
              <w:rPr>
                <w:noProof/>
                <w:webHidden/>
              </w:rPr>
              <w:fldChar w:fldCharType="separate"/>
            </w:r>
            <w:r>
              <w:rPr>
                <w:noProof/>
                <w:webHidden/>
              </w:rPr>
              <w:t>4</w:t>
            </w:r>
            <w:r>
              <w:rPr>
                <w:noProof/>
                <w:webHidden/>
              </w:rPr>
              <w:fldChar w:fldCharType="end"/>
            </w:r>
          </w:hyperlink>
        </w:p>
        <w:p w:rsidR="00592D66" w:rsidRDefault="001E0569">
          <w:pPr>
            <w:pStyle w:val="TOC2"/>
            <w:rPr>
              <w:rFonts w:eastAsiaTheme="minorEastAsia"/>
              <w:noProof/>
            </w:rPr>
          </w:pPr>
          <w:hyperlink w:anchor="_Toc208220119" w:history="1">
            <w:r w:rsidRPr="008C4D09">
              <w:rPr>
                <w:rStyle w:val="Hyperlink"/>
                <w:noProof/>
              </w:rPr>
              <w:t>2.1. OVERALL PROGRESS</w:t>
            </w:r>
            <w:r>
              <w:rPr>
                <w:noProof/>
                <w:webHidden/>
              </w:rPr>
              <w:tab/>
            </w:r>
            <w:r>
              <w:rPr>
                <w:noProof/>
                <w:webHidden/>
              </w:rPr>
              <w:fldChar w:fldCharType="begin"/>
            </w:r>
            <w:r>
              <w:rPr>
                <w:noProof/>
                <w:webHidden/>
              </w:rPr>
              <w:instrText xml:space="preserve"> PAGEREF _Toc208220119 \h </w:instrText>
            </w:r>
            <w:r>
              <w:rPr>
                <w:noProof/>
                <w:webHidden/>
              </w:rPr>
            </w:r>
            <w:r>
              <w:rPr>
                <w:noProof/>
                <w:webHidden/>
              </w:rPr>
              <w:fldChar w:fldCharType="separate"/>
            </w:r>
            <w:r>
              <w:rPr>
                <w:noProof/>
                <w:webHidden/>
              </w:rPr>
              <w:t>5</w:t>
            </w:r>
            <w:r>
              <w:rPr>
                <w:noProof/>
                <w:webHidden/>
              </w:rPr>
              <w:fldChar w:fldCharType="end"/>
            </w:r>
          </w:hyperlink>
        </w:p>
        <w:p w:rsidR="00592D66" w:rsidRDefault="001E0569">
          <w:pPr>
            <w:pStyle w:val="TOC2"/>
            <w:rPr>
              <w:rFonts w:eastAsiaTheme="minorEastAsia"/>
              <w:noProof/>
            </w:rPr>
          </w:pPr>
          <w:hyperlink w:anchor="_Toc208220120" w:history="1">
            <w:r w:rsidRPr="008C4D09">
              <w:rPr>
                <w:rStyle w:val="Hyperlink"/>
                <w:noProof/>
              </w:rPr>
              <w:t>2.2. PROBLEMS AND RISKS</w:t>
            </w:r>
            <w:r>
              <w:rPr>
                <w:noProof/>
                <w:webHidden/>
              </w:rPr>
              <w:tab/>
            </w:r>
            <w:r>
              <w:rPr>
                <w:noProof/>
                <w:webHidden/>
              </w:rPr>
              <w:fldChar w:fldCharType="begin"/>
            </w:r>
            <w:r>
              <w:rPr>
                <w:noProof/>
                <w:webHidden/>
              </w:rPr>
              <w:instrText xml:space="preserve"> PAGEREF _Toc208220120 \h </w:instrText>
            </w:r>
            <w:r>
              <w:rPr>
                <w:noProof/>
                <w:webHidden/>
              </w:rPr>
            </w:r>
            <w:r>
              <w:rPr>
                <w:noProof/>
                <w:webHidden/>
              </w:rPr>
              <w:fldChar w:fldCharType="separate"/>
            </w:r>
            <w:r>
              <w:rPr>
                <w:noProof/>
                <w:webHidden/>
              </w:rPr>
              <w:t>6</w:t>
            </w:r>
            <w:r>
              <w:rPr>
                <w:noProof/>
                <w:webHidden/>
              </w:rPr>
              <w:fldChar w:fldCharType="end"/>
            </w:r>
          </w:hyperlink>
        </w:p>
        <w:p w:rsidR="00592D66" w:rsidRDefault="001E0569">
          <w:pPr>
            <w:pStyle w:val="TOC2"/>
            <w:rPr>
              <w:rFonts w:eastAsiaTheme="minorEastAsia"/>
              <w:noProof/>
            </w:rPr>
          </w:pPr>
          <w:hyperlink w:anchor="_Toc208220121" w:history="1">
            <w:r w:rsidRPr="008C4D09">
              <w:rPr>
                <w:rStyle w:val="Hyperlink"/>
                <w:noProof/>
              </w:rPr>
              <w:t>2.3. CHALLENGES AND SHORTCOMINGS</w:t>
            </w:r>
            <w:r>
              <w:rPr>
                <w:noProof/>
                <w:webHidden/>
              </w:rPr>
              <w:tab/>
            </w:r>
            <w:r>
              <w:rPr>
                <w:noProof/>
                <w:webHidden/>
              </w:rPr>
              <w:fldChar w:fldCharType="begin"/>
            </w:r>
            <w:r>
              <w:rPr>
                <w:noProof/>
                <w:webHidden/>
              </w:rPr>
              <w:instrText xml:space="preserve"> PAGEREF _Toc208220121 \h </w:instrText>
            </w:r>
            <w:r>
              <w:rPr>
                <w:noProof/>
                <w:webHidden/>
              </w:rPr>
            </w:r>
            <w:r>
              <w:rPr>
                <w:noProof/>
                <w:webHidden/>
              </w:rPr>
              <w:fldChar w:fldCharType="separate"/>
            </w:r>
            <w:r>
              <w:rPr>
                <w:noProof/>
                <w:webHidden/>
              </w:rPr>
              <w:t>7</w:t>
            </w:r>
            <w:r>
              <w:rPr>
                <w:noProof/>
                <w:webHidden/>
              </w:rPr>
              <w:fldChar w:fldCharType="end"/>
            </w:r>
          </w:hyperlink>
        </w:p>
        <w:p w:rsidR="00592D66" w:rsidRDefault="001E0569">
          <w:pPr>
            <w:pStyle w:val="TOC2"/>
            <w:rPr>
              <w:rFonts w:eastAsiaTheme="minorEastAsia"/>
              <w:noProof/>
            </w:rPr>
          </w:pPr>
          <w:hyperlink w:anchor="_Toc208220122" w:history="1">
            <w:r w:rsidRPr="008C4D09">
              <w:rPr>
                <w:rStyle w:val="Hyperlink"/>
                <w:noProof/>
              </w:rPr>
              <w:t>2.4.</w:t>
            </w:r>
            <w:r>
              <w:rPr>
                <w:rFonts w:eastAsiaTheme="minorEastAsia"/>
                <w:noProof/>
              </w:rPr>
              <w:tab/>
            </w:r>
            <w:r w:rsidRPr="008C4D09">
              <w:rPr>
                <w:rStyle w:val="Hyperlink"/>
                <w:noProof/>
              </w:rPr>
              <w:t>CONCLUSIONS AND RECOMMENDATIONS FOR THE NEXT</w:t>
            </w:r>
            <w:r w:rsidR="007D73EC">
              <w:rPr>
                <w:rStyle w:val="Hyperlink"/>
                <w:noProof/>
              </w:rPr>
              <w:t xml:space="preserve"> STEPS</w:t>
            </w:r>
            <w:r>
              <w:rPr>
                <w:noProof/>
                <w:webHidden/>
              </w:rPr>
              <w:tab/>
            </w:r>
            <w:r>
              <w:rPr>
                <w:noProof/>
                <w:webHidden/>
              </w:rPr>
              <w:fldChar w:fldCharType="begin"/>
            </w:r>
            <w:r>
              <w:rPr>
                <w:noProof/>
                <w:webHidden/>
              </w:rPr>
              <w:instrText xml:space="preserve"> PAGEREF _Toc208220122 \h </w:instrText>
            </w:r>
            <w:r>
              <w:rPr>
                <w:noProof/>
                <w:webHidden/>
              </w:rPr>
            </w:r>
            <w:r>
              <w:rPr>
                <w:noProof/>
                <w:webHidden/>
              </w:rPr>
              <w:fldChar w:fldCharType="separate"/>
            </w:r>
            <w:r>
              <w:rPr>
                <w:noProof/>
                <w:webHidden/>
              </w:rPr>
              <w:t>7</w:t>
            </w:r>
            <w:r>
              <w:rPr>
                <w:noProof/>
                <w:webHidden/>
              </w:rPr>
              <w:fldChar w:fldCharType="end"/>
            </w:r>
          </w:hyperlink>
        </w:p>
        <w:p w:rsidR="00592D66" w:rsidRDefault="001E0569">
          <w:pPr>
            <w:pStyle w:val="TOC2"/>
            <w:rPr>
              <w:rFonts w:eastAsiaTheme="minorEastAsia"/>
              <w:noProof/>
            </w:rPr>
          </w:pPr>
          <w:hyperlink w:anchor="_Toc208220124" w:history="1">
            <w:r w:rsidRPr="008C4D09">
              <w:rPr>
                <w:rStyle w:val="Hyperlink"/>
                <w:noProof/>
              </w:rPr>
              <w:t>2.5.</w:t>
            </w:r>
            <w:r>
              <w:rPr>
                <w:rFonts w:eastAsiaTheme="minorEastAsia"/>
                <w:noProof/>
              </w:rPr>
              <w:tab/>
            </w:r>
            <w:r w:rsidRPr="008C4D09">
              <w:rPr>
                <w:rStyle w:val="Hyperlink"/>
                <w:noProof/>
              </w:rPr>
              <w:t>NEXT STEPS</w:t>
            </w:r>
            <w:r>
              <w:rPr>
                <w:noProof/>
                <w:webHidden/>
              </w:rPr>
              <w:tab/>
            </w:r>
            <w:r>
              <w:rPr>
                <w:noProof/>
                <w:webHidden/>
              </w:rPr>
              <w:fldChar w:fldCharType="begin"/>
            </w:r>
            <w:r>
              <w:rPr>
                <w:noProof/>
                <w:webHidden/>
              </w:rPr>
              <w:instrText xml:space="preserve"> PAGEREF _Toc208220124 \h </w:instrText>
            </w:r>
            <w:r>
              <w:rPr>
                <w:noProof/>
                <w:webHidden/>
              </w:rPr>
            </w:r>
            <w:r>
              <w:rPr>
                <w:noProof/>
                <w:webHidden/>
              </w:rPr>
              <w:fldChar w:fldCharType="separate"/>
            </w:r>
            <w:r>
              <w:rPr>
                <w:noProof/>
                <w:webHidden/>
              </w:rPr>
              <w:t>8</w:t>
            </w:r>
            <w:r>
              <w:rPr>
                <w:noProof/>
                <w:webHidden/>
              </w:rPr>
              <w:fldChar w:fldCharType="end"/>
            </w:r>
          </w:hyperlink>
        </w:p>
        <w:p w:rsidR="00592D66" w:rsidRDefault="001E0569">
          <w:pPr>
            <w:pStyle w:val="TOC1"/>
            <w:tabs>
              <w:tab w:val="left" w:pos="440"/>
              <w:tab w:val="right" w:leader="dot" w:pos="9350"/>
            </w:tabs>
            <w:rPr>
              <w:rFonts w:eastAsiaTheme="minorEastAsia"/>
              <w:noProof/>
            </w:rPr>
          </w:pPr>
          <w:hyperlink w:anchor="_Toc208220125" w:history="1">
            <w:r w:rsidR="007D73EC">
              <w:rPr>
                <w:rStyle w:val="Hyperlink"/>
                <w:noProof/>
              </w:rPr>
              <w:t>3.</w:t>
            </w:r>
            <w:r>
              <w:rPr>
                <w:rFonts w:eastAsiaTheme="minorEastAsia"/>
                <w:noProof/>
              </w:rPr>
              <w:tab/>
            </w:r>
            <w:r w:rsidRPr="008C4D09">
              <w:rPr>
                <w:rStyle w:val="Hyperlink"/>
                <w:noProof/>
              </w:rPr>
              <w:t>DETAILED INFORMATION ON THE IMPLEMENTATION OF ACTIVITIES</w:t>
            </w:r>
            <w:r>
              <w:rPr>
                <w:noProof/>
                <w:webHidden/>
              </w:rPr>
              <w:tab/>
            </w:r>
            <w:r>
              <w:rPr>
                <w:noProof/>
                <w:webHidden/>
              </w:rPr>
              <w:fldChar w:fldCharType="begin"/>
            </w:r>
            <w:r>
              <w:rPr>
                <w:noProof/>
                <w:webHidden/>
              </w:rPr>
              <w:instrText xml:space="preserve"> PAGEREF _Toc208220125 \h </w:instrText>
            </w:r>
            <w:r>
              <w:rPr>
                <w:noProof/>
                <w:webHidden/>
              </w:rPr>
            </w:r>
            <w:r>
              <w:rPr>
                <w:noProof/>
                <w:webHidden/>
              </w:rPr>
              <w:fldChar w:fldCharType="separate"/>
            </w:r>
            <w:r>
              <w:rPr>
                <w:noProof/>
                <w:webHidden/>
              </w:rPr>
              <w:t>8</w:t>
            </w:r>
            <w:r>
              <w:rPr>
                <w:noProof/>
                <w:webHidden/>
              </w:rPr>
              <w:fldChar w:fldCharType="end"/>
            </w:r>
          </w:hyperlink>
        </w:p>
        <w:p w:rsidR="00592D66" w:rsidRDefault="001E0569">
          <w:pPr>
            <w:pStyle w:val="TOC1"/>
            <w:tabs>
              <w:tab w:val="left" w:pos="440"/>
              <w:tab w:val="right" w:leader="dot" w:pos="9350"/>
            </w:tabs>
            <w:rPr>
              <w:rFonts w:eastAsiaTheme="minorEastAsia"/>
              <w:noProof/>
            </w:rPr>
          </w:pPr>
          <w:hyperlink w:anchor="_Toc208220126" w:history="1">
            <w:r w:rsidR="007D73EC">
              <w:rPr>
                <w:rStyle w:val="Hyperlink"/>
                <w:noProof/>
              </w:rPr>
              <w:t>5.</w:t>
            </w:r>
            <w:r>
              <w:rPr>
                <w:rFonts w:eastAsiaTheme="minorEastAsia"/>
                <w:noProof/>
              </w:rPr>
              <w:tab/>
            </w:r>
            <w:r w:rsidRPr="008C4D09">
              <w:rPr>
                <w:rStyle w:val="Hyperlink"/>
                <w:noProof/>
              </w:rPr>
              <w:t xml:space="preserve">ANNEX </w:t>
            </w:r>
            <w:r w:rsidRPr="008C4D09">
              <w:rPr>
                <w:rStyle w:val="Hyperlink"/>
                <w:bCs/>
                <w:noProof/>
              </w:rPr>
              <w:t xml:space="preserve">- </w:t>
            </w:r>
            <w:r w:rsidRPr="008C4D09">
              <w:rPr>
                <w:rStyle w:val="Hyperlink"/>
                <w:noProof/>
              </w:rPr>
              <w:t xml:space="preserve">PROGRESS REPORT MATRIX FOR THE PERIOD JANUARY </w:t>
            </w:r>
            <w:r w:rsidRPr="008C4D09">
              <w:rPr>
                <w:rStyle w:val="Hyperlink"/>
                <w:bCs/>
                <w:noProof/>
              </w:rPr>
              <w:t>-</w:t>
            </w:r>
            <w:r w:rsidRPr="008C4D09">
              <w:rPr>
                <w:rStyle w:val="Hyperlink"/>
                <w:noProof/>
              </w:rPr>
              <w:t xml:space="preserve"> JUNE 2025</w:t>
            </w:r>
            <w:r>
              <w:rPr>
                <w:noProof/>
                <w:webHidden/>
              </w:rPr>
              <w:tab/>
            </w:r>
            <w:r>
              <w:rPr>
                <w:noProof/>
                <w:webHidden/>
              </w:rPr>
              <w:fldChar w:fldCharType="begin"/>
            </w:r>
            <w:r>
              <w:rPr>
                <w:noProof/>
                <w:webHidden/>
              </w:rPr>
              <w:instrText xml:space="preserve"> PAGEREF _Toc208220126 \h </w:instrText>
            </w:r>
            <w:r>
              <w:rPr>
                <w:noProof/>
                <w:webHidden/>
              </w:rPr>
            </w:r>
            <w:r>
              <w:rPr>
                <w:noProof/>
                <w:webHidden/>
              </w:rPr>
              <w:fldChar w:fldCharType="separate"/>
            </w:r>
            <w:r>
              <w:rPr>
                <w:noProof/>
                <w:webHidden/>
              </w:rPr>
              <w:t>11</w:t>
            </w:r>
            <w:r>
              <w:rPr>
                <w:noProof/>
                <w:webHidden/>
              </w:rPr>
              <w:fldChar w:fldCharType="end"/>
            </w:r>
          </w:hyperlink>
        </w:p>
        <w:p w:rsidR="001B19AE" w:rsidRDefault="001E0569" w:rsidP="0006187F">
          <w:pPr>
            <w:jc w:val="both"/>
          </w:pPr>
          <w:r w:rsidRPr="0006187F">
            <w:rPr>
              <w:rFonts w:ascii="Times New Roman" w:hAnsi="Times New Roman" w:cs="Times New Roman"/>
              <w:b/>
              <w:bCs/>
              <w:sz w:val="24"/>
              <w:szCs w:val="24"/>
            </w:rPr>
            <w:fldChar w:fldCharType="end"/>
          </w:r>
        </w:p>
      </w:sdtContent>
    </w:sdt>
    <w:p w:rsidR="00C83635" w:rsidRPr="004170F7" w:rsidRDefault="00C83635" w:rsidP="00615B6E">
      <w:pPr>
        <w:pStyle w:val="ListParagraph"/>
        <w:spacing w:before="120" w:after="120"/>
        <w:ind w:left="1080"/>
        <w:rPr>
          <w:rFonts w:ascii="Times New Roman" w:hAnsi="Times New Roman" w:cs="Times New Roman"/>
          <w:b/>
          <w:sz w:val="24"/>
          <w:szCs w:val="24"/>
        </w:rPr>
      </w:pPr>
    </w:p>
    <w:p w:rsidR="00990BEE" w:rsidRPr="004170F7" w:rsidRDefault="00990BEE">
      <w:pPr>
        <w:rPr>
          <w:rFonts w:ascii="Times New Roman" w:hAnsi="Times New Roman" w:cs="Times New Roman"/>
          <w:sz w:val="24"/>
          <w:szCs w:val="24"/>
        </w:rPr>
      </w:pPr>
    </w:p>
    <w:p w:rsidR="00C83635" w:rsidRDefault="00C83635"/>
    <w:p w:rsidR="00C83635" w:rsidRDefault="00C83635"/>
    <w:p w:rsidR="00C83635" w:rsidRDefault="00C83635"/>
    <w:p w:rsidR="00C83635" w:rsidRDefault="00C83635"/>
    <w:p w:rsidR="00C83635" w:rsidRDefault="00C83635"/>
    <w:p w:rsidR="00C83635" w:rsidRDefault="00C83635"/>
    <w:p w:rsidR="00C83635" w:rsidRDefault="00C83635"/>
    <w:p w:rsidR="00C83635" w:rsidRDefault="00C83635"/>
    <w:p w:rsidR="00C83635" w:rsidRDefault="00C83635"/>
    <w:p w:rsidR="00C83635" w:rsidRDefault="00C83635"/>
    <w:p w:rsidR="00C83635" w:rsidRDefault="00C83635"/>
    <w:p w:rsidR="00C83635" w:rsidRDefault="00C83635"/>
    <w:p w:rsidR="00C83635" w:rsidRDefault="00C83635"/>
    <w:p w:rsidR="00357987" w:rsidRDefault="00357987"/>
    <w:p w:rsidR="00C83635" w:rsidRPr="001B19AE" w:rsidRDefault="001E0569" w:rsidP="001B19AE">
      <w:pPr>
        <w:pStyle w:val="Heading1"/>
      </w:pPr>
      <w:bookmarkStart w:id="1" w:name="_Toc174005216"/>
      <w:bookmarkStart w:id="2" w:name="_Toc208220117"/>
      <w:r>
        <w:rPr>
          <w:bCs/>
        </w:rPr>
        <w:lastRenderedPageBreak/>
        <w:t>Abbreviations:</w:t>
      </w:r>
      <w:bookmarkEnd w:id="1"/>
      <w:bookmarkEnd w:id="2"/>
    </w:p>
    <w:tbl>
      <w:tblPr>
        <w:tblpPr w:leftFromText="180" w:rightFromText="180" w:vertAnchor="text"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440"/>
      </w:tblGrid>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EU</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 xml:space="preserve">European Union </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RES</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Renewable Energy Sources</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RES-E</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zCs w:val="24"/>
                <w:shd w:val="clear" w:color="auto" w:fill="FFFFFF"/>
              </w:rPr>
              <w:t>Electricity generated from Renewable Energy Sources</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CERT</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Community Emergency Response Team</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CO</w:t>
            </w:r>
            <w:r>
              <w:rPr>
                <w:rFonts w:ascii="Times New Roman" w:hAnsi="Times New Roman"/>
                <w:sz w:val="24"/>
                <w:szCs w:val="24"/>
                <w:vertAlign w:val="subscript"/>
              </w:rPr>
              <w:t>2</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Carbon Dioxide</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EE</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Energy efficiency</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rPr>
              <w:t>ESCO</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zCs w:val="24"/>
                <w:shd w:val="clear" w:color="auto" w:fill="FFFFFF"/>
              </w:rPr>
              <w:t>Energy Service Company</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ESIA</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001233"/>
              </w:rPr>
            </w:pPr>
            <w:r>
              <w:rPr>
                <w:rFonts w:ascii="Times New Roman" w:hAnsi="Times New Roman"/>
                <w:sz w:val="24"/>
                <w:szCs w:val="24"/>
              </w:rPr>
              <w:t>Environmental and Social Impact Assessment</w:t>
            </w:r>
          </w:p>
        </w:tc>
      </w:tr>
      <w:tr w:rsidR="00001E51" w:rsidTr="00E07D7A">
        <w:trPr>
          <w:trHeight w:val="20"/>
        </w:trPr>
        <w:tc>
          <w:tcPr>
            <w:tcW w:w="1825" w:type="dxa"/>
          </w:tcPr>
          <w:p w:rsidR="005C14B5" w:rsidRPr="0006187F" w:rsidRDefault="001E0569" w:rsidP="0006187F">
            <w:pPr>
              <w:tabs>
                <w:tab w:val="left" w:pos="8820"/>
              </w:tabs>
              <w:spacing w:after="0"/>
              <w:jc w:val="both"/>
              <w:rPr>
                <w:rFonts w:ascii="Times New Roman" w:hAnsi="Times New Roman" w:cs="Times New Roman"/>
                <w:sz w:val="24"/>
                <w:szCs w:val="24"/>
              </w:rPr>
            </w:pPr>
            <w:r>
              <w:rPr>
                <w:rFonts w:ascii="Times New Roman" w:hAnsi="Times New Roman"/>
                <w:sz w:val="24"/>
                <w:szCs w:val="24"/>
              </w:rPr>
              <w:t>ESIP</w:t>
            </w:r>
          </w:p>
        </w:tc>
        <w:tc>
          <w:tcPr>
            <w:tcW w:w="7440" w:type="dxa"/>
          </w:tcPr>
          <w:p w:rsidR="005C14B5" w:rsidRPr="0006187F" w:rsidRDefault="001E0569" w:rsidP="0006187F">
            <w:pPr>
              <w:tabs>
                <w:tab w:val="left" w:pos="8820"/>
              </w:tabs>
              <w:spacing w:after="0"/>
              <w:jc w:val="both"/>
              <w:rPr>
                <w:rFonts w:ascii="Times New Roman" w:hAnsi="Times New Roman" w:cs="Times New Roman"/>
                <w:sz w:val="24"/>
                <w:szCs w:val="24"/>
              </w:rPr>
            </w:pPr>
            <w:r>
              <w:rPr>
                <w:rFonts w:ascii="Times New Roman" w:hAnsi="Times New Roman"/>
                <w:sz w:val="24"/>
                <w:szCs w:val="24"/>
              </w:rPr>
              <w:t>Energy Strategy Implementation Program</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szCs w:val="24"/>
              </w:rPr>
              <w:t>KFEE</w:t>
            </w:r>
          </w:p>
        </w:tc>
        <w:tc>
          <w:tcPr>
            <w:tcW w:w="7440" w:type="dxa"/>
            <w:vAlign w:val="center"/>
          </w:tcPr>
          <w:p w:rsidR="005C14B5" w:rsidRPr="0006187F" w:rsidRDefault="001E0569" w:rsidP="0006187F">
            <w:pPr>
              <w:tabs>
                <w:tab w:val="left" w:pos="8820"/>
              </w:tabs>
              <w:spacing w:after="0" w:line="240" w:lineRule="auto"/>
              <w:jc w:val="both"/>
              <w:rPr>
                <w:rFonts w:ascii="Times New Roman" w:eastAsia="MingLiU-ExtB" w:hAnsi="Times New Roman" w:cs="Times New Roman"/>
                <w:sz w:val="24"/>
                <w:szCs w:val="24"/>
              </w:rPr>
            </w:pPr>
            <w:r>
              <w:rPr>
                <w:rFonts w:ascii="Times New Roman" w:hAnsi="Times New Roman"/>
                <w:sz w:val="24"/>
                <w:szCs w:val="24"/>
              </w:rPr>
              <w:t>Kosovo Energy Efficiency Fund</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GS</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zCs w:val="24"/>
                <w:shd w:val="clear" w:color="auto" w:fill="FFFFFF"/>
              </w:rPr>
              <w:t>Greenhouse Gases</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IPF9</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Infrastructure Project Facility - Technical Assistance 9</w:t>
            </w:r>
          </w:p>
        </w:tc>
      </w:tr>
      <w:tr w:rsidR="00001E51" w:rsidTr="00E07D7A">
        <w:trPr>
          <w:trHeight w:val="20"/>
        </w:trPr>
        <w:tc>
          <w:tcPr>
            <w:tcW w:w="1825" w:type="dxa"/>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KEDS</w:t>
            </w:r>
          </w:p>
        </w:tc>
        <w:tc>
          <w:tcPr>
            <w:tcW w:w="7440" w:type="dxa"/>
            <w:vAlign w:val="center"/>
          </w:tcPr>
          <w:p w:rsidR="005C14B5" w:rsidRPr="0006187F" w:rsidRDefault="001E0569" w:rsidP="0006187F">
            <w:pPr>
              <w:tabs>
                <w:tab w:val="left" w:pos="8820"/>
              </w:tabs>
              <w:spacing w:after="0"/>
              <w:jc w:val="both"/>
              <w:rPr>
                <w:rFonts w:ascii="Times New Roman" w:eastAsia="Times New Roman" w:hAnsi="Times New Roman" w:cs="Times New Roman"/>
                <w:sz w:val="24"/>
                <w:szCs w:val="24"/>
              </w:rPr>
            </w:pPr>
            <w:r>
              <w:rPr>
                <w:rFonts w:ascii="Times New Roman" w:hAnsi="Times New Roman"/>
                <w:sz w:val="24"/>
                <w:szCs w:val="24"/>
                <w:shd w:val="clear" w:color="auto" w:fill="FFFFFF"/>
              </w:rPr>
              <w:t>Kosovo Electricity Distribution Company</w:t>
            </w:r>
          </w:p>
        </w:tc>
      </w:tr>
      <w:tr w:rsidR="00001E51" w:rsidTr="00E07D7A">
        <w:trPr>
          <w:trHeight w:val="20"/>
        </w:trPr>
        <w:tc>
          <w:tcPr>
            <w:tcW w:w="1825" w:type="dxa"/>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KEK</w:t>
            </w:r>
          </w:p>
        </w:tc>
        <w:tc>
          <w:tcPr>
            <w:tcW w:w="7440" w:type="dxa"/>
          </w:tcPr>
          <w:p w:rsidR="005C14B5" w:rsidRPr="0006187F" w:rsidRDefault="001E0569" w:rsidP="0006187F">
            <w:pPr>
              <w:tabs>
                <w:tab w:val="left" w:pos="8820"/>
              </w:tabs>
              <w:spacing w:after="0"/>
              <w:jc w:val="both"/>
              <w:rPr>
                <w:rFonts w:ascii="Times New Roman" w:hAnsi="Times New Roman" w:cs="Times New Roman"/>
                <w:sz w:val="24"/>
                <w:szCs w:val="24"/>
              </w:rPr>
            </w:pPr>
            <w:r>
              <w:rPr>
                <w:rFonts w:ascii="Times New Roman" w:hAnsi="Times New Roman"/>
                <w:sz w:val="24"/>
                <w:szCs w:val="24"/>
              </w:rPr>
              <w:t>Kosovo Energy Corporation</w:t>
            </w:r>
          </w:p>
        </w:tc>
      </w:tr>
      <w:tr w:rsidR="00001E51" w:rsidTr="00E07D7A">
        <w:trPr>
          <w:trHeight w:val="20"/>
        </w:trPr>
        <w:tc>
          <w:tcPr>
            <w:tcW w:w="1825" w:type="dxa"/>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KfW</w:t>
            </w:r>
          </w:p>
        </w:tc>
        <w:tc>
          <w:tcPr>
            <w:tcW w:w="7440" w:type="dxa"/>
            <w:vAlign w:val="center"/>
          </w:tcPr>
          <w:p w:rsidR="005C14B5" w:rsidRPr="0006187F" w:rsidRDefault="001E0569" w:rsidP="0006187F">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Credit Institute for Reconstruction</w:t>
            </w:r>
          </w:p>
        </w:tc>
      </w:tr>
      <w:tr w:rsidR="00001E51" w:rsidTr="00E07D7A">
        <w:trPr>
          <w:trHeight w:val="20"/>
        </w:trPr>
        <w:tc>
          <w:tcPr>
            <w:tcW w:w="1825" w:type="dxa"/>
            <w:vAlign w:val="center"/>
          </w:tcPr>
          <w:p w:rsidR="005C14B5" w:rsidRPr="0006187F" w:rsidRDefault="001E0569" w:rsidP="0006187F">
            <w:pPr>
              <w:tabs>
                <w:tab w:val="left" w:pos="8820"/>
              </w:tabs>
              <w:spacing w:after="0"/>
              <w:jc w:val="both"/>
              <w:rPr>
                <w:rFonts w:ascii="Times New Roman" w:hAnsi="Times New Roman" w:cs="Times New Roman"/>
                <w:sz w:val="24"/>
                <w:szCs w:val="24"/>
              </w:rPr>
            </w:pPr>
            <w:r>
              <w:rPr>
                <w:rFonts w:ascii="Times New Roman" w:hAnsi="Times New Roman"/>
                <w:sz w:val="24"/>
                <w:szCs w:val="24"/>
              </w:rPr>
              <w:t>KOSTT</w:t>
            </w:r>
          </w:p>
        </w:tc>
        <w:tc>
          <w:tcPr>
            <w:tcW w:w="7440" w:type="dxa"/>
          </w:tcPr>
          <w:p w:rsidR="005C14B5" w:rsidRPr="0006187F" w:rsidRDefault="001E0569" w:rsidP="0006187F">
            <w:pPr>
              <w:tabs>
                <w:tab w:val="left" w:pos="8820"/>
              </w:tabs>
              <w:spacing w:after="0"/>
              <w:jc w:val="both"/>
              <w:rPr>
                <w:rFonts w:ascii="Times New Roman" w:hAnsi="Times New Roman" w:cs="Times New Roman"/>
                <w:sz w:val="24"/>
                <w:szCs w:val="24"/>
              </w:rPr>
            </w:pPr>
            <w:r>
              <w:rPr>
                <w:rFonts w:ascii="Times New Roman" w:hAnsi="Times New Roman"/>
                <w:sz w:val="24"/>
                <w:szCs w:val="24"/>
              </w:rPr>
              <w:t>Kosovo Electricity System, Transmission and Market Operator</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Ktoe</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Kilo tons of oil equivalents</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szCs w:val="24"/>
              </w:rPr>
              <w:t>MEST</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Ministry of Education, Science, Technology and Innovation</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MS Mincho" w:hAnsi="Times New Roman" w:cs="Times New Roman"/>
                <w:noProof/>
                <w:sz w:val="24"/>
                <w:szCs w:val="24"/>
              </w:rPr>
            </w:pPr>
            <w:r>
              <w:rPr>
                <w:rFonts w:ascii="Times New Roman" w:hAnsi="Times New Roman"/>
                <w:sz w:val="24"/>
                <w:szCs w:val="24"/>
              </w:rPr>
              <w:t>MCAK</w:t>
            </w:r>
          </w:p>
        </w:tc>
        <w:tc>
          <w:tcPr>
            <w:tcW w:w="7440" w:type="dxa"/>
            <w:vAlign w:val="center"/>
          </w:tcPr>
          <w:p w:rsidR="005C14B5" w:rsidRPr="0006187F" w:rsidRDefault="001E0569" w:rsidP="0006187F">
            <w:pPr>
              <w:tabs>
                <w:tab w:val="left" w:pos="8820"/>
              </w:tabs>
              <w:spacing w:after="0" w:line="240" w:lineRule="auto"/>
              <w:jc w:val="both"/>
              <w:rPr>
                <w:rFonts w:ascii="Times New Roman" w:eastAsia="MS Mincho" w:hAnsi="Times New Roman" w:cs="Times New Roman"/>
                <w:noProof/>
                <w:sz w:val="24"/>
                <w:szCs w:val="24"/>
                <w:highlight w:val="yellow"/>
              </w:rPr>
            </w:pPr>
            <w:r>
              <w:rPr>
                <w:rFonts w:ascii="Times New Roman" w:hAnsi="Times New Roman"/>
                <w:sz w:val="24"/>
                <w:szCs w:val="24"/>
              </w:rPr>
              <w:t>Millennium Challenge Account Kosovo</w:t>
            </w:r>
          </w:p>
        </w:tc>
      </w:tr>
      <w:tr w:rsidR="00001E51" w:rsidTr="00E07D7A">
        <w:trPr>
          <w:trHeight w:val="20"/>
        </w:trPr>
        <w:tc>
          <w:tcPr>
            <w:tcW w:w="1825" w:type="dxa"/>
          </w:tcPr>
          <w:p w:rsidR="005C14B5" w:rsidRPr="0006187F" w:rsidRDefault="001E0569" w:rsidP="0006187F">
            <w:pPr>
              <w:tabs>
                <w:tab w:val="left" w:pos="8820"/>
              </w:tabs>
              <w:spacing w:after="0"/>
              <w:jc w:val="both"/>
              <w:rPr>
                <w:rFonts w:ascii="Times New Roman" w:hAnsi="Times New Roman" w:cs="Times New Roman"/>
                <w:sz w:val="24"/>
                <w:szCs w:val="24"/>
              </w:rPr>
            </w:pPr>
            <w:r>
              <w:rPr>
                <w:rFonts w:ascii="Times New Roman" w:hAnsi="Times New Roman"/>
                <w:sz w:val="24"/>
                <w:szCs w:val="24"/>
              </w:rPr>
              <w:t>MCC</w:t>
            </w:r>
          </w:p>
        </w:tc>
        <w:tc>
          <w:tcPr>
            <w:tcW w:w="7440" w:type="dxa"/>
          </w:tcPr>
          <w:p w:rsidR="005C14B5" w:rsidRPr="0006187F" w:rsidRDefault="001E0569" w:rsidP="0006187F">
            <w:pPr>
              <w:tabs>
                <w:tab w:val="left" w:pos="8820"/>
              </w:tabs>
              <w:spacing w:after="0"/>
              <w:jc w:val="both"/>
              <w:rPr>
                <w:rFonts w:ascii="Times New Roman" w:hAnsi="Times New Roman" w:cs="Times New Roman"/>
                <w:sz w:val="24"/>
                <w:szCs w:val="24"/>
              </w:rPr>
            </w:pPr>
            <w:r>
              <w:rPr>
                <w:rFonts w:ascii="Times New Roman" w:hAnsi="Times New Roman"/>
                <w:sz w:val="24"/>
                <w:szCs w:val="24"/>
              </w:rPr>
              <w:t>Millennium Challenge Corporation</w:t>
            </w:r>
          </w:p>
        </w:tc>
      </w:tr>
      <w:tr w:rsidR="00001E51" w:rsidTr="00E07D7A">
        <w:trPr>
          <w:trHeight w:val="20"/>
        </w:trPr>
        <w:tc>
          <w:tcPr>
            <w:tcW w:w="1825" w:type="dxa"/>
          </w:tcPr>
          <w:p w:rsidR="005C14B5" w:rsidRPr="0006187F" w:rsidRDefault="001E0569" w:rsidP="0006187F">
            <w:pPr>
              <w:tabs>
                <w:tab w:val="right" w:pos="1939"/>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ME</w:t>
            </w:r>
            <w:r>
              <w:rPr>
                <w:rFonts w:ascii="Times New Roman" w:hAnsi="Times New Roman"/>
                <w:sz w:val="24"/>
                <w:szCs w:val="24"/>
              </w:rPr>
              <w:tab/>
            </w:r>
          </w:p>
        </w:tc>
        <w:tc>
          <w:tcPr>
            <w:tcW w:w="7440" w:type="dxa"/>
            <w:vAlign w:val="center"/>
          </w:tcPr>
          <w:p w:rsidR="005C14B5" w:rsidRPr="0006187F" w:rsidRDefault="001E0569" w:rsidP="0006187F">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Ministry of Economy</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szCs w:val="24"/>
              </w:rPr>
              <w:t>MFK</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001233"/>
              </w:rPr>
            </w:pPr>
            <w:r>
              <w:rPr>
                <w:rFonts w:ascii="Times New Roman" w:hAnsi="Times New Roman"/>
                <w:sz w:val="24"/>
                <w:szCs w:val="24"/>
              </w:rPr>
              <w:t>Millennium Foundation Kosovo</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MFLT</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 xml:space="preserve">Ministry of Finance, Labour and Transfers </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szCs w:val="24"/>
              </w:rPr>
              <w:t>MESPI</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001233"/>
              </w:rPr>
            </w:pPr>
            <w:r>
              <w:rPr>
                <w:rFonts w:ascii="Times New Roman" w:hAnsi="Times New Roman"/>
                <w:sz w:val="24"/>
                <w:szCs w:val="24"/>
              </w:rPr>
              <w:t>Ministry of Environment, Spatial Planning and Infrastructure</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MW</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Megawatt</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MWt</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Megawatt thermal</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NOx</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bCs/>
                <w:sz w:val="24"/>
                <w:szCs w:val="24"/>
                <w:shd w:val="clear" w:color="auto" w:fill="FFFFFF"/>
              </w:rPr>
              <w:t xml:space="preserve">Nitrogen Oxides </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szCs w:val="24"/>
              </w:rPr>
              <w:t>DH</w:t>
            </w:r>
          </w:p>
        </w:tc>
        <w:tc>
          <w:tcPr>
            <w:tcW w:w="7440" w:type="dxa"/>
            <w:vAlign w:val="center"/>
          </w:tcPr>
          <w:p w:rsidR="005C14B5" w:rsidRPr="0006187F" w:rsidRDefault="001E0569" w:rsidP="0006187F">
            <w:pPr>
              <w:tabs>
                <w:tab w:val="left" w:pos="8820"/>
              </w:tabs>
              <w:spacing w:after="0" w:line="240" w:lineRule="auto"/>
              <w:jc w:val="both"/>
              <w:rPr>
                <w:rFonts w:ascii="Times New Roman" w:eastAsia="MS Mincho" w:hAnsi="Times New Roman" w:cs="Times New Roman"/>
                <w:noProof/>
                <w:sz w:val="24"/>
                <w:szCs w:val="24"/>
              </w:rPr>
            </w:pPr>
            <w:r>
              <w:rPr>
                <w:rFonts w:ascii="Times New Roman" w:hAnsi="Times New Roman"/>
                <w:sz w:val="24"/>
                <w:szCs w:val="24"/>
              </w:rPr>
              <w:t>Central Heating</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DSO</w:t>
            </w:r>
          </w:p>
        </w:tc>
        <w:tc>
          <w:tcPr>
            <w:tcW w:w="7440" w:type="dxa"/>
            <w:vAlign w:val="center"/>
          </w:tcPr>
          <w:p w:rsidR="005C14B5" w:rsidRPr="0006187F" w:rsidRDefault="001E0569" w:rsidP="0006187F">
            <w:pPr>
              <w:tabs>
                <w:tab w:val="left" w:pos="8820"/>
              </w:tabs>
              <w:spacing w:after="0" w:line="240" w:lineRule="auto"/>
              <w:jc w:val="both"/>
              <w:rPr>
                <w:rFonts w:ascii="Times New Roman" w:eastAsia="Calibri" w:hAnsi="Times New Roman" w:cs="Times New Roman"/>
                <w:sz w:val="24"/>
                <w:szCs w:val="24"/>
              </w:rPr>
            </w:pPr>
            <w:r>
              <w:rPr>
                <w:rFonts w:ascii="Times New Roman" w:hAnsi="Times New Roman"/>
                <w:sz w:val="24"/>
                <w:szCs w:val="24"/>
                <w:shd w:val="clear" w:color="auto" w:fill="FFFFFF"/>
              </w:rPr>
              <w:t>Distribution System Operators</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TSO</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Transmission System Operators</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hAnsi="Times New Roman" w:cs="Times New Roman"/>
                <w:sz w:val="24"/>
                <w:szCs w:val="24"/>
              </w:rPr>
            </w:pPr>
            <w:r>
              <w:rPr>
                <w:rFonts w:ascii="Times New Roman" w:hAnsi="Times New Roman"/>
                <w:sz w:val="24"/>
                <w:szCs w:val="24"/>
              </w:rPr>
              <w:t>SAIDI</w:t>
            </w:r>
          </w:p>
        </w:tc>
        <w:tc>
          <w:tcPr>
            <w:tcW w:w="7440" w:type="dxa"/>
            <w:vAlign w:val="center"/>
          </w:tcPr>
          <w:p w:rsidR="005C14B5" w:rsidRPr="0006187F" w:rsidRDefault="001E0569" w:rsidP="0006187F">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System Average Interruption Duration Index</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hAnsi="Times New Roman" w:cs="Times New Roman"/>
                <w:sz w:val="24"/>
                <w:szCs w:val="24"/>
              </w:rPr>
            </w:pPr>
            <w:r>
              <w:rPr>
                <w:rFonts w:ascii="Times New Roman" w:hAnsi="Times New Roman"/>
                <w:sz w:val="24"/>
                <w:szCs w:val="24"/>
              </w:rPr>
              <w:t>SAIFI</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bCs/>
                <w:sz w:val="24"/>
                <w:szCs w:val="24"/>
                <w:shd w:val="clear" w:color="auto" w:fill="FFFFFF"/>
              </w:rPr>
              <w:t>System Average Interruption Frequency Index</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SCADA</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shd w:val="clear" w:color="auto" w:fill="FFFFFF"/>
              </w:rPr>
            </w:pPr>
            <w:r>
              <w:rPr>
                <w:rFonts w:ascii="Times New Roman" w:hAnsi="Times New Roman"/>
                <w:bCs/>
                <w:sz w:val="24"/>
                <w:szCs w:val="24"/>
                <w:shd w:val="clear" w:color="auto" w:fill="FFFFFF"/>
              </w:rPr>
              <w:t>Supervisory Control and Data Acquisition</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hAnsi="Times New Roman" w:cs="Times New Roman"/>
                <w:sz w:val="24"/>
                <w:szCs w:val="24"/>
              </w:rPr>
            </w:pPr>
            <w:r>
              <w:rPr>
                <w:rFonts w:ascii="Times New Roman" w:hAnsi="Times New Roman"/>
                <w:sz w:val="24"/>
                <w:szCs w:val="24"/>
              </w:rPr>
              <w:t>SO</w:t>
            </w:r>
            <w:r>
              <w:rPr>
                <w:rFonts w:ascii="Times New Roman" w:hAnsi="Times New Roman"/>
                <w:sz w:val="24"/>
                <w:szCs w:val="24"/>
                <w:vertAlign w:val="subscript"/>
              </w:rPr>
              <w:t>2</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bCs/>
                <w:sz w:val="24"/>
                <w:szCs w:val="24"/>
                <w:shd w:val="clear" w:color="auto" w:fill="FFFFFF"/>
              </w:rPr>
              <w:t xml:space="preserve">Sulfur Dioxide  </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Calibri" w:hAnsi="Times New Roman" w:cs="Times New Roman"/>
                <w:sz w:val="24"/>
                <w:szCs w:val="24"/>
              </w:rPr>
            </w:pPr>
            <w:r>
              <w:rPr>
                <w:rFonts w:ascii="Times New Roman" w:hAnsi="Times New Roman"/>
                <w:sz w:val="24"/>
                <w:szCs w:val="24"/>
              </w:rPr>
              <w:t>EU ETS</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bCs/>
                <w:sz w:val="24"/>
                <w:szCs w:val="24"/>
                <w:shd w:val="clear" w:color="auto" w:fill="FFFFFF"/>
              </w:rPr>
            </w:pPr>
            <w:r>
              <w:rPr>
                <w:rFonts w:ascii="Times New Roman" w:hAnsi="Times New Roman"/>
                <w:sz w:val="24"/>
                <w:szCs w:val="24"/>
                <w:shd w:val="clear" w:color="auto" w:fill="FFFFFF"/>
              </w:rPr>
              <w:t>European Union Emissions Trading System</w:t>
            </w:r>
          </w:p>
        </w:tc>
      </w:tr>
      <w:tr w:rsidR="00001E51" w:rsidTr="00E07D7A">
        <w:trPr>
          <w:trHeight w:val="20"/>
        </w:trPr>
        <w:tc>
          <w:tcPr>
            <w:tcW w:w="1825" w:type="dxa"/>
          </w:tcPr>
          <w:p w:rsidR="005C14B5" w:rsidRPr="0006187F" w:rsidRDefault="001E0569" w:rsidP="0006187F">
            <w:pPr>
              <w:tabs>
                <w:tab w:val="left" w:pos="1591"/>
              </w:tabs>
              <w:spacing w:after="0" w:line="240" w:lineRule="auto"/>
              <w:jc w:val="both"/>
              <w:rPr>
                <w:rFonts w:ascii="Times New Roman" w:eastAsia="Segoe UI" w:hAnsi="Times New Roman" w:cs="Times New Roman"/>
                <w:sz w:val="24"/>
                <w:szCs w:val="24"/>
              </w:rPr>
            </w:pPr>
            <w:r>
              <w:rPr>
                <w:rFonts w:ascii="Times New Roman" w:hAnsi="Times New Roman"/>
                <w:sz w:val="24"/>
                <w:szCs w:val="24"/>
              </w:rPr>
              <w:t>WBIF</w:t>
            </w:r>
          </w:p>
        </w:tc>
        <w:tc>
          <w:tcPr>
            <w:tcW w:w="7440" w:type="dxa"/>
            <w:vAlign w:val="center"/>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Western Balkans Investment Framework</w:t>
            </w:r>
          </w:p>
        </w:tc>
      </w:tr>
      <w:tr w:rsidR="00001E51" w:rsidTr="00E07D7A">
        <w:trPr>
          <w:trHeight w:val="20"/>
        </w:trPr>
        <w:tc>
          <w:tcPr>
            <w:tcW w:w="1825" w:type="dxa"/>
          </w:tcPr>
          <w:p w:rsidR="005C14B5" w:rsidRPr="0006187F" w:rsidRDefault="001E0569" w:rsidP="0006187F">
            <w:pPr>
              <w:tabs>
                <w:tab w:val="left" w:pos="8820"/>
              </w:tabs>
              <w:spacing w:after="0" w:line="240" w:lineRule="auto"/>
              <w:jc w:val="both"/>
              <w:rPr>
                <w:rFonts w:ascii="Times New Roman" w:hAnsi="Times New Roman" w:cs="Times New Roman"/>
                <w:sz w:val="24"/>
                <w:szCs w:val="24"/>
              </w:rPr>
            </w:pPr>
            <w:r>
              <w:rPr>
                <w:rFonts w:ascii="Times New Roman" w:hAnsi="Times New Roman"/>
                <w:sz w:val="24"/>
                <w:szCs w:val="24"/>
              </w:rPr>
              <w:t>ERO</w:t>
            </w:r>
          </w:p>
        </w:tc>
        <w:tc>
          <w:tcPr>
            <w:tcW w:w="7440" w:type="dxa"/>
            <w:vAlign w:val="center"/>
          </w:tcPr>
          <w:p w:rsidR="005C14B5" w:rsidRPr="0006187F" w:rsidRDefault="001E0569" w:rsidP="0006187F">
            <w:pPr>
              <w:tabs>
                <w:tab w:val="left" w:pos="882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Energy Regulatory Office</w:t>
            </w:r>
          </w:p>
        </w:tc>
      </w:tr>
    </w:tbl>
    <w:p w:rsidR="00C43A7C" w:rsidRPr="0006187F" w:rsidRDefault="00C43A7C" w:rsidP="0006187F">
      <w:pPr>
        <w:jc w:val="both"/>
        <w:rPr>
          <w:rFonts w:ascii="Times New Roman" w:hAnsi="Times New Roman" w:cs="Times New Roman"/>
          <w:sz w:val="24"/>
          <w:szCs w:val="24"/>
        </w:rPr>
      </w:pPr>
    </w:p>
    <w:p w:rsidR="00C43A7C" w:rsidRDefault="00C43A7C">
      <w:pPr>
        <w:rPr>
          <w:rFonts w:ascii="Times New Roman" w:hAnsi="Times New Roman" w:cs="Times New Roman"/>
          <w:sz w:val="24"/>
          <w:szCs w:val="24"/>
        </w:rPr>
      </w:pPr>
    </w:p>
    <w:p w:rsidR="00C43A7C" w:rsidRDefault="00C43A7C">
      <w:pPr>
        <w:rPr>
          <w:rFonts w:ascii="Times New Roman" w:hAnsi="Times New Roman" w:cs="Times New Roman"/>
          <w:sz w:val="24"/>
          <w:szCs w:val="24"/>
        </w:rPr>
      </w:pPr>
    </w:p>
    <w:p w:rsidR="00F13E8D" w:rsidRPr="001B19AE" w:rsidRDefault="001E0569" w:rsidP="006A75A8">
      <w:pPr>
        <w:pStyle w:val="Heading1"/>
        <w:numPr>
          <w:ilvl w:val="0"/>
          <w:numId w:val="0"/>
        </w:numPr>
        <w:ind w:left="432"/>
        <w:jc w:val="left"/>
      </w:pPr>
      <w:bookmarkStart w:id="3" w:name="_Toc174005217"/>
      <w:bookmarkStart w:id="4" w:name="_Toc208220118"/>
      <w:r>
        <w:lastRenderedPageBreak/>
        <w:t>2. GENERAL INFORMATION</w:t>
      </w:r>
      <w:bookmarkEnd w:id="3"/>
      <w:bookmarkEnd w:id="4"/>
      <w:r>
        <w:t xml:space="preserve"> </w:t>
      </w:r>
    </w:p>
    <w:p w:rsidR="00042ABD" w:rsidRDefault="00042ABD" w:rsidP="00042ABD">
      <w:pPr>
        <w:rPr>
          <w:lang w:eastAsia="sq-AL"/>
        </w:rPr>
      </w:pPr>
    </w:p>
    <w:p w:rsidR="00042ABD" w:rsidRPr="0006187F" w:rsidRDefault="001E0569" w:rsidP="00042ABD">
      <w:pPr>
        <w:jc w:val="both"/>
        <w:rPr>
          <w:rFonts w:ascii="Times New Roman" w:hAnsi="Times New Roman" w:cs="Times New Roman"/>
          <w:color w:val="FF0000"/>
          <w:sz w:val="24"/>
          <w:szCs w:val="24"/>
        </w:rPr>
      </w:pPr>
      <w:r>
        <w:rPr>
          <w:rFonts w:ascii="Times New Roman" w:hAnsi="Times New Roman"/>
          <w:sz w:val="24"/>
          <w:szCs w:val="24"/>
        </w:rPr>
        <w:t>The Ministry of Economy (ME) has drafted the Kosovo Energy Strategy IMPLEMENTATION PROGRAM (KESIP) for the period 2022-2025, which was approved by the Government of the Republic of Kosovo (GoK) on 05 September 2023.</w:t>
      </w:r>
    </w:p>
    <w:p w:rsidR="00042ABD" w:rsidRPr="0006187F" w:rsidRDefault="001E0569" w:rsidP="00042ABD">
      <w:pPr>
        <w:jc w:val="both"/>
        <w:rPr>
          <w:rFonts w:ascii="Times New Roman" w:hAnsi="Times New Roman" w:cs="Times New Roman"/>
          <w:sz w:val="24"/>
          <w:szCs w:val="24"/>
        </w:rPr>
      </w:pPr>
      <w:r>
        <w:rPr>
          <w:rFonts w:ascii="Times New Roman" w:hAnsi="Times New Roman"/>
          <w:sz w:val="24"/>
          <w:szCs w:val="24"/>
        </w:rPr>
        <w:t>Pursuant to Article 7, paragraph 7 of Law No. 05/L-081 on Energy, the Ministry of Economy (ME) is legally mandated to monitor the implementation of the Kosovo Energy Strategy. Accordingly, the Ministry has prepared the semi-annual progress report for January-June 2025, assessing the implementation of the Kosovo Energy Strategy Implementation Program (KESIP) 2022-2025, as well as the level of implementation of the Kosovo Energy Strategy 2022-2031. This has been carried out in compliance with Regulation (GoK) No. 17/2024 on the Rules of Procedure of the Government of the Republic of Kosovo and the Manual for the planning, drafting and monitoring of strategic documents and their action plans.</w:t>
      </w:r>
    </w:p>
    <w:p w:rsidR="00042ABD" w:rsidRPr="0006187F" w:rsidRDefault="001E0569" w:rsidP="00042ABD">
      <w:pPr>
        <w:jc w:val="both"/>
        <w:rPr>
          <w:rFonts w:ascii="Times New Roman" w:hAnsi="Times New Roman" w:cs="Times New Roman"/>
          <w:sz w:val="24"/>
          <w:szCs w:val="24"/>
        </w:rPr>
      </w:pPr>
      <w:r>
        <w:rPr>
          <w:rFonts w:ascii="Times New Roman" w:hAnsi="Times New Roman"/>
          <w:sz w:val="24"/>
          <w:szCs w:val="24"/>
        </w:rPr>
        <w:t xml:space="preserve">The Energy Strategy Implementation Progress report for the period January-June 2025 has been prepared based on the implementation of activities set forth in the Kosovo Energy Strategy Implementation Program (KESIP) for the period 2022-2025. </w:t>
      </w:r>
    </w:p>
    <w:p w:rsidR="00042ABD" w:rsidRPr="0006187F" w:rsidRDefault="001E0569" w:rsidP="00042ABD">
      <w:pPr>
        <w:jc w:val="both"/>
        <w:rPr>
          <w:rFonts w:ascii="Times New Roman" w:hAnsi="Times New Roman" w:cs="Times New Roman"/>
          <w:sz w:val="24"/>
          <w:szCs w:val="24"/>
        </w:rPr>
      </w:pPr>
      <w:r>
        <w:rPr>
          <w:rFonts w:ascii="Times New Roman" w:hAnsi="Times New Roman"/>
          <w:sz w:val="24"/>
          <w:szCs w:val="24"/>
        </w:rPr>
        <w:t xml:space="preserve">The Kosovo Energy Strategy Implementation Program (KESIP) report for the period January-June 2025 outlines five (5) strategic objectives, fifteen (15) specific objectives and ninety (90) activities envisaged to be implemented for advancing the energy sector. </w:t>
      </w:r>
    </w:p>
    <w:p w:rsidR="00042ABD" w:rsidRPr="0006187F" w:rsidRDefault="001E0569" w:rsidP="00042ABD">
      <w:pPr>
        <w:jc w:val="both"/>
        <w:rPr>
          <w:rFonts w:ascii="Times New Roman" w:hAnsi="Times New Roman" w:cs="Times New Roman"/>
          <w:sz w:val="24"/>
          <w:szCs w:val="24"/>
        </w:rPr>
      </w:pPr>
      <w:r>
        <w:rPr>
          <w:rFonts w:ascii="Times New Roman" w:hAnsi="Times New Roman"/>
          <w:sz w:val="24"/>
          <w:szCs w:val="24"/>
        </w:rPr>
        <w:t>The purpose of this progress report is to assess the degree of implementation of the projects and activities foreseen under the Kosovo Energy Strategy Implementation Program (KESIP) for the period January-June 2025, to identify challenges encountered, and to put forward recommendations for decision-making by the relevant authorities.</w:t>
      </w:r>
    </w:p>
    <w:p w:rsidR="00042ABD" w:rsidRPr="0006187F" w:rsidRDefault="001E0569" w:rsidP="00042ABD">
      <w:pPr>
        <w:jc w:val="both"/>
        <w:rPr>
          <w:rFonts w:ascii="Times New Roman" w:hAnsi="Times New Roman" w:cs="Times New Roman"/>
          <w:b/>
          <w:bCs/>
          <w:sz w:val="24"/>
          <w:szCs w:val="24"/>
        </w:rPr>
      </w:pPr>
      <w:r>
        <w:rPr>
          <w:rFonts w:ascii="Times New Roman" w:hAnsi="Times New Roman"/>
          <w:b/>
          <w:bCs/>
          <w:sz w:val="24"/>
          <w:szCs w:val="24"/>
        </w:rPr>
        <w:t>The strategic objectives include:</w:t>
      </w:r>
    </w:p>
    <w:p w:rsidR="00042ABD" w:rsidRPr="0006187F" w:rsidRDefault="001E0569" w:rsidP="00042ABD">
      <w:pPr>
        <w:spacing w:after="0" w:line="240" w:lineRule="auto"/>
        <w:jc w:val="both"/>
        <w:rPr>
          <w:rFonts w:ascii="Times New Roman" w:hAnsi="Times New Roman" w:cs="Times New Roman"/>
          <w:sz w:val="24"/>
          <w:szCs w:val="24"/>
        </w:rPr>
      </w:pPr>
      <w:r>
        <w:rPr>
          <w:rFonts w:ascii="Times New Roman" w:hAnsi="Times New Roman"/>
          <w:sz w:val="24"/>
          <w:szCs w:val="24"/>
        </w:rPr>
        <w:t>Objective 1: Improving system resilience;</w:t>
      </w:r>
    </w:p>
    <w:p w:rsidR="00042ABD" w:rsidRPr="0006187F" w:rsidRDefault="001E0569" w:rsidP="00042ABD">
      <w:pPr>
        <w:spacing w:after="0" w:line="240" w:lineRule="auto"/>
        <w:jc w:val="both"/>
        <w:rPr>
          <w:rFonts w:ascii="Times New Roman" w:hAnsi="Times New Roman" w:cs="Times New Roman"/>
          <w:sz w:val="24"/>
          <w:szCs w:val="24"/>
        </w:rPr>
      </w:pPr>
      <w:r>
        <w:rPr>
          <w:rFonts w:ascii="Times New Roman" w:hAnsi="Times New Roman"/>
          <w:sz w:val="24"/>
          <w:szCs w:val="24"/>
        </w:rPr>
        <w:t>Objective 2: Decarbonization and promoting renewable energy;</w:t>
      </w:r>
    </w:p>
    <w:p w:rsidR="00042ABD" w:rsidRPr="0006187F" w:rsidRDefault="001E0569" w:rsidP="00042ABD">
      <w:pPr>
        <w:spacing w:after="0" w:line="240" w:lineRule="auto"/>
        <w:jc w:val="both"/>
        <w:rPr>
          <w:rFonts w:ascii="Times New Roman" w:hAnsi="Times New Roman" w:cs="Times New Roman"/>
          <w:sz w:val="24"/>
          <w:szCs w:val="24"/>
        </w:rPr>
      </w:pPr>
      <w:r>
        <w:rPr>
          <w:rFonts w:ascii="Times New Roman" w:hAnsi="Times New Roman"/>
          <w:sz w:val="24"/>
          <w:szCs w:val="24"/>
        </w:rPr>
        <w:t>Objective 3: Increasing energy efficiency (EE);</w:t>
      </w:r>
    </w:p>
    <w:p w:rsidR="00042ABD" w:rsidRPr="0006187F" w:rsidRDefault="001E0569" w:rsidP="00042ABD">
      <w:pPr>
        <w:spacing w:after="0" w:line="240" w:lineRule="auto"/>
        <w:jc w:val="both"/>
        <w:rPr>
          <w:rFonts w:ascii="Times New Roman" w:hAnsi="Times New Roman" w:cs="Times New Roman"/>
          <w:sz w:val="24"/>
          <w:szCs w:val="24"/>
        </w:rPr>
      </w:pPr>
      <w:r>
        <w:rPr>
          <w:rFonts w:ascii="Times New Roman" w:hAnsi="Times New Roman"/>
          <w:sz w:val="24"/>
          <w:szCs w:val="24"/>
        </w:rPr>
        <w:t>Objective 4: Strengthening regional cooperation and market functioning;</w:t>
      </w:r>
    </w:p>
    <w:p w:rsidR="00042ABD" w:rsidRPr="0006187F" w:rsidRDefault="001E0569" w:rsidP="00042ABD">
      <w:pPr>
        <w:spacing w:after="0" w:line="240" w:lineRule="auto"/>
        <w:jc w:val="both"/>
        <w:rPr>
          <w:rFonts w:ascii="Times New Roman" w:hAnsi="Times New Roman" w:cs="Times New Roman"/>
          <w:sz w:val="24"/>
          <w:szCs w:val="24"/>
        </w:rPr>
      </w:pPr>
      <w:r>
        <w:rPr>
          <w:rFonts w:ascii="Times New Roman" w:hAnsi="Times New Roman"/>
          <w:sz w:val="24"/>
          <w:szCs w:val="24"/>
        </w:rPr>
        <w:t>Objective 5: Protecting and empowering consumers.</w:t>
      </w:r>
    </w:p>
    <w:p w:rsidR="00042ABD" w:rsidRDefault="00042ABD" w:rsidP="00042ABD">
      <w:pPr>
        <w:rPr>
          <w:lang w:eastAsia="sq-AL"/>
        </w:rPr>
      </w:pPr>
    </w:p>
    <w:p w:rsidR="00042ABD" w:rsidRDefault="00042ABD" w:rsidP="00042ABD">
      <w:pPr>
        <w:rPr>
          <w:lang w:eastAsia="sq-AL"/>
        </w:rPr>
      </w:pPr>
    </w:p>
    <w:p w:rsidR="00042ABD" w:rsidRDefault="00042ABD" w:rsidP="00042ABD">
      <w:pPr>
        <w:rPr>
          <w:lang w:eastAsia="sq-AL"/>
        </w:rPr>
      </w:pPr>
    </w:p>
    <w:p w:rsidR="00042ABD" w:rsidRDefault="00042ABD" w:rsidP="00042ABD">
      <w:pPr>
        <w:rPr>
          <w:lang w:eastAsia="sq-AL"/>
        </w:rPr>
      </w:pPr>
    </w:p>
    <w:p w:rsidR="00042ABD" w:rsidRDefault="00042ABD" w:rsidP="00042ABD">
      <w:pPr>
        <w:rPr>
          <w:lang w:eastAsia="sq-AL"/>
        </w:rPr>
      </w:pPr>
    </w:p>
    <w:p w:rsidR="00042ABD" w:rsidRDefault="00042ABD" w:rsidP="00042ABD">
      <w:pPr>
        <w:rPr>
          <w:lang w:eastAsia="sq-AL"/>
        </w:rPr>
      </w:pPr>
    </w:p>
    <w:p w:rsidR="00042ABD" w:rsidRPr="00042ABD" w:rsidRDefault="00042ABD" w:rsidP="00042ABD">
      <w:pPr>
        <w:rPr>
          <w:lang w:eastAsia="sq-AL"/>
        </w:rPr>
      </w:pPr>
    </w:p>
    <w:p w:rsidR="008727EC" w:rsidRDefault="001E0569" w:rsidP="00A865A4">
      <w:pPr>
        <w:pStyle w:val="Heading2"/>
        <w:numPr>
          <w:ilvl w:val="0"/>
          <w:numId w:val="0"/>
        </w:numPr>
        <w:ind w:left="360"/>
        <w:rPr>
          <w:sz w:val="28"/>
          <w:szCs w:val="24"/>
        </w:rPr>
      </w:pPr>
      <w:bookmarkStart w:id="5" w:name="_Toc174005218"/>
      <w:r>
        <w:rPr>
          <w:b w:val="0"/>
          <w:szCs w:val="24"/>
        </w:rPr>
        <w:lastRenderedPageBreak/>
        <w:t xml:space="preserve">     </w:t>
      </w:r>
      <w:bookmarkStart w:id="6" w:name="_Toc208220119"/>
      <w:r>
        <w:t>2</w:t>
      </w:r>
      <w:r>
        <w:rPr>
          <w:sz w:val="28"/>
          <w:szCs w:val="24"/>
        </w:rPr>
        <w:t>.1.</w:t>
      </w:r>
      <w:r>
        <w:rPr>
          <w:b w:val="0"/>
          <w:sz w:val="28"/>
          <w:szCs w:val="24"/>
        </w:rPr>
        <w:t xml:space="preserve"> </w:t>
      </w:r>
      <w:r>
        <w:rPr>
          <w:sz w:val="28"/>
          <w:szCs w:val="24"/>
        </w:rPr>
        <w:t>OVERALL PROGRESS</w:t>
      </w:r>
      <w:bookmarkEnd w:id="5"/>
      <w:bookmarkEnd w:id="6"/>
    </w:p>
    <w:p w:rsidR="00222349" w:rsidRPr="00222349" w:rsidRDefault="00222349" w:rsidP="00222349">
      <w:pPr>
        <w:rPr>
          <w:lang w:eastAsia="sq-AL"/>
        </w:rPr>
      </w:pPr>
    </w:p>
    <w:p w:rsidR="00BD0CEC" w:rsidRPr="0006187F" w:rsidRDefault="001E0569" w:rsidP="008B4B61">
      <w:pPr>
        <w:jc w:val="both"/>
        <w:rPr>
          <w:rFonts w:ascii="Times New Roman" w:hAnsi="Times New Roman" w:cs="Times New Roman"/>
          <w:sz w:val="24"/>
          <w:szCs w:val="24"/>
        </w:rPr>
      </w:pPr>
      <w:r>
        <w:rPr>
          <w:rFonts w:ascii="Times New Roman" w:hAnsi="Times New Roman"/>
          <w:sz w:val="24"/>
          <w:szCs w:val="24"/>
        </w:rPr>
        <w:t>The Kosovo Energy Strategy Implementation Program (KESIP) for the period 2022-2025 env</w:t>
      </w:r>
      <w:r w:rsidR="007D73EC">
        <w:rPr>
          <w:rFonts w:ascii="Times New Roman" w:hAnsi="Times New Roman"/>
          <w:sz w:val="24"/>
          <w:szCs w:val="24"/>
        </w:rPr>
        <w:t xml:space="preserve">isaged the completion of thirty </w:t>
      </w:r>
      <w:r>
        <w:rPr>
          <w:rFonts w:ascii="Times New Roman" w:hAnsi="Times New Roman"/>
          <w:sz w:val="24"/>
          <w:szCs w:val="24"/>
        </w:rPr>
        <w:t>(30) activities in 2025, with an additional twenty-six (26) activities carried over from 2023 and 2024. Of these, eleven (11) activities were carried over from 2023 and fifteen (15) activities were carried over from 2024.  Out of the total fifty-six (56) activities scheduled for the first half of 2025, progress was made on only forty (40), while sixteen (16) activities saw no advancement.</w:t>
      </w:r>
    </w:p>
    <w:p w:rsidR="001D0266" w:rsidRPr="0006187F" w:rsidRDefault="001E0569" w:rsidP="008B4B61">
      <w:pPr>
        <w:jc w:val="both"/>
        <w:rPr>
          <w:rFonts w:ascii="Times New Roman" w:hAnsi="Times New Roman" w:cs="Times New Roman"/>
          <w:sz w:val="24"/>
          <w:szCs w:val="24"/>
        </w:rPr>
      </w:pPr>
      <w:r>
        <w:rPr>
          <w:rFonts w:ascii="Times New Roman" w:hAnsi="Times New Roman"/>
          <w:sz w:val="24"/>
          <w:szCs w:val="24"/>
        </w:rPr>
        <w:t>During the period January-June 2025, KESIP Objective 1 was achieved at thirty-nine percent (39%), Objective 2 at thirty-eight percent (38%), Objective 3 at forty-nine percent (49%), Objective 4 at twenty-one percent (21%) and Objective 5 at eighty percent (80%).</w:t>
      </w:r>
    </w:p>
    <w:p w:rsidR="008B4B61" w:rsidRPr="0006187F" w:rsidRDefault="001E0569" w:rsidP="008B4B61">
      <w:pPr>
        <w:jc w:val="both"/>
        <w:rPr>
          <w:rFonts w:ascii="Times New Roman" w:hAnsi="Times New Roman" w:cs="Times New Roman"/>
          <w:sz w:val="24"/>
          <w:szCs w:val="24"/>
        </w:rPr>
      </w:pPr>
      <w:r>
        <w:rPr>
          <w:rFonts w:ascii="Times New Roman" w:hAnsi="Times New Roman"/>
          <w:sz w:val="24"/>
          <w:szCs w:val="24"/>
        </w:rPr>
        <w:t>The progress in achieving these objectives is presented below in both tabular and graphical form:</w:t>
      </w:r>
    </w:p>
    <w:p w:rsidR="003104D8" w:rsidRPr="0006187F" w:rsidRDefault="001E0569" w:rsidP="003104D8">
      <w:pPr>
        <w:jc w:val="center"/>
        <w:rPr>
          <w:rFonts w:ascii="Times New Roman" w:hAnsi="Times New Roman" w:cs="Times New Roman"/>
          <w:sz w:val="24"/>
          <w:szCs w:val="24"/>
        </w:rPr>
      </w:pPr>
      <w:r>
        <w:rPr>
          <w:rFonts w:ascii="Times New Roman" w:hAnsi="Times New Roman"/>
          <w:b/>
          <w:bCs/>
          <w:sz w:val="24"/>
          <w:szCs w:val="24"/>
        </w:rPr>
        <w:t xml:space="preserve">Table 1. </w:t>
      </w:r>
      <w:r>
        <w:rPr>
          <w:rFonts w:ascii="Times New Roman" w:hAnsi="Times New Roman"/>
          <w:sz w:val="24"/>
          <w:szCs w:val="24"/>
        </w:rPr>
        <w:t>Percentage of objective achievement January - June 2025</w:t>
      </w:r>
    </w:p>
    <w:tbl>
      <w:tblPr>
        <w:tblW w:w="5590" w:type="dxa"/>
        <w:jc w:val="center"/>
        <w:tblLook w:val="04A0" w:firstRow="1" w:lastRow="0" w:firstColumn="1" w:lastColumn="0" w:noHBand="0" w:noVBand="1"/>
      </w:tblPr>
      <w:tblGrid>
        <w:gridCol w:w="3300"/>
        <w:gridCol w:w="2290"/>
      </w:tblGrid>
      <w:tr w:rsidR="00001E51" w:rsidTr="00A865A4">
        <w:trPr>
          <w:trHeight w:val="439"/>
          <w:jc w:val="center"/>
        </w:trPr>
        <w:tc>
          <w:tcPr>
            <w:tcW w:w="3300" w:type="dxa"/>
            <w:tcBorders>
              <w:top w:val="single" w:sz="8" w:space="0" w:color="auto"/>
              <w:left w:val="single" w:sz="8" w:space="0" w:color="auto"/>
              <w:bottom w:val="single" w:sz="4" w:space="0" w:color="auto"/>
              <w:right w:val="single" w:sz="4" w:space="0" w:color="auto"/>
            </w:tcBorders>
            <w:noWrap/>
            <w:vAlign w:val="center"/>
            <w:hideMark/>
          </w:tcPr>
          <w:p w:rsidR="00D2025C" w:rsidRPr="00D2025C" w:rsidRDefault="001E0569" w:rsidP="00D2025C">
            <w:pPr>
              <w:spacing w:after="0" w:line="240" w:lineRule="auto"/>
              <w:jc w:val="center"/>
              <w:rPr>
                <w:rFonts w:ascii="Calibri" w:eastAsia="Times New Roman" w:hAnsi="Calibri" w:cs="Calibri"/>
                <w:b/>
                <w:bCs/>
                <w:color w:val="000000"/>
              </w:rPr>
            </w:pPr>
            <w:r>
              <w:rPr>
                <w:rFonts w:ascii="Calibri" w:hAnsi="Calibri"/>
                <w:b/>
                <w:bCs/>
                <w:color w:val="000000"/>
              </w:rPr>
              <w:t> </w:t>
            </w:r>
          </w:p>
        </w:tc>
        <w:tc>
          <w:tcPr>
            <w:tcW w:w="2290" w:type="dxa"/>
            <w:tcBorders>
              <w:top w:val="single" w:sz="8" w:space="0" w:color="auto"/>
              <w:left w:val="nil"/>
              <w:bottom w:val="single" w:sz="4" w:space="0" w:color="auto"/>
              <w:right w:val="single" w:sz="8" w:space="0" w:color="auto"/>
            </w:tcBorders>
            <w:vAlign w:val="center"/>
            <w:hideMark/>
          </w:tcPr>
          <w:p w:rsidR="00D2025C" w:rsidRPr="00F27929" w:rsidRDefault="001E0569" w:rsidP="00D2025C">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sz w:val="24"/>
              </w:rPr>
              <w:t>January - June 2025</w:t>
            </w:r>
          </w:p>
        </w:tc>
      </w:tr>
      <w:tr w:rsidR="00001E51" w:rsidTr="00A865A4">
        <w:trPr>
          <w:trHeight w:val="300"/>
          <w:jc w:val="center"/>
        </w:trPr>
        <w:tc>
          <w:tcPr>
            <w:tcW w:w="3300" w:type="dxa"/>
            <w:tcBorders>
              <w:top w:val="nil"/>
              <w:left w:val="single" w:sz="8" w:space="0" w:color="auto"/>
              <w:bottom w:val="single" w:sz="4" w:space="0" w:color="auto"/>
              <w:right w:val="single" w:sz="4" w:space="0" w:color="auto"/>
            </w:tcBorders>
            <w:noWrap/>
            <w:vAlign w:val="bottom"/>
            <w:hideMark/>
          </w:tcPr>
          <w:p w:rsidR="00D2025C" w:rsidRPr="00F27929" w:rsidRDefault="001E0569" w:rsidP="00D2025C">
            <w:pPr>
              <w:spacing w:after="0" w:line="240" w:lineRule="auto"/>
              <w:rPr>
                <w:rFonts w:ascii="Times New Roman" w:eastAsia="Times New Roman" w:hAnsi="Times New Roman" w:cs="Times New Roman"/>
                <w:color w:val="000000"/>
                <w:sz w:val="24"/>
              </w:rPr>
            </w:pPr>
            <w:r>
              <w:rPr>
                <w:rFonts w:ascii="Times New Roman" w:hAnsi="Times New Roman"/>
                <w:color w:val="000000"/>
                <w:sz w:val="24"/>
              </w:rPr>
              <w:t>Objective 1</w:t>
            </w:r>
          </w:p>
        </w:tc>
        <w:tc>
          <w:tcPr>
            <w:tcW w:w="2290" w:type="dxa"/>
            <w:tcBorders>
              <w:top w:val="nil"/>
              <w:left w:val="nil"/>
              <w:bottom w:val="single" w:sz="4" w:space="0" w:color="auto"/>
              <w:right w:val="single" w:sz="8" w:space="0" w:color="auto"/>
            </w:tcBorders>
            <w:noWrap/>
            <w:vAlign w:val="center"/>
            <w:hideMark/>
          </w:tcPr>
          <w:p w:rsidR="00D2025C" w:rsidRPr="00F27929" w:rsidRDefault="001E0569" w:rsidP="00D2025C">
            <w:pPr>
              <w:spacing w:after="0" w:line="240" w:lineRule="auto"/>
              <w:jc w:val="center"/>
              <w:rPr>
                <w:rFonts w:ascii="Times New Roman" w:eastAsia="Times New Roman" w:hAnsi="Times New Roman" w:cs="Times New Roman"/>
                <w:color w:val="000000"/>
                <w:sz w:val="24"/>
              </w:rPr>
            </w:pPr>
            <w:r>
              <w:rPr>
                <w:rFonts w:ascii="Times New Roman" w:hAnsi="Times New Roman"/>
                <w:color w:val="000000"/>
                <w:sz w:val="24"/>
              </w:rPr>
              <w:t>39%</w:t>
            </w:r>
          </w:p>
        </w:tc>
      </w:tr>
      <w:tr w:rsidR="00001E51" w:rsidTr="00A865A4">
        <w:trPr>
          <w:trHeight w:val="300"/>
          <w:jc w:val="center"/>
        </w:trPr>
        <w:tc>
          <w:tcPr>
            <w:tcW w:w="3300" w:type="dxa"/>
            <w:tcBorders>
              <w:top w:val="nil"/>
              <w:left w:val="single" w:sz="8" w:space="0" w:color="auto"/>
              <w:bottom w:val="single" w:sz="4" w:space="0" w:color="auto"/>
              <w:right w:val="single" w:sz="4" w:space="0" w:color="auto"/>
            </w:tcBorders>
            <w:noWrap/>
            <w:vAlign w:val="bottom"/>
            <w:hideMark/>
          </w:tcPr>
          <w:p w:rsidR="00D2025C" w:rsidRPr="00F27929" w:rsidRDefault="001E0569" w:rsidP="00D2025C">
            <w:pPr>
              <w:spacing w:after="0" w:line="240" w:lineRule="auto"/>
              <w:rPr>
                <w:rFonts w:ascii="Times New Roman" w:eastAsia="Times New Roman" w:hAnsi="Times New Roman" w:cs="Times New Roman"/>
                <w:color w:val="000000"/>
                <w:sz w:val="24"/>
              </w:rPr>
            </w:pPr>
            <w:r>
              <w:rPr>
                <w:rFonts w:ascii="Times New Roman" w:hAnsi="Times New Roman"/>
                <w:color w:val="000000"/>
                <w:sz w:val="24"/>
              </w:rPr>
              <w:t>Objective 2</w:t>
            </w:r>
          </w:p>
        </w:tc>
        <w:tc>
          <w:tcPr>
            <w:tcW w:w="2290" w:type="dxa"/>
            <w:tcBorders>
              <w:top w:val="nil"/>
              <w:left w:val="nil"/>
              <w:bottom w:val="single" w:sz="4" w:space="0" w:color="auto"/>
              <w:right w:val="single" w:sz="8" w:space="0" w:color="auto"/>
            </w:tcBorders>
            <w:noWrap/>
            <w:vAlign w:val="center"/>
            <w:hideMark/>
          </w:tcPr>
          <w:p w:rsidR="00D2025C" w:rsidRPr="00F27929" w:rsidRDefault="001E0569" w:rsidP="00D2025C">
            <w:pPr>
              <w:spacing w:after="0" w:line="240" w:lineRule="auto"/>
              <w:jc w:val="center"/>
              <w:rPr>
                <w:rFonts w:ascii="Times New Roman" w:eastAsia="Times New Roman" w:hAnsi="Times New Roman" w:cs="Times New Roman"/>
                <w:color w:val="000000"/>
                <w:sz w:val="24"/>
              </w:rPr>
            </w:pPr>
            <w:r>
              <w:rPr>
                <w:rFonts w:ascii="Times New Roman" w:hAnsi="Times New Roman"/>
                <w:color w:val="000000"/>
                <w:sz w:val="24"/>
              </w:rPr>
              <w:t>38%</w:t>
            </w:r>
          </w:p>
        </w:tc>
      </w:tr>
      <w:tr w:rsidR="00001E51" w:rsidTr="00A865A4">
        <w:trPr>
          <w:trHeight w:val="300"/>
          <w:jc w:val="center"/>
        </w:trPr>
        <w:tc>
          <w:tcPr>
            <w:tcW w:w="3300" w:type="dxa"/>
            <w:tcBorders>
              <w:top w:val="nil"/>
              <w:left w:val="single" w:sz="8" w:space="0" w:color="auto"/>
              <w:bottom w:val="single" w:sz="4" w:space="0" w:color="auto"/>
              <w:right w:val="single" w:sz="4" w:space="0" w:color="auto"/>
            </w:tcBorders>
            <w:noWrap/>
            <w:vAlign w:val="bottom"/>
            <w:hideMark/>
          </w:tcPr>
          <w:p w:rsidR="00D2025C" w:rsidRPr="00F27929" w:rsidRDefault="001E0569" w:rsidP="00D2025C">
            <w:pPr>
              <w:spacing w:after="0" w:line="240" w:lineRule="auto"/>
              <w:rPr>
                <w:rFonts w:ascii="Times New Roman" w:eastAsia="Times New Roman" w:hAnsi="Times New Roman" w:cs="Times New Roman"/>
                <w:color w:val="000000"/>
                <w:sz w:val="24"/>
              </w:rPr>
            </w:pPr>
            <w:r>
              <w:rPr>
                <w:rFonts w:ascii="Times New Roman" w:hAnsi="Times New Roman"/>
                <w:color w:val="000000"/>
                <w:sz w:val="24"/>
              </w:rPr>
              <w:t>Objective 3</w:t>
            </w:r>
          </w:p>
        </w:tc>
        <w:tc>
          <w:tcPr>
            <w:tcW w:w="2290" w:type="dxa"/>
            <w:tcBorders>
              <w:top w:val="nil"/>
              <w:left w:val="nil"/>
              <w:bottom w:val="single" w:sz="4" w:space="0" w:color="auto"/>
              <w:right w:val="single" w:sz="8" w:space="0" w:color="auto"/>
            </w:tcBorders>
            <w:noWrap/>
            <w:vAlign w:val="center"/>
            <w:hideMark/>
          </w:tcPr>
          <w:p w:rsidR="00D2025C" w:rsidRPr="00F27929" w:rsidRDefault="001E0569" w:rsidP="00D2025C">
            <w:pPr>
              <w:spacing w:after="0" w:line="240" w:lineRule="auto"/>
              <w:jc w:val="center"/>
              <w:rPr>
                <w:rFonts w:ascii="Times New Roman" w:eastAsia="Times New Roman" w:hAnsi="Times New Roman" w:cs="Times New Roman"/>
                <w:color w:val="000000"/>
                <w:sz w:val="24"/>
              </w:rPr>
            </w:pPr>
            <w:r>
              <w:rPr>
                <w:rFonts w:ascii="Times New Roman" w:hAnsi="Times New Roman"/>
                <w:color w:val="000000"/>
                <w:sz w:val="24"/>
              </w:rPr>
              <w:t>49%</w:t>
            </w:r>
          </w:p>
        </w:tc>
      </w:tr>
      <w:tr w:rsidR="00001E51" w:rsidTr="00A865A4">
        <w:trPr>
          <w:trHeight w:val="300"/>
          <w:jc w:val="center"/>
        </w:trPr>
        <w:tc>
          <w:tcPr>
            <w:tcW w:w="3300" w:type="dxa"/>
            <w:tcBorders>
              <w:top w:val="nil"/>
              <w:left w:val="single" w:sz="8" w:space="0" w:color="auto"/>
              <w:bottom w:val="single" w:sz="4" w:space="0" w:color="auto"/>
              <w:right w:val="single" w:sz="4" w:space="0" w:color="auto"/>
            </w:tcBorders>
            <w:noWrap/>
            <w:vAlign w:val="bottom"/>
            <w:hideMark/>
          </w:tcPr>
          <w:p w:rsidR="00D2025C" w:rsidRPr="00F27929" w:rsidRDefault="001E0569" w:rsidP="00D2025C">
            <w:pPr>
              <w:spacing w:after="0" w:line="240" w:lineRule="auto"/>
              <w:rPr>
                <w:rFonts w:ascii="Times New Roman" w:eastAsia="Times New Roman" w:hAnsi="Times New Roman" w:cs="Times New Roman"/>
                <w:color w:val="000000"/>
                <w:sz w:val="24"/>
              </w:rPr>
            </w:pPr>
            <w:r>
              <w:rPr>
                <w:rFonts w:ascii="Times New Roman" w:hAnsi="Times New Roman"/>
                <w:color w:val="000000"/>
                <w:sz w:val="24"/>
              </w:rPr>
              <w:t>Objective 4</w:t>
            </w:r>
          </w:p>
        </w:tc>
        <w:tc>
          <w:tcPr>
            <w:tcW w:w="2290" w:type="dxa"/>
            <w:tcBorders>
              <w:top w:val="nil"/>
              <w:left w:val="nil"/>
              <w:bottom w:val="single" w:sz="4" w:space="0" w:color="auto"/>
              <w:right w:val="single" w:sz="8" w:space="0" w:color="auto"/>
            </w:tcBorders>
            <w:noWrap/>
            <w:vAlign w:val="center"/>
            <w:hideMark/>
          </w:tcPr>
          <w:p w:rsidR="00D2025C" w:rsidRPr="00F27929" w:rsidRDefault="001E0569" w:rsidP="00D2025C">
            <w:pPr>
              <w:spacing w:after="0" w:line="240" w:lineRule="auto"/>
              <w:jc w:val="center"/>
              <w:rPr>
                <w:rFonts w:ascii="Times New Roman" w:eastAsia="Times New Roman" w:hAnsi="Times New Roman" w:cs="Times New Roman"/>
                <w:color w:val="000000"/>
                <w:sz w:val="24"/>
              </w:rPr>
            </w:pPr>
            <w:r>
              <w:rPr>
                <w:rFonts w:ascii="Times New Roman" w:hAnsi="Times New Roman"/>
                <w:color w:val="000000"/>
                <w:sz w:val="24"/>
              </w:rPr>
              <w:t>21%</w:t>
            </w:r>
          </w:p>
        </w:tc>
      </w:tr>
      <w:tr w:rsidR="00001E51" w:rsidTr="00A865A4">
        <w:trPr>
          <w:trHeight w:val="300"/>
          <w:jc w:val="center"/>
        </w:trPr>
        <w:tc>
          <w:tcPr>
            <w:tcW w:w="3300" w:type="dxa"/>
            <w:tcBorders>
              <w:top w:val="nil"/>
              <w:left w:val="single" w:sz="8" w:space="0" w:color="auto"/>
              <w:bottom w:val="single" w:sz="4" w:space="0" w:color="auto"/>
              <w:right w:val="single" w:sz="4" w:space="0" w:color="auto"/>
            </w:tcBorders>
            <w:noWrap/>
            <w:vAlign w:val="bottom"/>
            <w:hideMark/>
          </w:tcPr>
          <w:p w:rsidR="00D2025C" w:rsidRPr="00F27929" w:rsidRDefault="001E0569" w:rsidP="00D2025C">
            <w:pPr>
              <w:spacing w:after="0" w:line="240" w:lineRule="auto"/>
              <w:rPr>
                <w:rFonts w:ascii="Times New Roman" w:eastAsia="Times New Roman" w:hAnsi="Times New Roman" w:cs="Times New Roman"/>
                <w:color w:val="000000"/>
                <w:sz w:val="24"/>
              </w:rPr>
            </w:pPr>
            <w:r>
              <w:rPr>
                <w:rFonts w:ascii="Times New Roman" w:hAnsi="Times New Roman"/>
                <w:color w:val="000000"/>
                <w:sz w:val="24"/>
              </w:rPr>
              <w:t>Objective 5</w:t>
            </w:r>
          </w:p>
        </w:tc>
        <w:tc>
          <w:tcPr>
            <w:tcW w:w="2290" w:type="dxa"/>
            <w:tcBorders>
              <w:top w:val="nil"/>
              <w:left w:val="nil"/>
              <w:bottom w:val="single" w:sz="4" w:space="0" w:color="auto"/>
              <w:right w:val="single" w:sz="8" w:space="0" w:color="auto"/>
            </w:tcBorders>
            <w:noWrap/>
            <w:vAlign w:val="center"/>
            <w:hideMark/>
          </w:tcPr>
          <w:p w:rsidR="00D2025C" w:rsidRPr="00F27929" w:rsidRDefault="001E0569" w:rsidP="00D2025C">
            <w:pPr>
              <w:spacing w:after="0" w:line="240" w:lineRule="auto"/>
              <w:jc w:val="center"/>
              <w:rPr>
                <w:rFonts w:ascii="Times New Roman" w:eastAsia="Times New Roman" w:hAnsi="Times New Roman" w:cs="Times New Roman"/>
                <w:color w:val="000000"/>
                <w:sz w:val="24"/>
              </w:rPr>
            </w:pPr>
            <w:r>
              <w:rPr>
                <w:rFonts w:ascii="Times New Roman" w:hAnsi="Times New Roman"/>
                <w:color w:val="000000"/>
                <w:sz w:val="24"/>
              </w:rPr>
              <w:t>80%</w:t>
            </w:r>
          </w:p>
        </w:tc>
      </w:tr>
      <w:tr w:rsidR="00001E51" w:rsidTr="00A865A4">
        <w:trPr>
          <w:trHeight w:val="404"/>
          <w:jc w:val="center"/>
        </w:trPr>
        <w:tc>
          <w:tcPr>
            <w:tcW w:w="3300" w:type="dxa"/>
            <w:tcBorders>
              <w:top w:val="nil"/>
              <w:left w:val="single" w:sz="8" w:space="0" w:color="auto"/>
              <w:bottom w:val="single" w:sz="8" w:space="0" w:color="auto"/>
              <w:right w:val="single" w:sz="4" w:space="0" w:color="auto"/>
            </w:tcBorders>
            <w:vAlign w:val="bottom"/>
            <w:hideMark/>
          </w:tcPr>
          <w:p w:rsidR="00D2025C" w:rsidRPr="00F27929" w:rsidRDefault="001E0569" w:rsidP="00D2025C">
            <w:pPr>
              <w:spacing w:after="0" w:line="240" w:lineRule="auto"/>
              <w:rPr>
                <w:rFonts w:ascii="Times New Roman" w:eastAsia="Times New Roman" w:hAnsi="Times New Roman" w:cs="Times New Roman"/>
                <w:b/>
                <w:bCs/>
                <w:color w:val="000000"/>
                <w:sz w:val="24"/>
              </w:rPr>
            </w:pPr>
            <w:r>
              <w:rPr>
                <w:rFonts w:ascii="Times New Roman" w:hAnsi="Times New Roman"/>
                <w:b/>
                <w:bCs/>
                <w:color w:val="000000"/>
                <w:sz w:val="24"/>
              </w:rPr>
              <w:t xml:space="preserve">Total implementation of objectives  </w:t>
            </w:r>
          </w:p>
        </w:tc>
        <w:tc>
          <w:tcPr>
            <w:tcW w:w="2290" w:type="dxa"/>
            <w:tcBorders>
              <w:top w:val="nil"/>
              <w:left w:val="nil"/>
              <w:bottom w:val="single" w:sz="8" w:space="0" w:color="auto"/>
              <w:right w:val="single" w:sz="8" w:space="0" w:color="auto"/>
            </w:tcBorders>
            <w:noWrap/>
            <w:vAlign w:val="center"/>
            <w:hideMark/>
          </w:tcPr>
          <w:p w:rsidR="00D2025C" w:rsidRPr="00F27929" w:rsidRDefault="001E0569" w:rsidP="00D2025C">
            <w:pPr>
              <w:spacing w:after="0" w:line="240" w:lineRule="auto"/>
              <w:jc w:val="center"/>
              <w:rPr>
                <w:rFonts w:ascii="Times New Roman" w:eastAsia="Times New Roman" w:hAnsi="Times New Roman" w:cs="Times New Roman"/>
                <w:b/>
                <w:bCs/>
                <w:color w:val="000000"/>
                <w:sz w:val="24"/>
              </w:rPr>
            </w:pPr>
            <w:r>
              <w:rPr>
                <w:rFonts w:ascii="Times New Roman" w:hAnsi="Times New Roman"/>
                <w:b/>
                <w:bCs/>
                <w:color w:val="000000"/>
                <w:sz w:val="24"/>
              </w:rPr>
              <w:t>45%</w:t>
            </w:r>
          </w:p>
        </w:tc>
      </w:tr>
    </w:tbl>
    <w:p w:rsidR="00222349" w:rsidRDefault="00222349" w:rsidP="00F13E8D">
      <w:pPr>
        <w:rPr>
          <w:rFonts w:ascii="Times New Roman" w:hAnsi="Times New Roman" w:cs="Times New Roman"/>
          <w:sz w:val="24"/>
          <w:szCs w:val="24"/>
          <w:lang w:eastAsia="sq-AL"/>
        </w:rPr>
      </w:pPr>
    </w:p>
    <w:p w:rsidR="00225C96" w:rsidRPr="0006187F" w:rsidRDefault="001E0569" w:rsidP="00041597">
      <w:pPr>
        <w:rPr>
          <w:rFonts w:ascii="Times New Roman" w:hAnsi="Times New Roman" w:cs="Times New Roman"/>
          <w:sz w:val="24"/>
        </w:rPr>
      </w:pPr>
      <w:r>
        <w:rPr>
          <w:rFonts w:ascii="Times New Roman" w:hAnsi="Times New Roman"/>
          <w:b/>
          <w:bCs/>
          <w:sz w:val="24"/>
        </w:rPr>
        <w:t xml:space="preserve">                            Figure 1.</w:t>
      </w:r>
      <w:r>
        <w:rPr>
          <w:rFonts w:ascii="Times New Roman" w:hAnsi="Times New Roman"/>
          <w:sz w:val="24"/>
        </w:rPr>
        <w:t xml:space="preserve"> Percentage of objective achievement January - June 2025</w:t>
      </w:r>
    </w:p>
    <w:p w:rsidR="00225C96" w:rsidRDefault="001E0569" w:rsidP="001B192A">
      <w:pPr>
        <w:jc w:val="center"/>
        <w:rPr>
          <w:rFonts w:ascii="Times New Roman" w:hAnsi="Times New Roman" w:cs="Times New Roman"/>
          <w:sz w:val="24"/>
          <w:szCs w:val="24"/>
        </w:rPr>
      </w:pPr>
      <w:r>
        <w:rPr>
          <w:noProof/>
        </w:rPr>
        <w:drawing>
          <wp:inline distT="0" distB="0" distL="0" distR="0">
            <wp:extent cx="4479290" cy="2383604"/>
            <wp:effectExtent l="0" t="0" r="1651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5E89" w:rsidRPr="0006187F" w:rsidRDefault="001E0569" w:rsidP="00BA5E89">
      <w:pPr>
        <w:jc w:val="both"/>
        <w:rPr>
          <w:rFonts w:ascii="Times New Roman" w:hAnsi="Times New Roman" w:cs="Times New Roman"/>
          <w:sz w:val="24"/>
          <w:szCs w:val="24"/>
        </w:rPr>
      </w:pPr>
      <w:r>
        <w:rPr>
          <w:rFonts w:ascii="Times New Roman" w:hAnsi="Times New Roman"/>
          <w:sz w:val="24"/>
          <w:szCs w:val="24"/>
        </w:rPr>
        <w:lastRenderedPageBreak/>
        <w:t>The total achievement of objectives for the period January-June 2025 stands at forty-five percent (45%).</w:t>
      </w:r>
    </w:p>
    <w:p w:rsidR="001D0266" w:rsidRPr="0006187F" w:rsidRDefault="001E0569" w:rsidP="003104D8">
      <w:pPr>
        <w:jc w:val="both"/>
        <w:rPr>
          <w:rFonts w:ascii="Times New Roman" w:hAnsi="Times New Roman" w:cs="Times New Roman"/>
          <w:sz w:val="24"/>
          <w:szCs w:val="24"/>
        </w:rPr>
      </w:pPr>
      <w:r>
        <w:rPr>
          <w:rFonts w:ascii="Times New Roman" w:hAnsi="Times New Roman"/>
          <w:sz w:val="24"/>
          <w:szCs w:val="24"/>
        </w:rPr>
        <w:t>For the period January-June 2025, only three (3) activities or five point thirty-six percent (5.36%), were fully implemented; a total of thirty-seven (37) activities or sixty-six point zero seven percent (66.07%) were partially implemented; while activities that were not implemented numbered sixteen (16) or twenty-eight point fifty-seven percent (28.57%).</w:t>
      </w:r>
    </w:p>
    <w:p w:rsidR="00C96F6A" w:rsidRPr="0006187F" w:rsidRDefault="001E0569" w:rsidP="00F13E8D">
      <w:pPr>
        <w:rPr>
          <w:rFonts w:ascii="Times New Roman" w:hAnsi="Times New Roman" w:cs="Times New Roman"/>
          <w:sz w:val="24"/>
          <w:szCs w:val="24"/>
        </w:rPr>
      </w:pPr>
      <w:r>
        <w:rPr>
          <w:rFonts w:ascii="Times New Roman" w:hAnsi="Times New Roman"/>
          <w:sz w:val="24"/>
          <w:szCs w:val="24"/>
        </w:rPr>
        <w:t>The above data are also presented in graphical form below:</w:t>
      </w:r>
    </w:p>
    <w:p w:rsidR="00C96F6A" w:rsidRPr="0006187F" w:rsidRDefault="001E0569" w:rsidP="00590AD4">
      <w:pPr>
        <w:jc w:val="center"/>
        <w:rPr>
          <w:rFonts w:ascii="Times New Roman" w:hAnsi="Times New Roman" w:cs="Times New Roman"/>
          <w:sz w:val="24"/>
          <w:szCs w:val="24"/>
        </w:rPr>
      </w:pPr>
      <w:r>
        <w:rPr>
          <w:rFonts w:ascii="Times New Roman" w:hAnsi="Times New Roman"/>
          <w:b/>
          <w:bCs/>
          <w:sz w:val="24"/>
          <w:szCs w:val="24"/>
        </w:rPr>
        <w:t>Figure 2.</w:t>
      </w:r>
      <w:r>
        <w:rPr>
          <w:rFonts w:ascii="Times New Roman" w:hAnsi="Times New Roman"/>
          <w:sz w:val="24"/>
          <w:szCs w:val="24"/>
        </w:rPr>
        <w:t xml:space="preserve"> Percentage of implementation of activities for the period January - June 2025</w:t>
      </w:r>
    </w:p>
    <w:p w:rsidR="00A865A4" w:rsidRPr="00D114EE" w:rsidRDefault="001E0569" w:rsidP="00590AD4">
      <w:pPr>
        <w:jc w:val="center"/>
        <w:rPr>
          <w:rFonts w:ascii="Times New Roman" w:hAnsi="Times New Roman" w:cs="Times New Roman"/>
        </w:rPr>
      </w:pPr>
      <w:r>
        <w:rPr>
          <w:noProof/>
        </w:rPr>
        <w:drawing>
          <wp:inline distT="0" distB="0" distL="0" distR="0">
            <wp:extent cx="4448710" cy="2465798"/>
            <wp:effectExtent l="0" t="0" r="952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7B47" w:rsidRDefault="00B47B47" w:rsidP="00E81C1A">
      <w:pPr>
        <w:jc w:val="both"/>
        <w:rPr>
          <w:rFonts w:ascii="Times New Roman" w:hAnsi="Times New Roman" w:cs="Times New Roman"/>
          <w:b/>
          <w:sz w:val="24"/>
          <w:szCs w:val="24"/>
          <w:u w:val="single"/>
        </w:rPr>
      </w:pPr>
    </w:p>
    <w:p w:rsidR="00173E64" w:rsidRDefault="001E0569" w:rsidP="00E81C1A">
      <w:pPr>
        <w:jc w:val="both"/>
        <w:rPr>
          <w:rFonts w:ascii="Times New Roman" w:hAnsi="Times New Roman" w:cs="Times New Roman"/>
          <w:color w:val="FF0000"/>
          <w:sz w:val="24"/>
          <w:szCs w:val="24"/>
        </w:rPr>
      </w:pPr>
      <w:r>
        <w:rPr>
          <w:rFonts w:ascii="Times New Roman" w:hAnsi="Times New Roman"/>
          <w:sz w:val="24"/>
          <w:szCs w:val="24"/>
        </w:rPr>
        <w:t>The objective with the highest level of implementation for the period January-June 2025 is Objective Five (5), namely the protection and empowerment of consumers, while the objective with the lowest level of implementation during this period is Objective Four (4), namely strengthening regional cooperation and market functioning.</w:t>
      </w:r>
      <w:r>
        <w:rPr>
          <w:rFonts w:ascii="Times New Roman" w:hAnsi="Times New Roman"/>
          <w:color w:val="FF0000"/>
          <w:sz w:val="24"/>
          <w:szCs w:val="24"/>
        </w:rPr>
        <w:t xml:space="preserve"> </w:t>
      </w:r>
    </w:p>
    <w:p w:rsidR="001B192A" w:rsidRPr="00173E64" w:rsidRDefault="001B192A" w:rsidP="00E81C1A">
      <w:pPr>
        <w:jc w:val="both"/>
        <w:rPr>
          <w:rFonts w:ascii="Times New Roman" w:hAnsi="Times New Roman" w:cs="Times New Roman"/>
          <w:sz w:val="24"/>
          <w:szCs w:val="24"/>
        </w:rPr>
      </w:pPr>
    </w:p>
    <w:p w:rsidR="00F13E8D" w:rsidRDefault="001E0569" w:rsidP="001B19AE">
      <w:pPr>
        <w:pStyle w:val="Heading2"/>
        <w:numPr>
          <w:ilvl w:val="0"/>
          <w:numId w:val="0"/>
        </w:numPr>
        <w:ind w:left="576"/>
        <w:rPr>
          <w:sz w:val="28"/>
        </w:rPr>
      </w:pPr>
      <w:bookmarkStart w:id="7" w:name="_Toc208220120"/>
      <w:r>
        <w:t>2</w:t>
      </w:r>
      <w:r>
        <w:rPr>
          <w:sz w:val="28"/>
        </w:rPr>
        <w:t>.2. PROBLEMS AND RISKS</w:t>
      </w:r>
      <w:bookmarkEnd w:id="7"/>
    </w:p>
    <w:p w:rsidR="00486DC1" w:rsidRPr="00486DC1" w:rsidRDefault="00486DC1" w:rsidP="00486DC1">
      <w:pPr>
        <w:rPr>
          <w:lang w:eastAsia="sq-AL"/>
        </w:rPr>
      </w:pPr>
    </w:p>
    <w:p w:rsidR="00586724" w:rsidRPr="00586724" w:rsidRDefault="001E0569" w:rsidP="00586724">
      <w:pPr>
        <w:jc w:val="both"/>
        <w:rPr>
          <w:rFonts w:ascii="Times New Roman" w:hAnsi="Times New Roman" w:cs="Times New Roman"/>
          <w:sz w:val="24"/>
        </w:rPr>
      </w:pPr>
      <w:r>
        <w:rPr>
          <w:rFonts w:ascii="Times New Roman" w:hAnsi="Times New Roman"/>
          <w:sz w:val="24"/>
        </w:rPr>
        <w:t>This monitoring has been conducted in cooperation with the responsible institutions, where risks have been identified that will be addressed in the coming years through concrete measures. The Ministry of Economy (ME) will maintain cooperation and coordination with the relevant institutions and the key enterprises in the energy sector to address all persistent risks.</w:t>
      </w:r>
    </w:p>
    <w:p w:rsidR="004A7C51" w:rsidRPr="001236CD" w:rsidRDefault="001E0569" w:rsidP="00586724">
      <w:pPr>
        <w:jc w:val="both"/>
        <w:rPr>
          <w:rFonts w:ascii="Times New Roman" w:hAnsi="Times New Roman" w:cs="Times New Roman"/>
          <w:sz w:val="24"/>
          <w:szCs w:val="24"/>
        </w:rPr>
      </w:pPr>
      <w:r>
        <w:rPr>
          <w:rFonts w:ascii="Times New Roman" w:hAnsi="Times New Roman"/>
          <w:sz w:val="24"/>
          <w:szCs w:val="24"/>
        </w:rPr>
        <w:t xml:space="preserve">During the monitoring of the implementation of the Kosovo Energy Strategy Implementation Program (KESIP) for the period January-June 2025, several risks were encountered related to institutional capacity, financial capacity, regulatory environment, partnership and engagement of </w:t>
      </w:r>
      <w:r>
        <w:rPr>
          <w:rFonts w:ascii="Times New Roman" w:hAnsi="Times New Roman"/>
          <w:sz w:val="24"/>
          <w:szCs w:val="24"/>
        </w:rPr>
        <w:lastRenderedPageBreak/>
        <w:t>other institutions, as well as other external factors that emerged during the implementation of activities, and that affect the implementation of the strategic document.</w:t>
      </w:r>
    </w:p>
    <w:p w:rsidR="004A7C51" w:rsidRPr="001236CD" w:rsidRDefault="001E0569" w:rsidP="00586724">
      <w:pPr>
        <w:jc w:val="both"/>
        <w:rPr>
          <w:rFonts w:ascii="Times New Roman" w:hAnsi="Times New Roman" w:cs="Times New Roman"/>
          <w:sz w:val="24"/>
          <w:szCs w:val="24"/>
        </w:rPr>
      </w:pPr>
      <w:r>
        <w:rPr>
          <w:rFonts w:ascii="Times New Roman" w:hAnsi="Times New Roman"/>
          <w:sz w:val="24"/>
          <w:szCs w:val="24"/>
        </w:rPr>
        <w:t>The identification of delays in the implementation of certain planned projects directs us to take necessary and concrete steps to eliminate barriers that hinder the development of the energy sector. The planning of projects and activities by the responsible electricity institutions is highly important for the success and development of the energy sector. Facilitating multiple procedures also plays an important role in preventing delays and stagnation of projects.</w:t>
      </w:r>
    </w:p>
    <w:p w:rsidR="004A7C51" w:rsidRPr="00DE3CAD" w:rsidRDefault="004A7C51" w:rsidP="004A7C51">
      <w:pPr>
        <w:jc w:val="both"/>
        <w:rPr>
          <w:rFonts w:ascii="Times New Roman" w:hAnsi="Times New Roman" w:cs="Times New Roman"/>
          <w:sz w:val="28"/>
          <w:szCs w:val="24"/>
        </w:rPr>
      </w:pPr>
    </w:p>
    <w:p w:rsidR="004A7C51" w:rsidRDefault="001E0569" w:rsidP="001B19AE">
      <w:pPr>
        <w:pStyle w:val="Heading2"/>
        <w:numPr>
          <w:ilvl w:val="0"/>
          <w:numId w:val="0"/>
        </w:numPr>
        <w:ind w:left="576" w:hanging="576"/>
        <w:rPr>
          <w:sz w:val="28"/>
        </w:rPr>
      </w:pPr>
      <w:r>
        <w:rPr>
          <w:sz w:val="28"/>
        </w:rPr>
        <w:t xml:space="preserve">          </w:t>
      </w:r>
      <w:bookmarkStart w:id="8" w:name="_Toc208220121"/>
      <w:r>
        <w:rPr>
          <w:sz w:val="28"/>
        </w:rPr>
        <w:t>2.3. CHALLENGES AND SHORTCOMINGS</w:t>
      </w:r>
      <w:bookmarkEnd w:id="8"/>
      <w:r>
        <w:rPr>
          <w:sz w:val="28"/>
        </w:rPr>
        <w:t xml:space="preserve"> </w:t>
      </w:r>
    </w:p>
    <w:p w:rsidR="00486DC1" w:rsidRPr="00486DC1" w:rsidRDefault="00486DC1" w:rsidP="00486DC1">
      <w:pPr>
        <w:rPr>
          <w:lang w:eastAsia="sq-AL"/>
        </w:rPr>
      </w:pPr>
    </w:p>
    <w:p w:rsidR="004A7C51" w:rsidRDefault="001E0569" w:rsidP="004A7C51">
      <w:pPr>
        <w:jc w:val="both"/>
        <w:rPr>
          <w:rFonts w:ascii="Times New Roman" w:hAnsi="Times New Roman" w:cs="Times New Roman"/>
          <w:sz w:val="24"/>
          <w:szCs w:val="24"/>
        </w:rPr>
      </w:pPr>
      <w:r>
        <w:rPr>
          <w:rFonts w:ascii="Times New Roman" w:hAnsi="Times New Roman"/>
          <w:sz w:val="24"/>
          <w:szCs w:val="24"/>
        </w:rPr>
        <w:t xml:space="preserve">The challenges, shortcomings and obstacles encountered during the monitoring of this document are the same as those presented in the implementation monitoring for the period 2023-2024. </w:t>
      </w:r>
    </w:p>
    <w:p w:rsidR="00AD7779" w:rsidRDefault="001E0569" w:rsidP="00AD7779">
      <w:pPr>
        <w:jc w:val="both"/>
        <w:rPr>
          <w:rFonts w:ascii="Times New Roman" w:hAnsi="Times New Roman" w:cs="Times New Roman"/>
          <w:sz w:val="24"/>
          <w:szCs w:val="24"/>
        </w:rPr>
      </w:pPr>
      <w:r>
        <w:rPr>
          <w:rFonts w:ascii="Times New Roman" w:hAnsi="Times New Roman"/>
          <w:sz w:val="24"/>
        </w:rPr>
        <w:t>During the implementation of the planned projects and activities, the responsible institutions face challenges, shortcomings and obstacles depending on the nature of the projects.</w:t>
      </w:r>
      <w:r>
        <w:rPr>
          <w:rFonts w:ascii="Times New Roman" w:hAnsi="Times New Roman"/>
          <w:sz w:val="24"/>
          <w:szCs w:val="24"/>
        </w:rPr>
        <w:t xml:space="preserve"> </w:t>
      </w:r>
      <w:r>
        <w:rPr>
          <w:rFonts w:ascii="Times New Roman" w:hAnsi="Times New Roman"/>
          <w:sz w:val="24"/>
        </w:rPr>
        <w:t>The challenges identified include delays in obtaining construction permits from the relevant institutions, delays in procurement processes, implementation of projects close to locations designated for development, failure to use intelligent devices equipped with cyber protection within the existing distribution network infrastructure, limited access to consumers’ premises, lack of experts, as well as other local and international processes that have potentially contributed to delays in the implementation of activities.</w:t>
      </w:r>
    </w:p>
    <w:p w:rsidR="004A7C51" w:rsidRPr="00DE3CAD" w:rsidRDefault="004A7C51" w:rsidP="004A7C51">
      <w:pPr>
        <w:jc w:val="both"/>
        <w:rPr>
          <w:rFonts w:ascii="Times New Roman" w:hAnsi="Times New Roman" w:cs="Times New Roman"/>
          <w:sz w:val="28"/>
          <w:szCs w:val="24"/>
        </w:rPr>
      </w:pPr>
    </w:p>
    <w:p w:rsidR="00EF48F9" w:rsidRDefault="001E0569" w:rsidP="001B19AE">
      <w:pPr>
        <w:pStyle w:val="Heading2"/>
        <w:numPr>
          <w:ilvl w:val="1"/>
          <w:numId w:val="15"/>
        </w:numPr>
        <w:rPr>
          <w:sz w:val="28"/>
        </w:rPr>
      </w:pPr>
      <w:bookmarkStart w:id="9" w:name="_Toc208220122"/>
      <w:r>
        <w:rPr>
          <w:sz w:val="28"/>
        </w:rPr>
        <w:t>CONCLUSIONS AND RECOMMENDATIONS FOR NEXT</w:t>
      </w:r>
      <w:bookmarkEnd w:id="9"/>
      <w:r>
        <w:rPr>
          <w:sz w:val="28"/>
        </w:rPr>
        <w:t xml:space="preserve"> </w:t>
      </w:r>
    </w:p>
    <w:p w:rsidR="004A7C51" w:rsidRDefault="001E0569" w:rsidP="00EF48F9">
      <w:pPr>
        <w:pStyle w:val="Heading2"/>
        <w:numPr>
          <w:ilvl w:val="0"/>
          <w:numId w:val="0"/>
        </w:numPr>
        <w:ind w:left="936"/>
        <w:rPr>
          <w:sz w:val="28"/>
        </w:rPr>
      </w:pPr>
      <w:r>
        <w:rPr>
          <w:sz w:val="28"/>
        </w:rPr>
        <w:t xml:space="preserve">       </w:t>
      </w:r>
      <w:bookmarkStart w:id="10" w:name="_Toc208220123"/>
      <w:r>
        <w:rPr>
          <w:sz w:val="28"/>
        </w:rPr>
        <w:t>STEPS</w:t>
      </w:r>
      <w:bookmarkEnd w:id="10"/>
    </w:p>
    <w:p w:rsidR="00486DC1" w:rsidRPr="00486DC1" w:rsidRDefault="00486DC1" w:rsidP="00486DC1">
      <w:pPr>
        <w:rPr>
          <w:lang w:eastAsia="sq-AL"/>
        </w:rPr>
      </w:pPr>
    </w:p>
    <w:p w:rsidR="00815D19" w:rsidRPr="00815D19" w:rsidRDefault="001E0569" w:rsidP="00815D19">
      <w:pPr>
        <w:jc w:val="both"/>
        <w:rPr>
          <w:rFonts w:ascii="Times New Roman" w:hAnsi="Times New Roman" w:cs="Times New Roman"/>
          <w:sz w:val="24"/>
          <w:szCs w:val="24"/>
        </w:rPr>
      </w:pPr>
      <w:r>
        <w:rPr>
          <w:rFonts w:ascii="Times New Roman" w:hAnsi="Times New Roman"/>
          <w:sz w:val="24"/>
          <w:szCs w:val="24"/>
        </w:rPr>
        <w:t>During the monitoring of the Progress Report for the period January-June 2025, it was observed that the implementation of activities reached forty-five percent (45%).</w:t>
      </w:r>
    </w:p>
    <w:p w:rsidR="00815D19" w:rsidRPr="00815D19" w:rsidRDefault="001E0569" w:rsidP="00815D19">
      <w:pPr>
        <w:jc w:val="both"/>
        <w:rPr>
          <w:rFonts w:ascii="Times New Roman" w:hAnsi="Times New Roman" w:cs="Times New Roman"/>
          <w:sz w:val="24"/>
          <w:szCs w:val="24"/>
        </w:rPr>
      </w:pPr>
      <w:r>
        <w:rPr>
          <w:rFonts w:ascii="Times New Roman" w:hAnsi="Times New Roman"/>
          <w:sz w:val="24"/>
          <w:szCs w:val="24"/>
        </w:rPr>
        <w:t>Some of the factors that have contributed to the slow implementation include non-ratification of financial agreements by the Assembly of the Republic of Kosovo (ARK), inadequate planning of timeframes for activity implementation, and the dependency of some activities on strategic documents and programs that needed to be approved and come into effect in advance.</w:t>
      </w:r>
    </w:p>
    <w:p w:rsidR="008D0C63" w:rsidRDefault="001E0569" w:rsidP="00815D19">
      <w:pPr>
        <w:jc w:val="both"/>
        <w:rPr>
          <w:rFonts w:ascii="Times New Roman" w:hAnsi="Times New Roman" w:cs="Times New Roman"/>
          <w:sz w:val="24"/>
          <w:szCs w:val="24"/>
        </w:rPr>
      </w:pPr>
      <w:r>
        <w:rPr>
          <w:rFonts w:ascii="Times New Roman" w:hAnsi="Times New Roman"/>
          <w:sz w:val="24"/>
          <w:szCs w:val="24"/>
        </w:rPr>
        <w:t>In addition, obstructive factors identified include multiple procedures for obtaining various permits and procurement processes. Furthermore, a lack of specialized workforce has been observed, which has affected the pace of implementation.</w:t>
      </w:r>
    </w:p>
    <w:p w:rsidR="00815D19" w:rsidRPr="00DE3CAD" w:rsidRDefault="00815D19" w:rsidP="00815D19">
      <w:pPr>
        <w:jc w:val="both"/>
        <w:rPr>
          <w:rFonts w:ascii="Times New Roman" w:hAnsi="Times New Roman" w:cs="Times New Roman"/>
          <w:sz w:val="28"/>
          <w:szCs w:val="24"/>
        </w:rPr>
      </w:pPr>
    </w:p>
    <w:p w:rsidR="003D1813" w:rsidRPr="00DE3CAD" w:rsidRDefault="001E0569" w:rsidP="00682BBE">
      <w:pPr>
        <w:pStyle w:val="Heading2"/>
        <w:numPr>
          <w:ilvl w:val="1"/>
          <w:numId w:val="15"/>
        </w:numPr>
        <w:rPr>
          <w:sz w:val="28"/>
        </w:rPr>
      </w:pPr>
      <w:bookmarkStart w:id="11" w:name="_Toc208220124"/>
      <w:r>
        <w:rPr>
          <w:sz w:val="28"/>
        </w:rPr>
        <w:lastRenderedPageBreak/>
        <w:t>NEXT STEPS</w:t>
      </w:r>
      <w:bookmarkEnd w:id="11"/>
    </w:p>
    <w:p w:rsidR="00682BBE" w:rsidRPr="00682BBE" w:rsidRDefault="00682BBE" w:rsidP="004831FE">
      <w:pPr>
        <w:ind w:left="576"/>
        <w:jc w:val="both"/>
        <w:rPr>
          <w:lang w:eastAsia="sq-AL"/>
        </w:rPr>
      </w:pPr>
    </w:p>
    <w:p w:rsidR="00815D19" w:rsidRPr="00815D19" w:rsidRDefault="001E0569" w:rsidP="004831FE">
      <w:pPr>
        <w:jc w:val="both"/>
        <w:rPr>
          <w:rFonts w:ascii="Times New Roman" w:hAnsi="Times New Roman" w:cs="Times New Roman"/>
          <w:sz w:val="24"/>
          <w:szCs w:val="24"/>
        </w:rPr>
      </w:pPr>
      <w:r>
        <w:rPr>
          <w:rFonts w:ascii="Times New Roman" w:hAnsi="Times New Roman"/>
          <w:sz w:val="24"/>
          <w:szCs w:val="24"/>
        </w:rPr>
        <w:t>The next steps, based on the conclusions and findings from institutional reporting on the implementation of activities and measures within the strategic objectives, include:</w:t>
      </w:r>
    </w:p>
    <w:p w:rsidR="00815D19" w:rsidRPr="00815D19" w:rsidRDefault="00815D19" w:rsidP="004831FE">
      <w:pPr>
        <w:pStyle w:val="ListParagraph"/>
        <w:jc w:val="both"/>
        <w:rPr>
          <w:rFonts w:ascii="Times New Roman" w:hAnsi="Times New Roman" w:cs="Times New Roman"/>
          <w:sz w:val="24"/>
          <w:szCs w:val="24"/>
        </w:rPr>
      </w:pPr>
    </w:p>
    <w:p w:rsidR="00815D19" w:rsidRPr="00815D19"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Improving the planning of timeframes for the approval of the legal framework;</w:t>
      </w:r>
    </w:p>
    <w:p w:rsidR="00815D19" w:rsidRPr="00815D19"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More accurate planning of activities and setting deadlines for project implementation by the institutions, taking into account potential obstacles and challenges during execution;</w:t>
      </w:r>
    </w:p>
    <w:p w:rsidR="00815D19" w:rsidRPr="00815D19"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Timely signing and ratification of financial agreements by the responsible institutions;</w:t>
      </w:r>
    </w:p>
    <w:p w:rsidR="00815D19" w:rsidRPr="00815D19"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Active involvement of stakeholders to accelerate the processes.</w:t>
      </w:r>
    </w:p>
    <w:p w:rsidR="00ED3E78" w:rsidRDefault="00ED3E78" w:rsidP="00F13E8D">
      <w:pPr>
        <w:rPr>
          <w:lang w:eastAsia="sq-AL"/>
        </w:rPr>
      </w:pPr>
    </w:p>
    <w:p w:rsidR="00F13E8D" w:rsidRPr="001B19AE" w:rsidRDefault="001E0569" w:rsidP="007D73EC">
      <w:pPr>
        <w:pStyle w:val="Heading1"/>
        <w:jc w:val="both"/>
      </w:pPr>
      <w:bookmarkStart w:id="12" w:name="_Toc174005219"/>
      <w:bookmarkStart w:id="13" w:name="_Toc208220125"/>
      <w:r>
        <w:t>DETAILED INFORMATION ON THE IMPLEMENTATION OF ACTIVITIES</w:t>
      </w:r>
      <w:bookmarkEnd w:id="12"/>
      <w:bookmarkEnd w:id="13"/>
    </w:p>
    <w:p w:rsidR="00C43A7C" w:rsidRPr="00C43A7C" w:rsidRDefault="00C43A7C" w:rsidP="00C43A7C">
      <w:pPr>
        <w:pStyle w:val="ListParagraph"/>
        <w:rPr>
          <w:lang w:eastAsia="sq-AL"/>
        </w:rPr>
      </w:pPr>
    </w:p>
    <w:p w:rsidR="008D0C63" w:rsidRDefault="001E0569" w:rsidP="008D0C63">
      <w:pPr>
        <w:jc w:val="both"/>
        <w:rPr>
          <w:rFonts w:ascii="Times New Roman" w:hAnsi="Times New Roman" w:cs="Times New Roman"/>
          <w:b/>
          <w:sz w:val="24"/>
          <w:szCs w:val="24"/>
          <w:u w:val="single"/>
        </w:rPr>
      </w:pPr>
      <w:r>
        <w:rPr>
          <w:rFonts w:ascii="Times New Roman" w:hAnsi="Times New Roman"/>
          <w:b/>
          <w:sz w:val="24"/>
          <w:szCs w:val="24"/>
          <w:u w:val="single"/>
        </w:rPr>
        <w:t xml:space="preserve">Objective 1: Improving system resilience </w:t>
      </w:r>
    </w:p>
    <w:p w:rsidR="004831FE" w:rsidRPr="00726BE9" w:rsidRDefault="004831FE" w:rsidP="008D0C63">
      <w:pPr>
        <w:jc w:val="both"/>
        <w:rPr>
          <w:rFonts w:ascii="Times New Roman" w:hAnsi="Times New Roman" w:cs="Times New Roman"/>
          <w:b/>
          <w:sz w:val="24"/>
          <w:szCs w:val="24"/>
          <w:u w:val="single"/>
        </w:rPr>
      </w:pPr>
    </w:p>
    <w:p w:rsidR="004831FE" w:rsidRDefault="001E0569" w:rsidP="008D0C63">
      <w:pPr>
        <w:jc w:val="both"/>
        <w:rPr>
          <w:rFonts w:ascii="Times New Roman" w:hAnsi="Times New Roman" w:cs="Times New Roman"/>
          <w:sz w:val="24"/>
          <w:szCs w:val="24"/>
        </w:rPr>
      </w:pPr>
      <w:r>
        <w:rPr>
          <w:rFonts w:ascii="Times New Roman" w:hAnsi="Times New Roman"/>
          <w:sz w:val="24"/>
          <w:szCs w:val="24"/>
        </w:rPr>
        <w:t xml:space="preserve">Improving system reliability includes all activities that guarantee the security of the electricity supply and the operation of a stable power system. </w:t>
      </w:r>
    </w:p>
    <w:p w:rsidR="004831FE" w:rsidRDefault="001E0569" w:rsidP="004831FE">
      <w:pPr>
        <w:jc w:val="both"/>
        <w:rPr>
          <w:rFonts w:ascii="Times New Roman" w:hAnsi="Times New Roman" w:cs="Times New Roman"/>
          <w:sz w:val="24"/>
          <w:szCs w:val="24"/>
        </w:rPr>
      </w:pPr>
      <w:r>
        <w:rPr>
          <w:rFonts w:ascii="Times New Roman" w:hAnsi="Times New Roman"/>
          <w:sz w:val="24"/>
          <w:szCs w:val="24"/>
        </w:rPr>
        <w:t>The planned activities that have seen progress during this period, contributing to the improvement of system reliability, are:</w:t>
      </w:r>
    </w:p>
    <w:p w:rsidR="00F628D1" w:rsidRPr="004831FE" w:rsidRDefault="001E0569" w:rsidP="004831FE">
      <w:pPr>
        <w:pStyle w:val="ListParagraph"/>
        <w:numPr>
          <w:ilvl w:val="0"/>
          <w:numId w:val="17"/>
        </w:numPr>
        <w:jc w:val="both"/>
        <w:rPr>
          <w:rFonts w:ascii="Times New Roman" w:hAnsi="Times New Roman" w:cs="Times New Roman"/>
          <w:sz w:val="24"/>
          <w:szCs w:val="24"/>
        </w:rPr>
      </w:pPr>
      <w:r>
        <w:rPr>
          <w:rFonts w:ascii="Times New Roman" w:hAnsi="Times New Roman"/>
          <w:sz w:val="24"/>
          <w:szCs w:val="24"/>
        </w:rPr>
        <w:t>Capital investments in Information Technology (IT) have led to significant advancements made in the development and improvement of IT systems.</w:t>
      </w:r>
    </w:p>
    <w:p w:rsidR="008D0C63" w:rsidRPr="00357987" w:rsidRDefault="001E0569">
      <w:pPr>
        <w:pStyle w:val="ListParagraph"/>
        <w:numPr>
          <w:ilvl w:val="0"/>
          <w:numId w:val="10"/>
        </w:numPr>
        <w:jc w:val="both"/>
        <w:rPr>
          <w:rFonts w:ascii="Times New Roman" w:hAnsi="Times New Roman" w:cs="Times New Roman"/>
          <w:sz w:val="24"/>
          <w:szCs w:val="24"/>
        </w:rPr>
      </w:pPr>
      <w:r>
        <w:rPr>
          <w:rFonts w:ascii="Times New Roman" w:hAnsi="Times New Roman"/>
          <w:sz w:val="24"/>
          <w:szCs w:val="24"/>
        </w:rPr>
        <w:t>Medium voltage 35/10 (20) kV projects, with considerable progress achieved in implementing investment projects in the medium voltage network across almost the entire territory of the country, with particular focus on the regions of Prishtina, Drenas, Fushe Kosova, Podujeva, Gjakova, Malisheva, Rahovec, Peja, Deçan, Ferizaj, Prizren, Suhareka, Vitia and Vushtrri.</w:t>
      </w:r>
    </w:p>
    <w:p w:rsidR="00880D0E" w:rsidRDefault="001E0569" w:rsidP="008D0C63">
      <w:pPr>
        <w:pStyle w:val="ListParagraph"/>
        <w:numPr>
          <w:ilvl w:val="0"/>
          <w:numId w:val="10"/>
        </w:numPr>
        <w:jc w:val="both"/>
        <w:rPr>
          <w:rFonts w:ascii="Times New Roman" w:hAnsi="Times New Roman" w:cs="Times New Roman"/>
          <w:sz w:val="24"/>
          <w:szCs w:val="24"/>
        </w:rPr>
      </w:pPr>
      <w:r>
        <w:rPr>
          <w:rFonts w:ascii="Times New Roman" w:hAnsi="Times New Roman"/>
          <w:sz w:val="24"/>
          <w:szCs w:val="24"/>
        </w:rPr>
        <w:t>High voltage 110/10 (20) kV projects, with the construction of the Ferizaj 3 substation completed and with construction permits obtained, while the Malisheva substation remains pending a construction permit.</w:t>
      </w:r>
    </w:p>
    <w:p w:rsidR="004831FE" w:rsidRDefault="004831FE" w:rsidP="004831FE">
      <w:pPr>
        <w:pStyle w:val="ListParagraph"/>
        <w:jc w:val="both"/>
        <w:rPr>
          <w:rFonts w:ascii="Times New Roman" w:hAnsi="Times New Roman" w:cs="Times New Roman"/>
          <w:sz w:val="24"/>
          <w:szCs w:val="24"/>
        </w:rPr>
      </w:pPr>
    </w:p>
    <w:p w:rsidR="004831FE" w:rsidRDefault="004831FE" w:rsidP="004831FE">
      <w:pPr>
        <w:pStyle w:val="ListParagraph"/>
        <w:jc w:val="both"/>
        <w:rPr>
          <w:rFonts w:ascii="Times New Roman" w:hAnsi="Times New Roman" w:cs="Times New Roman"/>
          <w:sz w:val="24"/>
          <w:szCs w:val="24"/>
        </w:rPr>
      </w:pPr>
    </w:p>
    <w:p w:rsidR="004831FE" w:rsidRDefault="004831FE" w:rsidP="004831FE">
      <w:pPr>
        <w:jc w:val="both"/>
        <w:rPr>
          <w:rFonts w:ascii="Times New Roman" w:hAnsi="Times New Roman" w:cs="Times New Roman"/>
          <w:sz w:val="24"/>
          <w:szCs w:val="24"/>
        </w:rPr>
      </w:pPr>
    </w:p>
    <w:p w:rsidR="007D73EC" w:rsidRDefault="007D73EC" w:rsidP="004831FE">
      <w:pPr>
        <w:jc w:val="both"/>
        <w:rPr>
          <w:rFonts w:ascii="Times New Roman" w:hAnsi="Times New Roman" w:cs="Times New Roman"/>
          <w:sz w:val="24"/>
          <w:szCs w:val="24"/>
        </w:rPr>
      </w:pPr>
    </w:p>
    <w:p w:rsidR="007D73EC" w:rsidRPr="004831FE" w:rsidRDefault="007D73EC" w:rsidP="004831FE">
      <w:pPr>
        <w:jc w:val="both"/>
        <w:rPr>
          <w:rFonts w:ascii="Times New Roman" w:hAnsi="Times New Roman" w:cs="Times New Roman"/>
          <w:sz w:val="24"/>
          <w:szCs w:val="24"/>
        </w:rPr>
      </w:pPr>
    </w:p>
    <w:p w:rsidR="008D0C63" w:rsidRDefault="001E0569" w:rsidP="008D0C63">
      <w:pPr>
        <w:jc w:val="both"/>
        <w:rPr>
          <w:rFonts w:ascii="Times New Roman" w:hAnsi="Times New Roman" w:cs="Times New Roman"/>
          <w:b/>
          <w:sz w:val="24"/>
          <w:szCs w:val="24"/>
          <w:u w:val="single"/>
        </w:rPr>
      </w:pPr>
      <w:r>
        <w:rPr>
          <w:rFonts w:ascii="Times New Roman" w:hAnsi="Times New Roman"/>
          <w:b/>
          <w:sz w:val="24"/>
          <w:szCs w:val="24"/>
          <w:u w:val="single"/>
        </w:rPr>
        <w:lastRenderedPageBreak/>
        <w:t>Objective 2: Decarbonization and promoting renewable energy</w:t>
      </w:r>
    </w:p>
    <w:p w:rsidR="008D0C63" w:rsidRDefault="001E0569" w:rsidP="00D17CF8">
      <w:pPr>
        <w:jc w:val="both"/>
        <w:rPr>
          <w:rFonts w:ascii="Times New Roman" w:hAnsi="Times New Roman" w:cs="Times New Roman"/>
          <w:sz w:val="24"/>
          <w:szCs w:val="24"/>
        </w:rPr>
      </w:pPr>
      <w:r>
        <w:rPr>
          <w:rFonts w:ascii="Times New Roman" w:hAnsi="Times New Roman"/>
          <w:sz w:val="24"/>
          <w:szCs w:val="24"/>
        </w:rPr>
        <w:t>During the period January – June 2025, progress was recorded in drafting several documents as well as in the development of key projects:</w:t>
      </w:r>
    </w:p>
    <w:p w:rsidR="00D10434" w:rsidRPr="005E3274" w:rsidRDefault="001E0569" w:rsidP="005E3274">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Drafting of bylaws deriving from Law No. 08/L-258 on Renewable Energy Sources (RES). Four (4) bylaws have already been drafted, and following relevant discussions within the Ministry of Economy (ME), they are expected to be submitted for preliminary and public consultation. Three (3) additional acts are currently in the drafting phase. As part of the technical support from the LuxDeV project, three (3) Administrative Instructions have been prepared to promote and facilitate the integration of Renewable Energy Sources (RES) and Energy Efficiency (EE) practices.</w:t>
      </w:r>
    </w:p>
    <w:p w:rsidR="00D10434" w:rsidRDefault="001E0569" w:rsidP="00D17CF8">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The necessary consents and permits have been obtained, and the procedures for the Solar4Kosovo solar district heating project have been completed. The tender for Lot 1 of the “Solar4Kosovo SDH II” district heating plant has been announced, while the tendering process for the execution of the “Solar4Kosovo SDH II” project works is in the preparatory phase.</w:t>
      </w:r>
    </w:p>
    <w:p w:rsidR="00D17CF8" w:rsidRPr="00D17CF8" w:rsidRDefault="001E0569" w:rsidP="00D17CF8">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As part of promoting new generation capacities through auctions, the first qualification phase for the wind energy auction has been completed, and the process is now in the preparatory stage for announcing the second proposal phase. At the same time, the process for selecting the Independent Engineer for the solar auction has been finalized. Additionally, for the preparation of upcoming wind energy auctions, the Ministry of Economy (ME) is finalizing the procedures for signing the grant agreement that will enable the installation of wind meters.</w:t>
      </w:r>
    </w:p>
    <w:p w:rsidR="00D17CF8" w:rsidRPr="00D10434" w:rsidRDefault="00D17CF8" w:rsidP="00D17CF8">
      <w:pPr>
        <w:pStyle w:val="ListParagraph"/>
        <w:jc w:val="both"/>
        <w:rPr>
          <w:rFonts w:ascii="Times New Roman" w:hAnsi="Times New Roman" w:cs="Times New Roman"/>
          <w:sz w:val="24"/>
          <w:szCs w:val="24"/>
        </w:rPr>
      </w:pPr>
    </w:p>
    <w:p w:rsidR="008D0C63" w:rsidRPr="004F2C96" w:rsidRDefault="001E0569" w:rsidP="008D0C63">
      <w:pPr>
        <w:jc w:val="both"/>
        <w:rPr>
          <w:rFonts w:ascii="Times New Roman" w:hAnsi="Times New Roman" w:cs="Times New Roman"/>
          <w:b/>
          <w:sz w:val="24"/>
          <w:szCs w:val="24"/>
          <w:u w:val="single"/>
        </w:rPr>
      </w:pPr>
      <w:r>
        <w:rPr>
          <w:rFonts w:ascii="Times New Roman" w:hAnsi="Times New Roman"/>
          <w:b/>
          <w:sz w:val="24"/>
          <w:szCs w:val="24"/>
          <w:u w:val="single"/>
        </w:rPr>
        <w:t>Objective 3: Increasing energy efficiency (EE)</w:t>
      </w:r>
    </w:p>
    <w:p w:rsidR="00D35809" w:rsidRPr="00D35809" w:rsidRDefault="001E0569" w:rsidP="004831FE">
      <w:pPr>
        <w:jc w:val="both"/>
        <w:rPr>
          <w:rFonts w:ascii="Times New Roman" w:hAnsi="Times New Roman" w:cs="Times New Roman"/>
          <w:sz w:val="24"/>
          <w:szCs w:val="24"/>
        </w:rPr>
      </w:pPr>
      <w:r>
        <w:rPr>
          <w:rFonts w:ascii="Times New Roman" w:hAnsi="Times New Roman"/>
          <w:sz w:val="24"/>
          <w:szCs w:val="24"/>
        </w:rPr>
        <w:t>During the period January - June 2025, a series of activities carried out have directly contributed to increasing Energy Efficiency (EE), in line with the objectives set in this field.</w:t>
      </w:r>
    </w:p>
    <w:p w:rsidR="008D0C63" w:rsidRDefault="001E0569" w:rsidP="004831FE">
      <w:pPr>
        <w:jc w:val="both"/>
        <w:rPr>
          <w:rFonts w:ascii="Times New Roman" w:hAnsi="Times New Roman" w:cs="Times New Roman"/>
          <w:sz w:val="24"/>
          <w:szCs w:val="24"/>
        </w:rPr>
      </w:pPr>
      <w:r>
        <w:rPr>
          <w:rFonts w:ascii="Times New Roman" w:hAnsi="Times New Roman"/>
          <w:sz w:val="24"/>
          <w:szCs w:val="24"/>
        </w:rPr>
        <w:t>The key activities include:</w:t>
      </w:r>
    </w:p>
    <w:p w:rsidR="00D10434" w:rsidRPr="00D10434"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Further progress in the preparatory phase for the project to increase the thermal capacity of the “Kosova B” TPP Cogeneration from 140 MWth to 280 MWth;</w:t>
      </w:r>
    </w:p>
    <w:p w:rsidR="008D0C63"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Implementation of Energy Efficiency (EE) measures in public buildings (central level);</w:t>
      </w:r>
    </w:p>
    <w:p w:rsidR="008D0C63"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Implementation of Energy Efficiency (EE) measures in public buildings (municipal level);</w:t>
      </w:r>
    </w:p>
    <w:p w:rsidR="00D10434" w:rsidRPr="00D10434"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Continuous installation of metering devices for “Termokos” consumers;</w:t>
      </w:r>
    </w:p>
    <w:p w:rsidR="008D0C63"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Implementation of Energy Efficiency (EE) measures in the residential sector (individual homes);</w:t>
      </w:r>
    </w:p>
    <w:p w:rsidR="009F70E2"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Drafting of the Draft Law on Energy Efficiency (EE), which is still under relevant discussions within the Ministry of Economy (ME), and once this phase is completed, it is expected to be sent for preliminary and public consultation; Increased momentum in drafting the bylaws deriving from the Draft Law on Energy Efficiency (EE);</w:t>
      </w:r>
    </w:p>
    <w:p w:rsidR="009F70E2" w:rsidRDefault="001E0569" w:rsidP="004831FE">
      <w:pPr>
        <w:pStyle w:val="ListParagraph"/>
        <w:numPr>
          <w:ilvl w:val="0"/>
          <w:numId w:val="5"/>
        </w:numPr>
        <w:jc w:val="both"/>
        <w:rPr>
          <w:rFonts w:ascii="Times New Roman" w:hAnsi="Times New Roman" w:cs="Times New Roman"/>
          <w:sz w:val="24"/>
          <w:szCs w:val="24"/>
        </w:rPr>
      </w:pPr>
      <w:r>
        <w:rPr>
          <w:rFonts w:ascii="Times New Roman" w:hAnsi="Times New Roman"/>
          <w:sz w:val="24"/>
          <w:szCs w:val="24"/>
        </w:rPr>
        <w:t>Progress in the approval of bylaws related to the Energy Performance of Buildings.</w:t>
      </w:r>
    </w:p>
    <w:p w:rsidR="00486DC1" w:rsidRPr="00486DC1" w:rsidRDefault="00486DC1" w:rsidP="00486DC1">
      <w:pPr>
        <w:jc w:val="both"/>
        <w:rPr>
          <w:rFonts w:ascii="Times New Roman" w:hAnsi="Times New Roman" w:cs="Times New Roman"/>
          <w:sz w:val="24"/>
          <w:szCs w:val="24"/>
        </w:rPr>
      </w:pPr>
    </w:p>
    <w:p w:rsidR="008D0C63" w:rsidRPr="00013F4C" w:rsidRDefault="001E0569" w:rsidP="004831FE">
      <w:pPr>
        <w:jc w:val="both"/>
        <w:rPr>
          <w:rFonts w:ascii="Times New Roman" w:hAnsi="Times New Roman" w:cs="Times New Roman"/>
          <w:sz w:val="24"/>
          <w:szCs w:val="24"/>
        </w:rPr>
      </w:pPr>
      <w:r>
        <w:rPr>
          <w:rFonts w:ascii="Times New Roman" w:hAnsi="Times New Roman"/>
          <w:b/>
          <w:sz w:val="24"/>
          <w:szCs w:val="24"/>
          <w:u w:val="single"/>
        </w:rPr>
        <w:t>Objective 4: Strengthening regional cooperation and market functioning</w:t>
      </w:r>
    </w:p>
    <w:p w:rsidR="00D35809" w:rsidRPr="00D35809" w:rsidRDefault="001E0569" w:rsidP="00D35809">
      <w:pPr>
        <w:jc w:val="both"/>
        <w:rPr>
          <w:rFonts w:ascii="Times New Roman" w:hAnsi="Times New Roman" w:cs="Times New Roman"/>
          <w:sz w:val="24"/>
          <w:szCs w:val="24"/>
        </w:rPr>
      </w:pPr>
      <w:r>
        <w:rPr>
          <w:rFonts w:ascii="Times New Roman" w:hAnsi="Times New Roman"/>
          <w:sz w:val="24"/>
          <w:szCs w:val="24"/>
        </w:rPr>
        <w:t>During the period January - June 2025, activities under this objective have been limited, mainly due to their dependence on the approval process of energy sector laws (Draft Law on Energy, Draft Law on Electricity and the Draft Law on Energy Regulator), which transpose the Clean Energy Package into the implementation of the obligations of the Republic of Kosovo (RK) under the Energy Community Treaty (ECT), as well as on the support of the MCAK program.</w:t>
      </w:r>
    </w:p>
    <w:p w:rsidR="000B0801" w:rsidRDefault="001E0569" w:rsidP="00D35809">
      <w:pPr>
        <w:jc w:val="both"/>
        <w:rPr>
          <w:rFonts w:ascii="Times New Roman" w:hAnsi="Times New Roman" w:cs="Times New Roman"/>
          <w:sz w:val="24"/>
          <w:szCs w:val="24"/>
        </w:rPr>
      </w:pPr>
      <w:r>
        <w:rPr>
          <w:rFonts w:ascii="Times New Roman" w:hAnsi="Times New Roman"/>
          <w:sz w:val="24"/>
          <w:szCs w:val="24"/>
        </w:rPr>
        <w:t>It is noted that the Draft Law on Energy and the Draft Law on Electricity have completed the preliminary and public consultation process, and opinions have been obtained regarding the financial impact assessment from the Ministry of Finance, Labour and Transfers (MFLT), and compliance with EU legislation from the Office of the Prime Minister, while the Draft Law on Energy Regulator is ready to be processed for preliminary and public consultation.</w:t>
      </w:r>
    </w:p>
    <w:p w:rsidR="00050A70" w:rsidRDefault="001E0569" w:rsidP="00D35809">
      <w:pPr>
        <w:jc w:val="both"/>
        <w:rPr>
          <w:rFonts w:ascii="Times New Roman" w:hAnsi="Times New Roman" w:cs="Times New Roman"/>
          <w:sz w:val="24"/>
          <w:szCs w:val="24"/>
        </w:rPr>
      </w:pPr>
      <w:r>
        <w:rPr>
          <w:rFonts w:ascii="Times New Roman" w:hAnsi="Times New Roman"/>
          <w:sz w:val="24"/>
          <w:szCs w:val="24"/>
        </w:rPr>
        <w:t>The energy legal framework, which is still under consideration, could not advance further due to delays in the establishment of new institutions following the last electoral process, as well as legal restrictions of the caretaker Government of the Republic of Kosovo (GRK).</w:t>
      </w:r>
    </w:p>
    <w:p w:rsidR="00D35809" w:rsidRPr="00D35809" w:rsidRDefault="001E0569" w:rsidP="00D35809">
      <w:pPr>
        <w:jc w:val="both"/>
        <w:rPr>
          <w:rFonts w:ascii="Times New Roman" w:hAnsi="Times New Roman" w:cs="Times New Roman"/>
          <w:sz w:val="24"/>
          <w:szCs w:val="24"/>
        </w:rPr>
      </w:pPr>
      <w:r>
        <w:rPr>
          <w:rFonts w:ascii="Times New Roman" w:hAnsi="Times New Roman"/>
          <w:sz w:val="24"/>
          <w:szCs w:val="24"/>
        </w:rPr>
        <w:t>Meanwhile, delays in the further implementation of the MCAK program occurred as a result of the signing of Executive Order 14169 by the President of the United States on 20 January 2025, which resulted in the suspension of activities under the MCAK project until the end of this reporting period.</w:t>
      </w:r>
    </w:p>
    <w:p w:rsidR="008D0C63" w:rsidRDefault="001E0569" w:rsidP="00D35809">
      <w:pPr>
        <w:jc w:val="both"/>
        <w:rPr>
          <w:rFonts w:ascii="Times New Roman" w:hAnsi="Times New Roman" w:cs="Times New Roman"/>
          <w:b/>
          <w:sz w:val="24"/>
          <w:szCs w:val="24"/>
          <w:u w:val="single"/>
        </w:rPr>
      </w:pPr>
      <w:r>
        <w:rPr>
          <w:rFonts w:ascii="Times New Roman" w:hAnsi="Times New Roman"/>
          <w:b/>
          <w:sz w:val="24"/>
          <w:szCs w:val="24"/>
          <w:u w:val="single"/>
        </w:rPr>
        <w:t>Objective 5: Protecting and empowering consumers</w:t>
      </w:r>
    </w:p>
    <w:p w:rsidR="000F5B01" w:rsidRDefault="001E0569" w:rsidP="0006187F">
      <w:pPr>
        <w:pStyle w:val="NormalWeb"/>
        <w:jc w:val="both"/>
      </w:pPr>
      <w:r>
        <w:t>During the period January - June 2025, several of the activities planned under Objective Five (5) were carried out:</w:t>
      </w:r>
    </w:p>
    <w:p w:rsidR="00950FBB" w:rsidRDefault="001E0569" w:rsidP="0006187F">
      <w:pPr>
        <w:pStyle w:val="NormalWeb"/>
        <w:numPr>
          <w:ilvl w:val="0"/>
          <w:numId w:val="18"/>
        </w:numPr>
        <w:jc w:val="both"/>
      </w:pPr>
      <w:r>
        <w:t>Support for vulnerable consumers, which has replaced the existing support scheme for this category.</w:t>
      </w:r>
    </w:p>
    <w:p w:rsidR="00950FBB" w:rsidRDefault="001E0569" w:rsidP="0006187F">
      <w:pPr>
        <w:pStyle w:val="NormalWeb"/>
        <w:numPr>
          <w:ilvl w:val="0"/>
          <w:numId w:val="18"/>
        </w:numPr>
        <w:jc w:val="both"/>
      </w:pPr>
      <w:r>
        <w:t>Continuous training of officials from the Kosovo Environmental Protection Agency (KEPA), aimed at strengthening capacities for monitoring, assessing, verifying and reporting emissions from large combustion plants.</w:t>
      </w:r>
    </w:p>
    <w:p w:rsidR="00920E5C" w:rsidRPr="00147340" w:rsidRDefault="00920E5C" w:rsidP="0006187F">
      <w:pPr>
        <w:pStyle w:val="ListParagraph"/>
        <w:jc w:val="both"/>
        <w:rPr>
          <w:rFonts w:ascii="Times New Roman" w:hAnsi="Times New Roman" w:cs="Times New Roman"/>
          <w:sz w:val="24"/>
          <w:szCs w:val="24"/>
        </w:rPr>
      </w:pPr>
    </w:p>
    <w:p w:rsidR="00E07D7A" w:rsidRDefault="00E07D7A" w:rsidP="00486DC1">
      <w:pPr>
        <w:pStyle w:val="Heading1"/>
        <w:numPr>
          <w:ilvl w:val="0"/>
          <w:numId w:val="0"/>
        </w:numPr>
        <w:jc w:val="left"/>
        <w:rPr>
          <w:b w:val="0"/>
        </w:rPr>
        <w:sectPr w:rsidR="00E07D7A" w:rsidSect="00615B6E">
          <w:footerReference w:type="default" r:id="rId11"/>
          <w:pgSz w:w="12240" w:h="15840"/>
          <w:pgMar w:top="1440" w:right="1440" w:bottom="1440" w:left="1440" w:header="720" w:footer="720" w:gutter="0"/>
          <w:cols w:space="720"/>
          <w:titlePg/>
          <w:docGrid w:linePitch="360"/>
        </w:sectPr>
      </w:pPr>
    </w:p>
    <w:p w:rsidR="007D1D84" w:rsidRPr="001B19AE" w:rsidRDefault="001E0569" w:rsidP="001B19AE">
      <w:pPr>
        <w:pStyle w:val="Heading1"/>
      </w:pPr>
      <w:bookmarkStart w:id="14" w:name="_Toc174005220"/>
      <w:bookmarkStart w:id="15" w:name="_Toc208220126"/>
      <w:r>
        <w:lastRenderedPageBreak/>
        <w:t xml:space="preserve">ANNEX </w:t>
      </w:r>
      <w:r>
        <w:rPr>
          <w:b w:val="0"/>
          <w:bCs/>
        </w:rPr>
        <w:t xml:space="preserve">- </w:t>
      </w:r>
      <w:r>
        <w:t xml:space="preserve">PROGRESS REPORT MATRIX FOR THE PERIOD JANUARY </w:t>
      </w:r>
      <w:r>
        <w:rPr>
          <w:b w:val="0"/>
          <w:bCs/>
        </w:rPr>
        <w:t>-</w:t>
      </w:r>
      <w:r>
        <w:t xml:space="preserve"> JUNE 2025</w:t>
      </w:r>
      <w:bookmarkEnd w:id="14"/>
      <w:bookmarkEnd w:id="15"/>
    </w:p>
    <w:p w:rsidR="007D1D84" w:rsidRDefault="007D1D84" w:rsidP="007D1D84">
      <w:pPr>
        <w:pStyle w:val="ListParagraph"/>
        <w:ind w:left="1080"/>
        <w:rPr>
          <w:rFonts w:ascii="Times New Roman" w:hAnsi="Times New Roman" w:cs="Times New Roman"/>
          <w:b/>
          <w:sz w:val="28"/>
          <w:szCs w:val="24"/>
        </w:rPr>
      </w:pPr>
    </w:p>
    <w:tbl>
      <w:tblPr>
        <w:tblW w:w="0" w:type="auto"/>
        <w:tblLook w:val="04A0" w:firstRow="1" w:lastRow="0" w:firstColumn="1" w:lastColumn="0" w:noHBand="0" w:noVBand="1"/>
      </w:tblPr>
      <w:tblGrid>
        <w:gridCol w:w="455"/>
        <w:gridCol w:w="1435"/>
        <w:gridCol w:w="710"/>
        <w:gridCol w:w="902"/>
        <w:gridCol w:w="967"/>
        <w:gridCol w:w="1032"/>
        <w:gridCol w:w="967"/>
        <w:gridCol w:w="941"/>
        <w:gridCol w:w="826"/>
        <w:gridCol w:w="992"/>
        <w:gridCol w:w="920"/>
        <w:gridCol w:w="59"/>
        <w:gridCol w:w="2749"/>
      </w:tblGrid>
      <w:tr w:rsidR="00001E51" w:rsidTr="00571EAF">
        <w:trPr>
          <w:trHeight w:val="480"/>
        </w:trPr>
        <w:tc>
          <w:tcPr>
            <w:tcW w:w="0" w:type="auto"/>
            <w:gridSpan w:val="12"/>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71EAF" w:rsidRPr="00571EAF" w:rsidRDefault="001E0569" w:rsidP="00571EAF">
            <w:pPr>
              <w:spacing w:after="0" w:line="240" w:lineRule="auto"/>
              <w:jc w:val="center"/>
              <w:rPr>
                <w:rFonts w:ascii="Calibri" w:eastAsia="Times New Roman" w:hAnsi="Calibri" w:cs="Calibri"/>
                <w:b/>
                <w:bCs/>
                <w:i/>
                <w:iCs/>
                <w:color w:val="000000"/>
                <w:sz w:val="24"/>
                <w:szCs w:val="24"/>
              </w:rPr>
            </w:pPr>
            <w:r>
              <w:rPr>
                <w:rFonts w:ascii="Calibri" w:hAnsi="Calibri"/>
                <w:b/>
                <w:bCs/>
                <w:i/>
                <w:iCs/>
                <w:sz w:val="24"/>
                <w:szCs w:val="24"/>
              </w:rPr>
              <w:t>MONITORING THE IMPLEMENTATION OF THE KESIP FOR THE PERIOD 2022-2025: STRATEGIC OBJECTIVE 1</w:t>
            </w:r>
            <w:r>
              <w:rPr>
                <w:rFonts w:ascii="Calibri" w:hAnsi="Calibri"/>
                <w:b/>
                <w:bCs/>
                <w:i/>
                <w:iCs/>
                <w:color w:val="000000"/>
                <w:sz w:val="24"/>
                <w:szCs w:val="24"/>
              </w:rPr>
              <w:t xml:space="preserve"> </w:t>
            </w:r>
          </w:p>
        </w:tc>
        <w:tc>
          <w:tcPr>
            <w:tcW w:w="0" w:type="auto"/>
            <w:tcBorders>
              <w:top w:val="nil"/>
              <w:left w:val="nil"/>
              <w:bottom w:val="nil"/>
              <w:right w:val="nil"/>
            </w:tcBorders>
            <w:noWrap/>
            <w:vAlign w:val="bottom"/>
            <w:hideMark/>
          </w:tcPr>
          <w:p w:rsidR="00571EAF" w:rsidRPr="00571EAF" w:rsidRDefault="00571EAF" w:rsidP="00571EAF">
            <w:pPr>
              <w:spacing w:after="0" w:line="240" w:lineRule="auto"/>
              <w:jc w:val="center"/>
              <w:rPr>
                <w:rFonts w:ascii="Calibri" w:eastAsia="Times New Roman" w:hAnsi="Calibri" w:cs="Calibri"/>
                <w:b/>
                <w:bCs/>
                <w:i/>
                <w:iCs/>
                <w:color w:val="000000"/>
                <w:sz w:val="24"/>
                <w:szCs w:val="24"/>
              </w:rPr>
            </w:pPr>
          </w:p>
        </w:tc>
      </w:tr>
      <w:tr w:rsidR="00001E51" w:rsidTr="00571EAF">
        <w:trPr>
          <w:trHeight w:val="885"/>
        </w:trPr>
        <w:tc>
          <w:tcPr>
            <w:tcW w:w="0" w:type="auto"/>
            <w:gridSpan w:val="12"/>
            <w:tcBorders>
              <w:top w:val="nil"/>
              <w:left w:val="nil"/>
              <w:bottom w:val="single" w:sz="8" w:space="0" w:color="auto"/>
              <w:right w:val="nil"/>
            </w:tcBorders>
            <w:noWrap/>
            <w:vAlign w:val="center"/>
            <w:hideMark/>
          </w:tcPr>
          <w:p w:rsidR="00571EAF" w:rsidRPr="00571EAF"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 xml:space="preserve">SO1: IMPROVING SYSTEM RESILIENCE </w:t>
            </w:r>
          </w:p>
        </w:tc>
        <w:tc>
          <w:tcPr>
            <w:tcW w:w="0" w:type="auto"/>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rPr>
            </w:pPr>
          </w:p>
        </w:tc>
      </w:tr>
      <w:tr w:rsidR="00001E51" w:rsidTr="00660DD0">
        <w:trPr>
          <w:trHeight w:val="735"/>
        </w:trPr>
        <w:tc>
          <w:tcPr>
            <w:tcW w:w="0" w:type="auto"/>
            <w:tcBorders>
              <w:top w:val="nil"/>
              <w:left w:val="single" w:sz="8" w:space="0" w:color="auto"/>
              <w:bottom w:val="single" w:sz="8" w:space="0" w:color="auto"/>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w:t>
            </w:r>
          </w:p>
        </w:tc>
        <w:tc>
          <w:tcPr>
            <w:tcW w:w="0" w:type="auto"/>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Strategic and specific objectives, indicators and actions</w:t>
            </w:r>
          </w:p>
        </w:tc>
        <w:tc>
          <w:tcPr>
            <w:tcW w:w="2528" w:type="dxa"/>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Baseline value </w:t>
            </w:r>
          </w:p>
        </w:tc>
        <w:tc>
          <w:tcPr>
            <w:tcW w:w="2043" w:type="dxa"/>
            <w:gridSpan w:val="2"/>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2025</w:t>
            </w:r>
          </w:p>
        </w:tc>
        <w:tc>
          <w:tcPr>
            <w:tcW w:w="0" w:type="auto"/>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2031</w:t>
            </w:r>
          </w:p>
        </w:tc>
        <w:tc>
          <w:tcPr>
            <w:tcW w:w="0" w:type="auto"/>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Outcome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color w:val="000000"/>
                <w:sz w:val="18"/>
                <w:szCs w:val="18"/>
              </w:rPr>
            </w:pPr>
          </w:p>
        </w:tc>
      </w:tr>
      <w:tr w:rsidR="00001E51" w:rsidTr="00571EAF">
        <w:trPr>
          <w:trHeight w:val="315"/>
        </w:trPr>
        <w:tc>
          <w:tcPr>
            <w:tcW w:w="0" w:type="auto"/>
            <w:tcBorders>
              <w:top w:val="nil"/>
              <w:left w:val="single" w:sz="8" w:space="0" w:color="auto"/>
              <w:bottom w:val="single" w:sz="8" w:space="0" w:color="auto"/>
              <w:right w:val="single" w:sz="8" w:space="0" w:color="auto"/>
            </w:tcBorders>
            <w:shd w:val="clear" w:color="000000" w:fill="BFBFBF"/>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w:t>
            </w:r>
          </w:p>
        </w:tc>
        <w:tc>
          <w:tcPr>
            <w:tcW w:w="0" w:type="auto"/>
            <w:gridSpan w:val="10"/>
            <w:tcBorders>
              <w:top w:val="single" w:sz="8" w:space="0" w:color="auto"/>
              <w:left w:val="nil"/>
              <w:bottom w:val="single" w:sz="8" w:space="0" w:color="auto"/>
              <w:right w:val="single" w:sz="8" w:space="0" w:color="000000"/>
            </w:tcBorders>
            <w:shd w:val="clear" w:color="000000" w:fill="BFBFBF"/>
            <w:vAlign w:val="center"/>
            <w:hideMark/>
          </w:tcPr>
          <w:p w:rsidR="00571EAF" w:rsidRPr="00571EAF" w:rsidRDefault="001E0569"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STRATEGIC OBJECTIVE 1: IMPROVING SYSTEM RESILIENCE</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r>
      <w:tr w:rsidR="00001E51" w:rsidTr="00660DD0">
        <w:trPr>
          <w:trHeight w:val="735"/>
        </w:trPr>
        <w:tc>
          <w:tcPr>
            <w:tcW w:w="0" w:type="auto"/>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Indicator: System Average Interruption Duration Index (SAIDI).</w:t>
            </w:r>
          </w:p>
        </w:tc>
        <w:tc>
          <w:tcPr>
            <w:tcW w:w="2528" w:type="dxa"/>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SAIDI: 80.83 hours/year</w:t>
            </w:r>
          </w:p>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(2021)</w:t>
            </w:r>
          </w:p>
        </w:tc>
        <w:tc>
          <w:tcPr>
            <w:tcW w:w="2043" w:type="dxa"/>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SAIDI: 63 hours/year</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SAIDI: 51.84 hours/year</w:t>
            </w:r>
          </w:p>
        </w:tc>
        <w:tc>
          <w:tcPr>
            <w:tcW w:w="0" w:type="auto"/>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 </w:t>
            </w:r>
          </w:p>
        </w:tc>
        <w:tc>
          <w:tcPr>
            <w:tcW w:w="0" w:type="auto"/>
            <w:gridSpan w:val="2"/>
            <w:tcBorders>
              <w:top w:val="nil"/>
              <w:left w:val="nil"/>
              <w:bottom w:val="nil"/>
              <w:right w:val="nil"/>
            </w:tcBorders>
            <w:noWrap/>
            <w:vAlign w:val="bottom"/>
            <w:hideMark/>
          </w:tcPr>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w:t>
            </w:r>
          </w:p>
        </w:tc>
      </w:tr>
      <w:tr w:rsidR="00001E51" w:rsidTr="00660DD0">
        <w:trPr>
          <w:trHeight w:val="975"/>
        </w:trPr>
        <w:tc>
          <w:tcPr>
            <w:tcW w:w="0" w:type="auto"/>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Indicator: System Average Interruption</w:t>
            </w:r>
          </w:p>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Frequency Index (SAIFI).</w:t>
            </w:r>
          </w:p>
        </w:tc>
        <w:tc>
          <w:tcPr>
            <w:tcW w:w="2528" w:type="dxa"/>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SAIFI: 58.27</w:t>
            </w:r>
          </w:p>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(2021)</w:t>
            </w:r>
          </w:p>
        </w:tc>
        <w:tc>
          <w:tcPr>
            <w:tcW w:w="2043" w:type="dxa"/>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SAIFI: 49</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SAIFI: 40.86 </w:t>
            </w:r>
          </w:p>
        </w:tc>
        <w:tc>
          <w:tcPr>
            <w:tcW w:w="0" w:type="auto"/>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color w:val="000000"/>
                <w:sz w:val="18"/>
                <w:szCs w:val="18"/>
              </w:rPr>
            </w:pPr>
          </w:p>
        </w:tc>
      </w:tr>
      <w:tr w:rsidR="00001E51" w:rsidTr="00571EAF">
        <w:trPr>
          <w:trHeight w:val="315"/>
        </w:trPr>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I.1</w:t>
            </w:r>
          </w:p>
        </w:tc>
        <w:tc>
          <w:tcPr>
            <w:tcW w:w="0" w:type="auto"/>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Specific Objective: Increasing the system flexibility</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r>
      <w:tr w:rsidR="00001E51" w:rsidTr="00660DD0">
        <w:trPr>
          <w:trHeight w:val="735"/>
        </w:trPr>
        <w:tc>
          <w:tcPr>
            <w:tcW w:w="0" w:type="auto"/>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w:t>
            </w:r>
          </w:p>
        </w:tc>
        <w:tc>
          <w:tcPr>
            <w:tcW w:w="0" w:type="auto"/>
            <w:tcBorders>
              <w:top w:val="nil"/>
              <w:left w:val="nil"/>
              <w:bottom w:val="nil"/>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Indicator</w:t>
            </w:r>
          </w:p>
        </w:tc>
        <w:tc>
          <w:tcPr>
            <w:tcW w:w="2528" w:type="dxa"/>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Baseline value </w:t>
            </w:r>
          </w:p>
        </w:tc>
        <w:tc>
          <w:tcPr>
            <w:tcW w:w="2043" w:type="dxa"/>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2025</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2031</w:t>
            </w:r>
          </w:p>
        </w:tc>
        <w:tc>
          <w:tcPr>
            <w:tcW w:w="0" w:type="auto"/>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color w:val="000000"/>
                <w:sz w:val="18"/>
                <w:szCs w:val="18"/>
              </w:rPr>
            </w:pPr>
          </w:p>
        </w:tc>
      </w:tr>
      <w:tr w:rsidR="00001E51" w:rsidTr="00660DD0">
        <w:trPr>
          <w:trHeight w:val="495"/>
        </w:trPr>
        <w:tc>
          <w:tcPr>
            <w:tcW w:w="0" w:type="auto"/>
            <w:tcBorders>
              <w:top w:val="nil"/>
              <w:left w:val="single" w:sz="8" w:space="0" w:color="auto"/>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w:t>
            </w:r>
          </w:p>
        </w:tc>
        <w:tc>
          <w:tcPr>
            <w:tcW w:w="0" w:type="auto"/>
            <w:tcBorders>
              <w:top w:val="single" w:sz="8" w:space="0" w:color="auto"/>
              <w:left w:val="nil"/>
              <w:bottom w:val="nil"/>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Level of flexible</w:t>
            </w:r>
          </w:p>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adjustment capacity.</w:t>
            </w:r>
          </w:p>
        </w:tc>
        <w:tc>
          <w:tcPr>
            <w:tcW w:w="2528" w:type="dxa"/>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 MW</w:t>
            </w:r>
          </w:p>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(2022)</w:t>
            </w:r>
          </w:p>
        </w:tc>
        <w:tc>
          <w:tcPr>
            <w:tcW w:w="2043" w:type="dxa"/>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5MW</w:t>
            </w:r>
          </w:p>
        </w:tc>
        <w:tc>
          <w:tcPr>
            <w:tcW w:w="0" w:type="auto"/>
            <w:tcBorders>
              <w:top w:val="nil"/>
              <w:left w:val="nil"/>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170 MW</w:t>
            </w:r>
          </w:p>
        </w:tc>
        <w:tc>
          <w:tcPr>
            <w:tcW w:w="0" w:type="auto"/>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color w:val="000000"/>
                <w:sz w:val="18"/>
                <w:szCs w:val="18"/>
              </w:rPr>
            </w:pPr>
          </w:p>
        </w:tc>
      </w:tr>
      <w:tr w:rsidR="00001E51" w:rsidTr="00571EA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0" w:type="auto"/>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1D085D"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Implementation progress - January 2025</w:t>
            </w:r>
          </w:p>
        </w:tc>
      </w:tr>
      <w:tr w:rsidR="00001E51" w:rsidTr="00660DD0">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1055"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660DD0">
        <w:trPr>
          <w:trHeight w:val="6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1055"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7D600D">
        <w:trPr>
          <w:trHeight w:val="3670"/>
        </w:trPr>
        <w:tc>
          <w:tcPr>
            <w:tcW w:w="0" w:type="auto"/>
            <w:tcBorders>
              <w:top w:val="nil"/>
              <w:left w:val="single" w:sz="8" w:space="0" w:color="auto"/>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I.1.1</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Preparation of the pre-feasibility study, feasibility study and technical designs for the battery storage system.</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988" w:type="dxa"/>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1,180,837.00 </w:t>
            </w:r>
          </w:p>
        </w:tc>
        <w:tc>
          <w:tcPr>
            <w:tcW w:w="1055" w:type="dxa"/>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3,078,637.00 </w:t>
            </w:r>
          </w:p>
        </w:tc>
        <w:tc>
          <w:tcPr>
            <w:tcW w:w="988" w:type="dxa"/>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242,079.00 </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Donors</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MCC, ME, KOSTT</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Technical documentation prepared.</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0" w:type="auto"/>
            <w:gridSpan w:val="2"/>
            <w:tcBorders>
              <w:top w:val="nil"/>
              <w:left w:val="nil"/>
              <w:bottom w:val="single" w:sz="8" w:space="0" w:color="auto"/>
              <w:right w:val="single" w:sz="8" w:space="0" w:color="auto"/>
            </w:tcBorders>
            <w:shd w:val="clear" w:color="000000" w:fill="FFFFFF"/>
            <w:vAlign w:val="center"/>
            <w:hideMark/>
          </w:tcPr>
          <w:p w:rsidR="00A242FA" w:rsidRDefault="001E0569" w:rsidP="007D600D">
            <w:pPr>
              <w:spacing w:after="0" w:line="240" w:lineRule="auto"/>
              <w:jc w:val="center"/>
              <w:rPr>
                <w:rFonts w:ascii="Times New Roman" w:hAnsi="Times New Roman" w:cs="Times New Roman"/>
                <w:b/>
                <w:color w:val="000000" w:themeColor="text1"/>
                <w:sz w:val="18"/>
                <w:szCs w:val="18"/>
              </w:rPr>
            </w:pPr>
            <w:r>
              <w:rPr>
                <w:rFonts w:ascii="Times New Roman" w:hAnsi="Times New Roman"/>
                <w:b/>
                <w:color w:val="000000" w:themeColor="text1"/>
                <w:sz w:val="18"/>
                <w:szCs w:val="18"/>
              </w:rPr>
              <w:t>Ninety percent (90%)</w:t>
            </w:r>
          </w:p>
          <w:p w:rsidR="0010393B" w:rsidRPr="00357987" w:rsidRDefault="0010393B" w:rsidP="007D600D">
            <w:pPr>
              <w:spacing w:after="0" w:line="240" w:lineRule="auto"/>
              <w:jc w:val="center"/>
              <w:rPr>
                <w:rFonts w:ascii="Times New Roman" w:hAnsi="Times New Roman" w:cs="Times New Roman"/>
                <w:b/>
                <w:color w:val="000000" w:themeColor="text1"/>
                <w:sz w:val="18"/>
                <w:szCs w:val="18"/>
              </w:rPr>
            </w:pPr>
          </w:p>
          <w:p w:rsidR="00646F44" w:rsidRPr="00657AD6" w:rsidRDefault="001E0569" w:rsidP="008E71F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The draft final design for battery energy storage systems has been prepared, and the draft tender dossier for the energy storage systems has been developed. Additionally, the evaluation of applications for pre-qualification for the tender for the construction of energy storage systems has been drafted.</w:t>
            </w:r>
          </w:p>
        </w:tc>
      </w:tr>
      <w:tr w:rsidR="00001E51" w:rsidTr="007D600D">
        <w:trPr>
          <w:trHeight w:val="2608"/>
        </w:trPr>
        <w:tc>
          <w:tcPr>
            <w:tcW w:w="0" w:type="auto"/>
            <w:tcBorders>
              <w:top w:val="nil"/>
              <w:left w:val="single" w:sz="8" w:space="0" w:color="auto"/>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I.1.2</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Technical and legal support for battery integration - MCC Project</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988" w:type="dxa"/>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1,916,000.00 </w:t>
            </w:r>
          </w:p>
        </w:tc>
        <w:tc>
          <w:tcPr>
            <w:tcW w:w="1055" w:type="dxa"/>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2,034,667.00 </w:t>
            </w:r>
          </w:p>
        </w:tc>
        <w:tc>
          <w:tcPr>
            <w:tcW w:w="988" w:type="dxa"/>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2,045,667.00 </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Donors</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MCC, ME, KOSTT</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Technical documentation prepared.</w:t>
            </w:r>
          </w:p>
        </w:tc>
        <w:tc>
          <w:tcPr>
            <w:tcW w:w="0" w:type="auto"/>
            <w:tcBorders>
              <w:top w:val="nil"/>
              <w:left w:val="nil"/>
              <w:bottom w:val="single" w:sz="8" w:space="0" w:color="auto"/>
              <w:right w:val="single" w:sz="8" w:space="0" w:color="auto"/>
            </w:tcBorders>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0" w:type="auto"/>
            <w:gridSpan w:val="2"/>
            <w:tcBorders>
              <w:top w:val="nil"/>
              <w:left w:val="nil"/>
              <w:bottom w:val="single" w:sz="8" w:space="0" w:color="auto"/>
              <w:right w:val="single" w:sz="8" w:space="0" w:color="auto"/>
            </w:tcBorders>
            <w:shd w:val="clear" w:color="000000" w:fill="FFFFFF"/>
            <w:vAlign w:val="center"/>
            <w:hideMark/>
          </w:tcPr>
          <w:p w:rsidR="00A242FA" w:rsidRDefault="001E0569" w:rsidP="007D600D">
            <w:pPr>
              <w:spacing w:after="0" w:line="240" w:lineRule="auto"/>
              <w:jc w:val="center"/>
              <w:rPr>
                <w:rFonts w:ascii="Times New Roman" w:hAnsi="Times New Roman" w:cs="Times New Roman"/>
                <w:b/>
                <w:color w:val="000000" w:themeColor="text1"/>
                <w:sz w:val="18"/>
                <w:szCs w:val="18"/>
              </w:rPr>
            </w:pPr>
            <w:r>
              <w:rPr>
                <w:rFonts w:ascii="Times New Roman" w:hAnsi="Times New Roman"/>
                <w:b/>
                <w:color w:val="000000" w:themeColor="text1"/>
                <w:sz w:val="18"/>
                <w:szCs w:val="18"/>
              </w:rPr>
              <w:t>Eighty percent (80%)</w:t>
            </w:r>
          </w:p>
          <w:p w:rsidR="008B200B" w:rsidRPr="00357987" w:rsidRDefault="008B200B" w:rsidP="007D600D">
            <w:pPr>
              <w:spacing w:after="0" w:line="240" w:lineRule="auto"/>
              <w:jc w:val="center"/>
              <w:rPr>
                <w:rFonts w:ascii="Times New Roman" w:hAnsi="Times New Roman" w:cs="Times New Roman"/>
                <w:b/>
                <w:color w:val="000000" w:themeColor="text1"/>
                <w:sz w:val="18"/>
                <w:szCs w:val="18"/>
              </w:rPr>
            </w:pPr>
          </w:p>
          <w:p w:rsidR="00646F44" w:rsidRPr="007D600D" w:rsidRDefault="001E0569" w:rsidP="008E71F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Terms of reference and draft Agreements with the Implementing Entities have been prepared for the drafting of secondary legislation enabling the operation of battery energy storage systems.</w:t>
            </w:r>
          </w:p>
        </w:tc>
      </w:tr>
      <w:tr w:rsidR="00001E51" w:rsidTr="007D600D">
        <w:trPr>
          <w:trHeight w:val="97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I.1.3</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Gas Development Master Plan and Environmental Impact Assessment (EIA).</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750,000.00 </w:t>
            </w:r>
          </w:p>
        </w:tc>
        <w:tc>
          <w:tcPr>
            <w:tcW w:w="988"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750,000.00 </w:t>
            </w:r>
          </w:p>
        </w:tc>
        <w:tc>
          <w:tcPr>
            <w:tcW w:w="1055"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988"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WBIF / IPF9</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MESPI, MIET</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Gas Master Plan and Environmental Impact Assessment (EIA) Finalized.</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0" w:type="auto"/>
            <w:gridSpan w:val="2"/>
            <w:tcBorders>
              <w:top w:val="nil"/>
              <w:left w:val="nil"/>
              <w:bottom w:val="single" w:sz="8" w:space="0" w:color="auto"/>
              <w:right w:val="single" w:sz="8" w:space="0" w:color="auto"/>
            </w:tcBorders>
            <w:shd w:val="clear" w:color="000000" w:fill="FFFFFF"/>
            <w:vAlign w:val="center"/>
            <w:hideMark/>
          </w:tcPr>
          <w:p w:rsidR="00646F44" w:rsidRPr="00A242FA" w:rsidRDefault="001E0569" w:rsidP="008E71F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It was completed in 2023.</w:t>
            </w:r>
          </w:p>
        </w:tc>
      </w:tr>
      <w:tr w:rsidR="00001E51" w:rsidTr="007D600D">
        <w:trPr>
          <w:trHeight w:val="97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I.1.4</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Feasibility study for the North Macedonia - Kosovo </w:t>
            </w:r>
            <w:r>
              <w:rPr>
                <w:rFonts w:ascii="Times New Roman" w:hAnsi="Times New Roman"/>
                <w:sz w:val="18"/>
                <w:szCs w:val="18"/>
              </w:rPr>
              <w:lastRenderedPageBreak/>
              <w:t>Interconnection Gas Pipeline.</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2023</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325,000.00 </w:t>
            </w:r>
          </w:p>
        </w:tc>
        <w:tc>
          <w:tcPr>
            <w:tcW w:w="988"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325,000.00 </w:t>
            </w:r>
          </w:p>
        </w:tc>
        <w:tc>
          <w:tcPr>
            <w:tcW w:w="1055"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988"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WBIF/IPF9</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MESPI, MIET</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Feasibility study finalized.</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Energy Strategy for the period </w:t>
            </w:r>
            <w:r>
              <w:rPr>
                <w:rFonts w:ascii="Times New Roman" w:hAnsi="Times New Roman"/>
                <w:sz w:val="18"/>
                <w:szCs w:val="18"/>
              </w:rPr>
              <w:lastRenderedPageBreak/>
              <w:t>2022 - 2031</w:t>
            </w:r>
          </w:p>
        </w:tc>
        <w:tc>
          <w:tcPr>
            <w:tcW w:w="0" w:type="auto"/>
            <w:gridSpan w:val="2"/>
            <w:tcBorders>
              <w:top w:val="nil"/>
              <w:left w:val="nil"/>
              <w:bottom w:val="single" w:sz="8" w:space="0" w:color="auto"/>
              <w:right w:val="single" w:sz="8" w:space="0" w:color="auto"/>
            </w:tcBorders>
            <w:shd w:val="clear" w:color="000000" w:fill="FFFFFF"/>
            <w:vAlign w:val="center"/>
            <w:hideMark/>
          </w:tcPr>
          <w:p w:rsidR="00646F44" w:rsidRPr="00A242FA" w:rsidRDefault="001E0569" w:rsidP="008E71F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lastRenderedPageBreak/>
              <w:t>It was completed in 2023.</w:t>
            </w:r>
          </w:p>
        </w:tc>
      </w:tr>
      <w:tr w:rsidR="00001E51" w:rsidTr="00660DD0">
        <w:trPr>
          <w:trHeight w:val="73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I.1.5</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rPr>
                <w:rFonts w:ascii="Times New Roman" w:eastAsia="Times New Roman" w:hAnsi="Times New Roman" w:cs="Times New Roman"/>
                <w:sz w:val="18"/>
                <w:szCs w:val="18"/>
              </w:rPr>
            </w:pPr>
            <w:r>
              <w:rPr>
                <w:rFonts w:ascii="Times New Roman" w:hAnsi="Times New Roman"/>
                <w:sz w:val="18"/>
                <w:szCs w:val="18"/>
              </w:rPr>
              <w:t>Study for the identification of geothermal energy potential in Kosovo.</w:t>
            </w:r>
          </w:p>
          <w:p w:rsidR="00646F44" w:rsidRPr="00571EAF" w:rsidRDefault="00646F44" w:rsidP="00646F44">
            <w:pPr>
              <w:spacing w:after="0" w:line="240" w:lineRule="auto"/>
              <w:rPr>
                <w:rFonts w:ascii="Times New Roman" w:eastAsia="Times New Roman" w:hAnsi="Times New Roman" w:cs="Times New Roman"/>
                <w:sz w:val="18"/>
                <w:szCs w:val="18"/>
              </w:rPr>
            </w:pPr>
          </w:p>
          <w:p w:rsidR="00646F44" w:rsidRPr="00571EAF" w:rsidRDefault="00646F44" w:rsidP="00646F44">
            <w:pPr>
              <w:spacing w:after="0" w:line="240" w:lineRule="auto"/>
              <w:rPr>
                <w:rFonts w:ascii="Times New Roman" w:eastAsia="Times New Roman" w:hAnsi="Times New Roman" w:cs="Times New Roman"/>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988"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055"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988" w:type="dxa"/>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750,000.00 </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Feasibility study finalized.</w:t>
            </w:r>
          </w:p>
        </w:tc>
        <w:tc>
          <w:tcPr>
            <w:tcW w:w="0" w:type="auto"/>
            <w:tcBorders>
              <w:top w:val="nil"/>
              <w:left w:val="nil"/>
              <w:bottom w:val="single" w:sz="8" w:space="0" w:color="auto"/>
              <w:right w:val="single" w:sz="8" w:space="0" w:color="auto"/>
            </w:tcBorders>
            <w:shd w:val="clear" w:color="000000" w:fill="FFFFFF"/>
            <w:vAlign w:val="center"/>
            <w:hideMark/>
          </w:tcPr>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w:t>
            </w:r>
          </w:p>
          <w:p w:rsidR="00646F44" w:rsidRPr="00571EAF" w:rsidRDefault="001E0569" w:rsidP="00646F44">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2022 - 2031 </w:t>
            </w:r>
          </w:p>
        </w:tc>
        <w:tc>
          <w:tcPr>
            <w:tcW w:w="0" w:type="auto"/>
            <w:gridSpan w:val="2"/>
            <w:tcBorders>
              <w:top w:val="nil"/>
              <w:left w:val="nil"/>
              <w:bottom w:val="single" w:sz="8" w:space="0" w:color="auto"/>
              <w:right w:val="single" w:sz="8" w:space="0" w:color="auto"/>
            </w:tcBorders>
            <w:shd w:val="clear" w:color="000000" w:fill="FFFFFF"/>
            <w:noWrap/>
            <w:vAlign w:val="bottom"/>
            <w:hideMark/>
          </w:tcPr>
          <w:p w:rsidR="00646F44" w:rsidRPr="0042495A" w:rsidRDefault="001E0569" w:rsidP="00646F44">
            <w:pPr>
              <w:spacing w:after="0" w:line="240" w:lineRule="auto"/>
              <w:rPr>
                <w:rFonts w:ascii="Times New Roman" w:eastAsia="Times New Roman" w:hAnsi="Times New Roman" w:cs="Times New Roman"/>
                <w:sz w:val="20"/>
                <w:szCs w:val="20"/>
              </w:rPr>
            </w:pPr>
            <w:r>
              <w:rPr>
                <w:rFonts w:ascii="Calibri" w:hAnsi="Calibri"/>
                <w:color w:val="000000"/>
              </w:rPr>
              <w:t> </w:t>
            </w:r>
          </w:p>
        </w:tc>
      </w:tr>
      <w:tr w:rsidR="00001E51" w:rsidTr="00571EAF">
        <w:trPr>
          <w:trHeight w:val="315"/>
        </w:trPr>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I.2</w:t>
            </w:r>
          </w:p>
        </w:tc>
        <w:tc>
          <w:tcPr>
            <w:tcW w:w="0" w:type="auto"/>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Network modernization and grid loss reduction</w:t>
            </w:r>
          </w:p>
        </w:tc>
        <w:tc>
          <w:tcPr>
            <w:tcW w:w="0" w:type="auto"/>
            <w:gridSpan w:val="2"/>
            <w:tcBorders>
              <w:top w:val="nil"/>
              <w:left w:val="nil"/>
              <w:bottom w:val="nil"/>
              <w:right w:val="single" w:sz="8" w:space="0" w:color="auto"/>
            </w:tcBorders>
            <w:noWrap/>
            <w:vAlign w:val="bottom"/>
            <w:hideMark/>
          </w:tcPr>
          <w:p w:rsidR="00571EAF" w:rsidRPr="00571EAF" w:rsidRDefault="001E0569" w:rsidP="00571EAF">
            <w:pPr>
              <w:spacing w:after="0" w:line="240" w:lineRule="auto"/>
              <w:rPr>
                <w:rFonts w:ascii="Calibri" w:eastAsia="Times New Roman" w:hAnsi="Calibri" w:cs="Calibri"/>
              </w:rPr>
            </w:pPr>
            <w:r>
              <w:rPr>
                <w:rFonts w:ascii="Calibri" w:hAnsi="Calibri"/>
              </w:rPr>
              <w:t> </w:t>
            </w:r>
          </w:p>
        </w:tc>
      </w:tr>
      <w:tr w:rsidR="00001E51" w:rsidTr="00660DD0">
        <w:trPr>
          <w:trHeight w:val="735"/>
        </w:trPr>
        <w:tc>
          <w:tcPr>
            <w:tcW w:w="0" w:type="auto"/>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w:t>
            </w:r>
          </w:p>
        </w:tc>
        <w:tc>
          <w:tcPr>
            <w:tcW w:w="0" w:type="auto"/>
            <w:tcBorders>
              <w:top w:val="nil"/>
              <w:left w:val="nil"/>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2528" w:type="dxa"/>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2043" w:type="dxa"/>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0" w:type="auto"/>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0" w:type="auto"/>
            <w:gridSpan w:val="2"/>
            <w:tcBorders>
              <w:top w:val="nil"/>
              <w:left w:val="nil"/>
              <w:bottom w:val="nil"/>
              <w:right w:val="single" w:sz="8" w:space="0" w:color="auto"/>
            </w:tcBorders>
            <w:noWrap/>
            <w:vAlign w:val="bottom"/>
            <w:hideMark/>
          </w:tcPr>
          <w:p w:rsidR="00571EAF" w:rsidRPr="00571EAF" w:rsidRDefault="001E0569" w:rsidP="00571EAF">
            <w:pPr>
              <w:spacing w:after="0" w:line="240" w:lineRule="auto"/>
              <w:rPr>
                <w:rFonts w:ascii="Calibri" w:eastAsia="Times New Roman" w:hAnsi="Calibri" w:cs="Calibri"/>
              </w:rPr>
            </w:pPr>
            <w:r>
              <w:rPr>
                <w:rFonts w:ascii="Calibri" w:hAnsi="Calibri"/>
              </w:rPr>
              <w:t> </w:t>
            </w:r>
          </w:p>
        </w:tc>
      </w:tr>
      <w:tr w:rsidR="00001E51" w:rsidTr="00660DD0">
        <w:trPr>
          <w:trHeight w:val="315"/>
        </w:trPr>
        <w:tc>
          <w:tcPr>
            <w:tcW w:w="0" w:type="auto"/>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Distribution losses</w:t>
            </w:r>
          </w:p>
        </w:tc>
        <w:tc>
          <w:tcPr>
            <w:tcW w:w="2528" w:type="dxa"/>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18.48%  [2021]</w:t>
            </w:r>
          </w:p>
        </w:tc>
        <w:tc>
          <w:tcPr>
            <w:tcW w:w="2043" w:type="dxa"/>
            <w:gridSpan w:val="2"/>
            <w:tcBorders>
              <w:top w:val="single" w:sz="8" w:space="0" w:color="auto"/>
              <w:left w:val="nil"/>
              <w:bottom w:val="single" w:sz="8" w:space="0" w:color="auto"/>
              <w:right w:val="single" w:sz="8" w:space="0" w:color="000000"/>
            </w:tcBorders>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13.3 %</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9%</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0" w:type="auto"/>
            <w:gridSpan w:val="2"/>
            <w:tcBorders>
              <w:top w:val="nil"/>
              <w:left w:val="nil"/>
              <w:bottom w:val="nil"/>
              <w:right w:val="single" w:sz="8" w:space="0" w:color="auto"/>
            </w:tcBorders>
            <w:noWrap/>
            <w:vAlign w:val="bottom"/>
            <w:hideMark/>
          </w:tcPr>
          <w:p w:rsidR="00571EAF" w:rsidRPr="00571EAF" w:rsidRDefault="001E0569" w:rsidP="00571EAF">
            <w:pPr>
              <w:spacing w:after="0" w:line="240" w:lineRule="auto"/>
              <w:rPr>
                <w:rFonts w:ascii="Calibri" w:eastAsia="Times New Roman" w:hAnsi="Calibri" w:cs="Calibri"/>
              </w:rPr>
            </w:pPr>
            <w:r>
              <w:rPr>
                <w:rFonts w:ascii="Calibri" w:hAnsi="Calibri"/>
              </w:rPr>
              <w:t> </w:t>
            </w:r>
          </w:p>
        </w:tc>
      </w:tr>
      <w:tr w:rsidR="00001E51" w:rsidTr="00660DD0">
        <w:trPr>
          <w:trHeight w:val="735"/>
        </w:trPr>
        <w:tc>
          <w:tcPr>
            <w:tcW w:w="0" w:type="auto"/>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w:t>
            </w:r>
          </w:p>
        </w:tc>
        <w:tc>
          <w:tcPr>
            <w:tcW w:w="0" w:type="auto"/>
            <w:tcBorders>
              <w:top w:val="nil"/>
              <w:left w:val="nil"/>
              <w:bottom w:val="single" w:sz="8" w:space="0" w:color="auto"/>
              <w:right w:val="single" w:sz="8" w:space="0" w:color="auto"/>
            </w:tcBorders>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The amount of variable RES capacity that the grid is able to accommodate/integrate</w:t>
            </w:r>
          </w:p>
        </w:tc>
        <w:tc>
          <w:tcPr>
            <w:tcW w:w="2528" w:type="dxa"/>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147 MW [2021]</w:t>
            </w:r>
          </w:p>
        </w:tc>
        <w:tc>
          <w:tcPr>
            <w:tcW w:w="2043" w:type="dxa"/>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500 MW</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2000 MW</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0" w:type="auto"/>
            <w:gridSpan w:val="2"/>
            <w:tcBorders>
              <w:top w:val="nil"/>
              <w:left w:val="nil"/>
              <w:bottom w:val="nil"/>
              <w:right w:val="single" w:sz="8" w:space="0" w:color="auto"/>
            </w:tcBorders>
            <w:noWrap/>
            <w:vAlign w:val="bottom"/>
            <w:hideMark/>
          </w:tcPr>
          <w:p w:rsidR="00571EAF" w:rsidRPr="00571EAF" w:rsidRDefault="001E0569" w:rsidP="00571EAF">
            <w:pPr>
              <w:spacing w:after="0" w:line="240" w:lineRule="auto"/>
              <w:rPr>
                <w:rFonts w:ascii="Calibri" w:eastAsia="Times New Roman" w:hAnsi="Calibri" w:cs="Calibri"/>
              </w:rPr>
            </w:pPr>
            <w:r>
              <w:rPr>
                <w:rFonts w:ascii="Calibri" w:hAnsi="Calibri"/>
              </w:rPr>
              <w:t> </w:t>
            </w:r>
          </w:p>
        </w:tc>
      </w:tr>
      <w:tr w:rsidR="00001E51" w:rsidTr="00571EAF">
        <w:trPr>
          <w:trHeight w:val="315"/>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0" w:type="auto"/>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4A5EF7" w:rsidRDefault="001E0569" w:rsidP="00571EAF">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Implementation progress - January 2025</w:t>
            </w:r>
          </w:p>
        </w:tc>
      </w:tr>
      <w:tr w:rsidR="00001E51" w:rsidTr="00660DD0">
        <w:trPr>
          <w:trHeight w:val="300"/>
        </w:trPr>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1055"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660DD0">
        <w:trPr>
          <w:trHeight w:val="720"/>
        </w:trPr>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1055"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A835FC">
        <w:trPr>
          <w:trHeight w:val="990"/>
        </w:trPr>
        <w:tc>
          <w:tcPr>
            <w:tcW w:w="0" w:type="auto"/>
            <w:tcBorders>
              <w:top w:val="nil"/>
              <w:left w:val="single" w:sz="8" w:space="0" w:color="auto"/>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I.2.1</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System development (SCADA &amp; Telecommunications).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988"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5,684,923.33 </w:t>
            </w:r>
          </w:p>
        </w:tc>
        <w:tc>
          <w:tcPr>
            <w:tcW w:w="1055"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4,063,814.93 </w:t>
            </w:r>
          </w:p>
        </w:tc>
        <w:tc>
          <w:tcPr>
            <w:tcW w:w="988"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1,863,702.50 </w:t>
            </w:r>
          </w:p>
        </w:tc>
        <w:tc>
          <w:tcPr>
            <w:tcW w:w="0" w:type="auto"/>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KOSTT </w:t>
            </w:r>
          </w:p>
        </w:tc>
        <w:tc>
          <w:tcPr>
            <w:tcW w:w="0" w:type="auto"/>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KOSTT </w:t>
            </w:r>
          </w:p>
        </w:tc>
        <w:tc>
          <w:tcPr>
            <w:tcW w:w="0" w:type="auto"/>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ENTSO-E requirements have been met.</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0" w:type="auto"/>
            <w:gridSpan w:val="2"/>
            <w:vMerge w:val="restart"/>
            <w:tcBorders>
              <w:top w:val="single" w:sz="8" w:space="0" w:color="auto"/>
              <w:left w:val="single" w:sz="8" w:space="0" w:color="auto"/>
              <w:bottom w:val="nil"/>
              <w:right w:val="nil"/>
            </w:tcBorders>
            <w:vAlign w:val="center"/>
            <w:hideMark/>
          </w:tcPr>
          <w:p w:rsidR="00A242FA" w:rsidRPr="00357987" w:rsidRDefault="001E0569" w:rsidP="00A835FC">
            <w:pPr>
              <w:spacing w:after="0" w:line="240" w:lineRule="auto"/>
              <w:rPr>
                <w:rFonts w:ascii="Times New Roman" w:hAnsi="Times New Roman" w:cs="Times New Roman"/>
                <w:b/>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Ten percent</w:t>
            </w:r>
            <w:r>
              <w:rPr>
                <w:rFonts w:ascii="Times New Roman" w:hAnsi="Times New Roman"/>
                <w:color w:val="000000" w:themeColor="text1"/>
                <w:sz w:val="18"/>
                <w:szCs w:val="18"/>
              </w:rPr>
              <w:t xml:space="preserve">  </w:t>
            </w:r>
            <w:r>
              <w:rPr>
                <w:rFonts w:ascii="Times New Roman" w:hAnsi="Times New Roman"/>
                <w:b/>
                <w:color w:val="000000" w:themeColor="text1"/>
                <w:sz w:val="18"/>
                <w:szCs w:val="18"/>
              </w:rPr>
              <w:t>(10%)</w:t>
            </w:r>
          </w:p>
          <w:p w:rsidR="00660DD0" w:rsidRPr="00A242FA" w:rsidRDefault="001E0569" w:rsidP="008E71F6">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This project belongs to the group of projects to be implemented with the German KfW Bank, Phase VII. The consultancy services contract was signed on 26 November 2024 for the preparation of the technical specification and tender dossier. The final Inception Report and the draft Upcoming Open Calls document have been prepared.</w:t>
            </w:r>
          </w:p>
          <w:p w:rsidR="007D600D" w:rsidRPr="00A242FA" w:rsidRDefault="007D600D" w:rsidP="008E71F6">
            <w:pPr>
              <w:spacing w:after="0" w:line="240" w:lineRule="auto"/>
              <w:jc w:val="both"/>
              <w:rPr>
                <w:rFonts w:ascii="Times New Roman" w:eastAsia="Times New Roman" w:hAnsi="Times New Roman" w:cs="Times New Roman"/>
                <w:color w:val="000000" w:themeColor="text1"/>
                <w:sz w:val="18"/>
                <w:szCs w:val="18"/>
              </w:rPr>
            </w:pPr>
          </w:p>
          <w:p w:rsidR="007D600D" w:rsidRDefault="007D600D" w:rsidP="008E71F6">
            <w:pPr>
              <w:spacing w:after="0" w:line="240" w:lineRule="auto"/>
              <w:jc w:val="both"/>
              <w:rPr>
                <w:rFonts w:ascii="Times New Roman" w:eastAsia="Times New Roman" w:hAnsi="Times New Roman" w:cs="Times New Roman"/>
                <w:sz w:val="18"/>
                <w:szCs w:val="18"/>
              </w:rPr>
            </w:pPr>
          </w:p>
          <w:p w:rsidR="007D600D" w:rsidRPr="00A527AA" w:rsidRDefault="001E0569" w:rsidP="00A835FC">
            <w:pPr>
              <w:spacing w:after="0" w:line="240" w:lineRule="auto"/>
              <w:rPr>
                <w:rFonts w:ascii="Times New Roman" w:eastAsia="Times New Roman" w:hAnsi="Times New Roman" w:cs="Times New Roman"/>
                <w:b/>
                <w:bCs/>
                <w:sz w:val="18"/>
                <w:szCs w:val="18"/>
              </w:rPr>
            </w:pPr>
            <w:r>
              <w:rPr>
                <w:rFonts w:ascii="Times New Roman" w:hAnsi="Times New Roman"/>
                <w:sz w:val="18"/>
                <w:szCs w:val="18"/>
              </w:rPr>
              <w:t xml:space="preserve">              </w:t>
            </w:r>
            <w:r>
              <w:rPr>
                <w:rFonts w:ascii="Times New Roman" w:hAnsi="Times New Roman"/>
                <w:b/>
                <w:bCs/>
                <w:sz w:val="18"/>
                <w:szCs w:val="18"/>
              </w:rPr>
              <w:t>Ten percent (10%)</w:t>
            </w:r>
          </w:p>
          <w:p w:rsidR="00A527AA" w:rsidRPr="00A242FA" w:rsidRDefault="00A527AA" w:rsidP="00A835FC">
            <w:pPr>
              <w:spacing w:after="0" w:line="240" w:lineRule="auto"/>
              <w:rPr>
                <w:rFonts w:ascii="Times New Roman" w:eastAsia="Times New Roman" w:hAnsi="Times New Roman" w:cs="Times New Roman"/>
                <w:b/>
                <w:sz w:val="18"/>
                <w:szCs w:val="18"/>
              </w:rPr>
            </w:pPr>
          </w:p>
          <w:p w:rsidR="007D600D" w:rsidRPr="00A242FA" w:rsidRDefault="001E0569" w:rsidP="008E71F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This project belongs to the group of projects to be implemented with the German KfW Bank, Phase VII. The consultancy services contract was signed on 26 November 2024 for the preparation of the technical specification and tender dossier. The final Inception Report and the draft Upcoming Open Calls document have been prepared.</w:t>
            </w:r>
          </w:p>
          <w:p w:rsidR="007D600D" w:rsidRPr="007D600D" w:rsidRDefault="007D600D" w:rsidP="00A835FC">
            <w:pPr>
              <w:spacing w:after="0" w:line="240" w:lineRule="auto"/>
              <w:rPr>
                <w:rFonts w:ascii="Times New Roman" w:eastAsia="Times New Roman" w:hAnsi="Times New Roman" w:cs="Times New Roman"/>
                <w:sz w:val="18"/>
                <w:szCs w:val="18"/>
              </w:rPr>
            </w:pPr>
          </w:p>
          <w:p w:rsidR="00660DD0" w:rsidRPr="007D600D" w:rsidRDefault="00660DD0" w:rsidP="00A835FC">
            <w:pPr>
              <w:spacing w:after="0" w:line="240" w:lineRule="auto"/>
              <w:rPr>
                <w:rFonts w:ascii="Times New Roman" w:eastAsia="Times New Roman" w:hAnsi="Times New Roman" w:cs="Times New Roman"/>
                <w:sz w:val="18"/>
                <w:szCs w:val="18"/>
              </w:rPr>
            </w:pPr>
          </w:p>
        </w:tc>
      </w:tr>
      <w:tr w:rsidR="00001E51" w:rsidTr="00A835FC">
        <w:trPr>
          <w:trHeight w:val="735"/>
        </w:trPr>
        <w:tc>
          <w:tcPr>
            <w:tcW w:w="0" w:type="auto"/>
            <w:tcBorders>
              <w:top w:val="single" w:sz="8" w:space="0" w:color="auto"/>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I.2.2</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Strengthening and rehabilitating the existing electricity grid (TSO)</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single" w:sz="8" w:space="0" w:color="auto"/>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€ 2,400,000.00 </w:t>
            </w:r>
          </w:p>
        </w:tc>
        <w:tc>
          <w:tcPr>
            <w:tcW w:w="988"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2,260,000.00 </w:t>
            </w:r>
          </w:p>
        </w:tc>
        <w:tc>
          <w:tcPr>
            <w:tcW w:w="1055"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1,063,542.37 </w:t>
            </w:r>
          </w:p>
        </w:tc>
        <w:tc>
          <w:tcPr>
            <w:tcW w:w="988"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1,354,203.39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KOSTT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KOSTT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Increasing grid reliability and security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0" w:type="auto"/>
            <w:gridSpan w:val="2"/>
            <w:vMerge/>
            <w:tcBorders>
              <w:top w:val="single" w:sz="8" w:space="0" w:color="auto"/>
              <w:left w:val="single" w:sz="8" w:space="0" w:color="auto"/>
              <w:bottom w:val="nil"/>
              <w:right w:val="nil"/>
            </w:tcBorders>
            <w:vAlign w:val="center"/>
            <w:hideMark/>
          </w:tcPr>
          <w:p w:rsidR="00660DD0" w:rsidRPr="00571EAF" w:rsidRDefault="00660DD0" w:rsidP="00A835FC">
            <w:pPr>
              <w:spacing w:after="0" w:line="240" w:lineRule="auto"/>
              <w:rPr>
                <w:rFonts w:ascii="Times New Roman" w:eastAsia="Times New Roman" w:hAnsi="Times New Roman" w:cs="Times New Roman"/>
                <w:sz w:val="18"/>
                <w:szCs w:val="18"/>
              </w:rPr>
            </w:pPr>
          </w:p>
        </w:tc>
      </w:tr>
      <w:tr w:rsidR="00001E51" w:rsidTr="00A835FC">
        <w:trPr>
          <w:trHeight w:val="1455"/>
        </w:trPr>
        <w:tc>
          <w:tcPr>
            <w:tcW w:w="0" w:type="auto"/>
            <w:tcBorders>
              <w:top w:val="nil"/>
              <w:left w:val="single" w:sz="8" w:space="0" w:color="auto"/>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I.2.3</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Construction of new transmission and transformer capacities – Variable shunt reactor (100 MVAr).</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tcBorders>
              <w:top w:val="nil"/>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 €                       -   </w:t>
            </w:r>
          </w:p>
        </w:tc>
        <w:tc>
          <w:tcPr>
            <w:tcW w:w="988"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1,000,000.00 </w:t>
            </w:r>
          </w:p>
        </w:tc>
        <w:tc>
          <w:tcPr>
            <w:tcW w:w="1055"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988" w:type="dxa"/>
            <w:tcBorders>
              <w:top w:val="nil"/>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3,449,152.54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KOSTT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KOSTT</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Increasing grid reliability and security. Fulfillment of Grid Code requirements.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0" w:type="auto"/>
            <w:gridSpan w:val="2"/>
            <w:vMerge/>
            <w:tcBorders>
              <w:top w:val="single" w:sz="8" w:space="0" w:color="auto"/>
              <w:left w:val="single" w:sz="8" w:space="0" w:color="auto"/>
              <w:bottom w:val="nil"/>
              <w:right w:val="nil"/>
            </w:tcBorders>
            <w:vAlign w:val="center"/>
            <w:hideMark/>
          </w:tcPr>
          <w:p w:rsidR="00660DD0" w:rsidRPr="00571EAF" w:rsidRDefault="00660DD0" w:rsidP="00A835FC">
            <w:pPr>
              <w:spacing w:after="0" w:line="240" w:lineRule="auto"/>
              <w:rPr>
                <w:rFonts w:ascii="Times New Roman" w:eastAsia="Times New Roman" w:hAnsi="Times New Roman" w:cs="Times New Roman"/>
                <w:sz w:val="18"/>
                <w:szCs w:val="18"/>
              </w:rPr>
            </w:pPr>
          </w:p>
        </w:tc>
      </w:tr>
      <w:tr w:rsidR="00001E51" w:rsidTr="00A835FC">
        <w:trPr>
          <w:trHeight w:val="2968"/>
        </w:trPr>
        <w:tc>
          <w:tcPr>
            <w:tcW w:w="0" w:type="auto"/>
            <w:tcBorders>
              <w:top w:val="single" w:sz="8" w:space="0" w:color="auto"/>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I.2.4</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Load support/New 110/10 (20) kV nodes (TSO&amp; DSO) (SS Katrioti - Ferizaj 3 and TS Malisheva) (SS Katrioti - Ferizaj 3 and TS Malisheva.</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€ 3,000,000.00 </w:t>
            </w:r>
          </w:p>
        </w:tc>
        <w:tc>
          <w:tcPr>
            <w:tcW w:w="988"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5,061,277.00 </w:t>
            </w:r>
          </w:p>
        </w:tc>
        <w:tc>
          <w:tcPr>
            <w:tcW w:w="1055"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10,094,931.52 </w:t>
            </w:r>
          </w:p>
        </w:tc>
        <w:tc>
          <w:tcPr>
            <w:tcW w:w="988" w:type="dxa"/>
            <w:tcBorders>
              <w:top w:val="single" w:sz="8" w:space="0" w:color="auto"/>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KOSTT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KOSTT</w:t>
            </w:r>
          </w:p>
        </w:tc>
        <w:tc>
          <w:tcPr>
            <w:tcW w:w="0" w:type="auto"/>
            <w:tcBorders>
              <w:top w:val="nil"/>
              <w:left w:val="nil"/>
              <w:bottom w:val="single" w:sz="8" w:space="0" w:color="auto"/>
              <w:right w:val="single" w:sz="8" w:space="0" w:color="auto"/>
            </w:tcBorders>
            <w:shd w:val="clear" w:color="000000" w:fill="FFFFFF"/>
            <w:vAlign w:val="center"/>
            <w:hideMark/>
          </w:tcPr>
          <w:p w:rsidR="00660DD0"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Reduction of energy losses and unserved power.</w:t>
            </w:r>
          </w:p>
          <w:p w:rsidR="00660DD0" w:rsidRPr="00571EAF" w:rsidRDefault="00660DD0" w:rsidP="00660DD0">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0" w:type="auto"/>
            <w:gridSpan w:val="2"/>
            <w:tcBorders>
              <w:top w:val="single" w:sz="8" w:space="0" w:color="auto"/>
              <w:left w:val="single" w:sz="8" w:space="0" w:color="auto"/>
              <w:bottom w:val="nil"/>
              <w:right w:val="nil"/>
            </w:tcBorders>
            <w:vAlign w:val="center"/>
            <w:hideMark/>
          </w:tcPr>
          <w:p w:rsidR="00ED22A4" w:rsidRDefault="001E0569" w:rsidP="00A835FC">
            <w:pPr>
              <w:spacing w:after="0" w:line="240" w:lineRule="auto"/>
              <w:rPr>
                <w:rFonts w:ascii="Times New Roman" w:hAnsi="Times New Roman" w:cs="Times New Roman"/>
                <w:b/>
                <w:color w:val="000000" w:themeColor="text1"/>
                <w:sz w:val="18"/>
                <w:szCs w:val="18"/>
              </w:rPr>
            </w:pPr>
            <w:r>
              <w:rPr>
                <w:rFonts w:ascii="Times New Roman" w:hAnsi="Times New Roman"/>
                <w:b/>
                <w:color w:val="000000" w:themeColor="text1"/>
                <w:sz w:val="18"/>
                <w:szCs w:val="18"/>
              </w:rPr>
              <w:t>Eighty-five percent (85%)</w:t>
            </w:r>
          </w:p>
          <w:p w:rsidR="00415F9B" w:rsidRPr="00ED22A4" w:rsidRDefault="00415F9B" w:rsidP="00A835FC">
            <w:pPr>
              <w:spacing w:after="0" w:line="240" w:lineRule="auto"/>
              <w:rPr>
                <w:rFonts w:ascii="Times New Roman" w:hAnsi="Times New Roman" w:cs="Times New Roman"/>
                <w:b/>
                <w:color w:val="000000" w:themeColor="text1"/>
                <w:sz w:val="18"/>
                <w:szCs w:val="18"/>
              </w:rPr>
            </w:pP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1. The “Construction of the 110/35/10(20) kV Ferizaj 3 Substation” project has been completed. </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 </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2. In accordance with the applicable laws, the design for the Malisheva Substation has been prepared by the design company, construction conditions have been obtained, and the building permit from the MESPI is still pending. The technical specifications have been prepared and the tendering period has been opened.</w:t>
            </w:r>
          </w:p>
        </w:tc>
      </w:tr>
      <w:tr w:rsidR="00001E51" w:rsidTr="00A835FC">
        <w:trPr>
          <w:trHeight w:val="1890"/>
        </w:trPr>
        <w:tc>
          <w:tcPr>
            <w:tcW w:w="0" w:type="auto"/>
            <w:tcBorders>
              <w:top w:val="nil"/>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I.2.5</w:t>
            </w:r>
          </w:p>
        </w:tc>
        <w:tc>
          <w:tcPr>
            <w:tcW w:w="0" w:type="auto"/>
            <w:tcBorders>
              <w:top w:val="nil"/>
              <w:left w:val="nil"/>
              <w:bottom w:val="nil"/>
              <w:right w:val="nil"/>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Medium Voltage</w:t>
            </w:r>
          </w:p>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Projects 35/10(20) kV</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€ 9,247,735.33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13,216,444.00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8,800,613.00 </w:t>
            </w:r>
          </w:p>
        </w:tc>
        <w:tc>
          <w:tcPr>
            <w:tcW w:w="988" w:type="dxa"/>
            <w:tcBorders>
              <w:top w:val="single" w:sz="8" w:space="0" w:color="auto"/>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7,232,203.00 </w:t>
            </w:r>
          </w:p>
        </w:tc>
        <w:tc>
          <w:tcPr>
            <w:tcW w:w="0" w:type="auto"/>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Improving the quality of electricity supply.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and Investment Plan of the Distributi</w:t>
            </w:r>
            <w:r>
              <w:rPr>
                <w:rFonts w:ascii="Times New Roman" w:hAnsi="Times New Roman"/>
                <w:sz w:val="18"/>
                <w:szCs w:val="18"/>
              </w:rPr>
              <w:lastRenderedPageBreak/>
              <w:t>on System Operator for the period 2023-2027</w:t>
            </w:r>
          </w:p>
        </w:tc>
        <w:tc>
          <w:tcPr>
            <w:tcW w:w="0" w:type="auto"/>
            <w:gridSpan w:val="2"/>
            <w:tcBorders>
              <w:top w:val="single" w:sz="8" w:space="0" w:color="auto"/>
              <w:left w:val="single" w:sz="8" w:space="0" w:color="auto"/>
              <w:bottom w:val="single" w:sz="8" w:space="0" w:color="auto"/>
              <w:right w:val="nil"/>
            </w:tcBorders>
            <w:vAlign w:val="center"/>
            <w:hideMark/>
          </w:tcPr>
          <w:p w:rsidR="00ED22A4" w:rsidRPr="00ED22A4" w:rsidRDefault="001E0569" w:rsidP="00A835FC">
            <w:pPr>
              <w:spacing w:after="0" w:line="240" w:lineRule="auto"/>
              <w:rPr>
                <w:rFonts w:ascii="Times New Roman" w:hAnsi="Times New Roman" w:cs="Times New Roman"/>
                <w:b/>
                <w:color w:val="000000" w:themeColor="text1"/>
                <w:sz w:val="18"/>
                <w:szCs w:val="18"/>
              </w:rPr>
            </w:pPr>
            <w:r>
              <w:rPr>
                <w:rFonts w:ascii="Times New Roman" w:hAnsi="Times New Roman"/>
                <w:b/>
                <w:color w:val="000000" w:themeColor="text1"/>
                <w:sz w:val="18"/>
                <w:szCs w:val="18"/>
              </w:rPr>
              <w:lastRenderedPageBreak/>
              <w:t>Sixty-two percent (62%)</w:t>
            </w:r>
          </w:p>
          <w:p w:rsidR="00E07348" w:rsidRPr="00ED22A4" w:rsidRDefault="001E0569" w:rsidP="00A835FC">
            <w:p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4,507,520.08 €   </w:t>
            </w:r>
          </w:p>
          <w:p w:rsidR="00660DD0" w:rsidRPr="007D600D" w:rsidRDefault="00660DD0" w:rsidP="00702F96">
            <w:pPr>
              <w:spacing w:after="0" w:line="240" w:lineRule="auto"/>
              <w:jc w:val="both"/>
              <w:rPr>
                <w:rFonts w:ascii="Times New Roman" w:eastAsia="Times New Roman" w:hAnsi="Times New Roman" w:cs="Times New Roman"/>
                <w:sz w:val="18"/>
                <w:szCs w:val="18"/>
              </w:rPr>
            </w:pP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The planned investment projects at the medium-voltage level have been designed to ensure a safe and uninterrupted electricity supply for consumers. In 2025, investment projects in the medium-voltage grid have been implemented across almost the entire territory of the country, with particular focus on the </w:t>
            </w:r>
            <w:r>
              <w:rPr>
                <w:rFonts w:ascii="Times New Roman" w:hAnsi="Times New Roman"/>
                <w:color w:val="000000" w:themeColor="text1"/>
                <w:sz w:val="18"/>
                <w:szCs w:val="18"/>
              </w:rPr>
              <w:lastRenderedPageBreak/>
              <w:t xml:space="preserve">regions of Prishtina, Drenas, Fushe Kosova, Podujeva, Gjakova, Malisheva, Rahovec, Peja, Deçan, Ferizaj, Prizren, Suhareka, Vita and Vushtrri. Significant progress has been achieved so far in implementing these projects. </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The benefits of these projects include:</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Ensuring and improving the quality of electricity supply;</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Eliminating bottlenecks;</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Reducing technical losses;</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Improving voltage drops for end consumers;</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Increasing transmission capacities (new outlets) in relation to load growth;</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Rehabilitation and modernization of lines and substations/facilities;</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Topological rehabilitation of lines due to aging and risk factors;</w:t>
            </w:r>
          </w:p>
          <w:p w:rsidR="00660DD0" w:rsidRPr="007D600D"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Preparing lines for transition to the 20 kV level.</w:t>
            </w:r>
          </w:p>
        </w:tc>
      </w:tr>
      <w:tr w:rsidR="00001E51" w:rsidTr="00A835FC">
        <w:trPr>
          <w:trHeight w:val="700"/>
        </w:trPr>
        <w:tc>
          <w:tcPr>
            <w:tcW w:w="0" w:type="auto"/>
            <w:tcBorders>
              <w:top w:val="nil"/>
              <w:left w:val="single" w:sz="8" w:space="0" w:color="auto"/>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I.2.6</w:t>
            </w:r>
          </w:p>
        </w:tc>
        <w:tc>
          <w:tcPr>
            <w:tcW w:w="0" w:type="auto"/>
            <w:tcBorders>
              <w:top w:val="single" w:sz="8" w:space="0" w:color="auto"/>
              <w:left w:val="nil"/>
              <w:bottom w:val="nil"/>
              <w:right w:val="nil"/>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Low Voltage </w:t>
            </w:r>
          </w:p>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Projects 0.4 kV</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€ 6,086,381.41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7,025,149.00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13,795,229.00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9,677,563.00 </w:t>
            </w:r>
          </w:p>
        </w:tc>
        <w:tc>
          <w:tcPr>
            <w:tcW w:w="0" w:type="auto"/>
            <w:tcBorders>
              <w:top w:val="single" w:sz="8" w:space="0" w:color="auto"/>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single" w:sz="8" w:space="0" w:color="auto"/>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Improving the quality of electricity supply.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and Investment Plan of the Distribution System Operator for the period 2023-2027</w:t>
            </w:r>
          </w:p>
        </w:tc>
        <w:tc>
          <w:tcPr>
            <w:tcW w:w="0" w:type="auto"/>
            <w:gridSpan w:val="2"/>
            <w:tcBorders>
              <w:top w:val="nil"/>
              <w:left w:val="single" w:sz="8" w:space="0" w:color="auto"/>
              <w:bottom w:val="single" w:sz="8" w:space="0" w:color="auto"/>
              <w:right w:val="nil"/>
            </w:tcBorders>
            <w:vAlign w:val="center"/>
            <w:hideMark/>
          </w:tcPr>
          <w:p w:rsidR="00ED22A4" w:rsidRPr="005311F7" w:rsidRDefault="001E0569" w:rsidP="00A835FC">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Thirty-five percent (35%)</w:t>
            </w:r>
          </w:p>
          <w:p w:rsidR="005311F7" w:rsidRPr="00ED22A4" w:rsidRDefault="001E0569" w:rsidP="00A835FC">
            <w:pPr>
              <w:spacing w:after="0" w:line="240" w:lineRule="auto"/>
              <w:rPr>
                <w:rFonts w:ascii="Times New Roman" w:hAnsi="Times New Roman" w:cs="Times New Roman"/>
                <w:b/>
                <w:color w:val="000000" w:themeColor="text1"/>
                <w:sz w:val="18"/>
                <w:szCs w:val="18"/>
              </w:rPr>
            </w:pPr>
            <w:r>
              <w:rPr>
                <w:rFonts w:ascii="Times New Roman" w:hAnsi="Times New Roman"/>
                <w:b/>
                <w:color w:val="000000" w:themeColor="text1"/>
                <w:sz w:val="18"/>
                <w:szCs w:val="18"/>
              </w:rPr>
              <w:t xml:space="preserve"> </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sz w:val="18"/>
                <w:szCs w:val="18"/>
              </w:rPr>
              <w:t>€</w:t>
            </w:r>
            <w:r>
              <w:rPr>
                <w:rFonts w:ascii="Times New Roman" w:hAnsi="Times New Roman"/>
                <w:color w:val="000000" w:themeColor="text1"/>
                <w:sz w:val="18"/>
                <w:szCs w:val="18"/>
              </w:rPr>
              <w:t>3,404,583.</w:t>
            </w:r>
            <w:r>
              <w:rPr>
                <w:rFonts w:ascii="Times New Roman" w:hAnsi="Times New Roman"/>
                <w:sz w:val="18"/>
                <w:szCs w:val="18"/>
              </w:rPr>
              <w:t>12</w:t>
            </w:r>
            <w:r>
              <w:rPr>
                <w:rFonts w:ascii="Times New Roman" w:hAnsi="Times New Roman"/>
                <w:color w:val="000000" w:themeColor="text1"/>
                <w:sz w:val="18"/>
                <w:szCs w:val="18"/>
              </w:rPr>
              <w:t xml:space="preserve">              </w:t>
            </w:r>
          </w:p>
          <w:p w:rsidR="00660DD0" w:rsidRPr="00ED22A4" w:rsidRDefault="00660DD0" w:rsidP="00702F96">
            <w:pPr>
              <w:spacing w:after="0" w:line="240" w:lineRule="auto"/>
              <w:jc w:val="both"/>
              <w:rPr>
                <w:rFonts w:ascii="Times New Roman" w:eastAsia="Times New Roman" w:hAnsi="Times New Roman" w:cs="Times New Roman"/>
                <w:color w:val="000000" w:themeColor="text1"/>
                <w:sz w:val="18"/>
                <w:szCs w:val="18"/>
              </w:rPr>
            </w:pP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Investments in the low-voltage network have focused on reinforcing the existing grid and expanding it. "New connections" projects, implemented by KEDS, are also classified as part of the grid expansion. So far, significant progress has been made in implementing these projects, with a considerable number of them already completed. In 2025, investment projects in the medium-voltage grid have been implemented across almost the entire territory of the country, with particular focus on the regions of Prishtina, Drenas, </w:t>
            </w:r>
            <w:r>
              <w:rPr>
                <w:rFonts w:ascii="Times New Roman" w:hAnsi="Times New Roman"/>
                <w:color w:val="000000" w:themeColor="text1"/>
                <w:sz w:val="18"/>
                <w:szCs w:val="18"/>
              </w:rPr>
              <w:lastRenderedPageBreak/>
              <w:t>Obiliq, Podujeva, Gjakova, Malisheva, Rahovec, Peja, Deçan, Klina, Ferizaj, Lipjan, Shtime, Prizren, Suhareka, North Mitrovica, Vushtrri, Skenderaj and Vitia.</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Investments made in low-voltage projects include:</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New transformers in areas requiring investment;</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Replacement of existing transformers with new ones to increase capacity;</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Rehabilitation of the low-voltage grid;</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Reinforcement of the medium-voltage network within the scope of LV projects, in line with future MV outlet plans;</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Expansion of the MV grid to connect new transformers.</w:t>
            </w:r>
          </w:p>
        </w:tc>
      </w:tr>
      <w:tr w:rsidR="00001E51" w:rsidTr="00A835FC">
        <w:trPr>
          <w:trHeight w:val="790"/>
        </w:trPr>
        <w:tc>
          <w:tcPr>
            <w:tcW w:w="0" w:type="auto"/>
            <w:tcBorders>
              <w:top w:val="single" w:sz="8" w:space="0" w:color="auto"/>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I.2.7</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Smart Grid</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14,513.93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2,413,843.29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3,444,527.64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1,765,071.00 </w:t>
            </w:r>
          </w:p>
        </w:tc>
        <w:tc>
          <w:tcPr>
            <w:tcW w:w="0" w:type="auto"/>
            <w:tcBorders>
              <w:top w:val="single" w:sz="8" w:space="0" w:color="auto"/>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single" w:sz="8" w:space="0" w:color="auto"/>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Improving the quality of electricity supply.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and Investment Plan of the Distribution System Operator for the period 2023-2027</w:t>
            </w:r>
          </w:p>
        </w:tc>
        <w:tc>
          <w:tcPr>
            <w:tcW w:w="0" w:type="auto"/>
            <w:gridSpan w:val="2"/>
            <w:tcBorders>
              <w:top w:val="nil"/>
              <w:left w:val="single" w:sz="8" w:space="0" w:color="auto"/>
              <w:bottom w:val="nil"/>
              <w:right w:val="nil"/>
            </w:tcBorders>
            <w:vAlign w:val="center"/>
            <w:hideMark/>
          </w:tcPr>
          <w:p w:rsidR="00ED22A4" w:rsidRPr="00397847" w:rsidRDefault="001E0569" w:rsidP="00A835FC">
            <w:pPr>
              <w:spacing w:after="0"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Twenty-four percent (24%)</w:t>
            </w:r>
          </w:p>
          <w:p w:rsidR="00660DD0" w:rsidRPr="004031EE"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w:t>
            </w:r>
            <w:r>
              <w:rPr>
                <w:rFonts w:ascii="Times New Roman" w:hAnsi="Times New Roman"/>
                <w:color w:val="000000" w:themeColor="text1"/>
                <w:sz w:val="18"/>
                <w:szCs w:val="18"/>
              </w:rPr>
              <w:t>432,114.</w:t>
            </w:r>
            <w:r>
              <w:rPr>
                <w:rFonts w:ascii="Times New Roman" w:hAnsi="Times New Roman"/>
                <w:sz w:val="18"/>
                <w:szCs w:val="18"/>
              </w:rPr>
              <w:t xml:space="preserve">23             </w:t>
            </w:r>
          </w:p>
          <w:p w:rsidR="00660DD0" w:rsidRPr="004031EE"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  </w:t>
            </w:r>
          </w:p>
          <w:p w:rsidR="00660DD0" w:rsidRPr="004031EE"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During 2025, significant investments were made in the electricity distribution grid, which has substantially improved operational efficiency and supply reliability for consumers. The focus of these investments has been the technological modernization of the grid through the implementation of smart devices at key distribution nodes, enabling real-time monitoring and control of network parameters. Additionally, the SCADA system has been expanded and installed in a considerable number of facilities, increasing the capacity for monitoring, analysis and rapid response in case of faults. </w:t>
            </w:r>
          </w:p>
          <w:p w:rsidR="00660DD0" w:rsidRPr="004031EE" w:rsidRDefault="00660DD0" w:rsidP="00702F96">
            <w:pPr>
              <w:spacing w:after="0" w:line="240" w:lineRule="auto"/>
              <w:jc w:val="both"/>
              <w:rPr>
                <w:rFonts w:ascii="Times New Roman" w:eastAsia="Times New Roman" w:hAnsi="Times New Roman" w:cs="Times New Roman"/>
                <w:sz w:val="18"/>
                <w:szCs w:val="18"/>
              </w:rPr>
            </w:pPr>
          </w:p>
          <w:p w:rsidR="00660DD0" w:rsidRPr="004031EE"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The replacement and modernization of protection schemes, through </w:t>
            </w:r>
            <w:r>
              <w:rPr>
                <w:rFonts w:ascii="Times New Roman" w:hAnsi="Times New Roman"/>
                <w:color w:val="000000" w:themeColor="text1"/>
                <w:sz w:val="18"/>
                <w:szCs w:val="18"/>
              </w:rPr>
              <w:lastRenderedPageBreak/>
              <w:t>substituting existing protections with advanced relay protections at substations, has contributed to improved safety and selectivity of protective interventions. Another strategic step has been the initiation and design phase of one of the most important projects for the digital transformation of the grid: the implementation of the Geographic Information System (GIS), which will enable more accurate management, optimized planning and more efficient network interventions through detailed and synchronized visualization of all assets.</w:t>
            </w:r>
          </w:p>
          <w:p w:rsidR="00660DD0" w:rsidRPr="004031EE" w:rsidRDefault="00660DD0" w:rsidP="00702F96">
            <w:pPr>
              <w:spacing w:after="0" w:line="240" w:lineRule="auto"/>
              <w:jc w:val="both"/>
              <w:rPr>
                <w:rFonts w:ascii="Times New Roman" w:eastAsia="Times New Roman" w:hAnsi="Times New Roman" w:cs="Times New Roman"/>
                <w:sz w:val="18"/>
                <w:szCs w:val="18"/>
              </w:rPr>
            </w:pPr>
          </w:p>
          <w:p w:rsidR="00660DD0" w:rsidRPr="004031EE"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All these investments undertaken so far have directly contributed to improved network monitoring, faster fault identification and localization, and enhanced overall performance of the distribution system.</w:t>
            </w:r>
          </w:p>
        </w:tc>
      </w:tr>
      <w:tr w:rsidR="00001E51" w:rsidTr="00E07348">
        <w:trPr>
          <w:trHeight w:val="3760"/>
        </w:trPr>
        <w:tc>
          <w:tcPr>
            <w:tcW w:w="0" w:type="auto"/>
            <w:tcBorders>
              <w:top w:val="nil"/>
              <w:left w:val="single" w:sz="8" w:space="0" w:color="auto"/>
              <w:bottom w:val="nil"/>
              <w:right w:val="single" w:sz="8" w:space="0" w:color="auto"/>
            </w:tcBorders>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I.2.8</w:t>
            </w:r>
          </w:p>
        </w:tc>
        <w:tc>
          <w:tcPr>
            <w:tcW w:w="0" w:type="auto"/>
            <w:tcBorders>
              <w:top w:val="nil"/>
              <w:left w:val="nil"/>
              <w:bottom w:val="single" w:sz="8" w:space="0" w:color="auto"/>
              <w:right w:val="single" w:sz="8" w:space="0" w:color="auto"/>
            </w:tcBorders>
            <w:shd w:val="clear" w:color="000000" w:fill="FFFFFF"/>
            <w:noWrap/>
            <w:vAlign w:val="center"/>
            <w:hideMark/>
          </w:tcPr>
          <w:p w:rsidR="00660DD0" w:rsidRPr="00ED0F3A"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Installation of meters.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€ 1,612,032.60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4,000,015.00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2,494,035.00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2,111,940.00 </w:t>
            </w:r>
          </w:p>
        </w:tc>
        <w:tc>
          <w:tcPr>
            <w:tcW w:w="0" w:type="auto"/>
            <w:tcBorders>
              <w:top w:val="single" w:sz="8" w:space="0" w:color="auto"/>
              <w:left w:val="nil"/>
              <w:bottom w:val="nil"/>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single" w:sz="8" w:space="0" w:color="auto"/>
              <w:left w:val="nil"/>
              <w:bottom w:val="nil"/>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For the period 2022-2025, approximately 121,782 new meters are planned to be installed for new connections, while around 86,578 meters are planned to </w:t>
            </w:r>
            <w:r>
              <w:rPr>
                <w:rFonts w:ascii="Times New Roman" w:hAnsi="Times New Roman"/>
                <w:sz w:val="18"/>
                <w:szCs w:val="18"/>
              </w:rPr>
              <w:lastRenderedPageBreak/>
              <w:t>be replaced to reduce losses.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 xml:space="preserve">Energy Strategy for the period 2022-2031 </w:t>
            </w:r>
          </w:p>
          <w:p w:rsidR="00660DD0" w:rsidRPr="00ED0F3A"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and Investment Plan of the Distribution System Operator for the period 2023-2027</w:t>
            </w:r>
          </w:p>
        </w:tc>
        <w:tc>
          <w:tcPr>
            <w:tcW w:w="0" w:type="auto"/>
            <w:gridSpan w:val="2"/>
            <w:tcBorders>
              <w:top w:val="single" w:sz="8" w:space="0" w:color="auto"/>
              <w:left w:val="single" w:sz="8" w:space="0" w:color="auto"/>
              <w:bottom w:val="single" w:sz="8" w:space="0" w:color="auto"/>
              <w:right w:val="nil"/>
            </w:tcBorders>
            <w:vAlign w:val="center"/>
            <w:hideMark/>
          </w:tcPr>
          <w:p w:rsidR="00660DD0" w:rsidRPr="00ED0F3A" w:rsidRDefault="001E0569" w:rsidP="00660DD0">
            <w:pPr>
              <w:spacing w:after="0" w:line="240" w:lineRule="auto"/>
              <w:jc w:val="center"/>
              <w:rPr>
                <w:rFonts w:ascii="Times New Roman" w:eastAsia="Times New Roman" w:hAnsi="Times New Roman" w:cs="Times New Roman"/>
                <w:b/>
                <w:sz w:val="18"/>
                <w:szCs w:val="18"/>
              </w:rPr>
            </w:pPr>
            <w:r>
              <w:rPr>
                <w:rFonts w:ascii="Times New Roman" w:hAnsi="Times New Roman"/>
                <w:b/>
                <w:sz w:val="18"/>
                <w:szCs w:val="18"/>
              </w:rPr>
              <w:t>Zero percent (0%) </w:t>
            </w:r>
          </w:p>
        </w:tc>
      </w:tr>
      <w:tr w:rsidR="00001E51" w:rsidTr="00A835FC">
        <w:trPr>
          <w:trHeight w:val="1770"/>
        </w:trPr>
        <w:tc>
          <w:tcPr>
            <w:tcW w:w="0" w:type="auto"/>
            <w:tcBorders>
              <w:top w:val="single" w:sz="8" w:space="0" w:color="auto"/>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I.2.9</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Capital investments in information technology.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896,096.30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1,544,650.00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2,147,700.00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1,331,800.00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KEDS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Safe operation of DSO.</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and Investment Plan of the Distribution System Operator for the period 2023-2027</w:t>
            </w:r>
          </w:p>
        </w:tc>
        <w:tc>
          <w:tcPr>
            <w:tcW w:w="0" w:type="auto"/>
            <w:gridSpan w:val="2"/>
            <w:tcBorders>
              <w:top w:val="nil"/>
              <w:left w:val="single" w:sz="8" w:space="0" w:color="auto"/>
              <w:bottom w:val="single" w:sz="8" w:space="0" w:color="auto"/>
              <w:right w:val="nil"/>
            </w:tcBorders>
            <w:vAlign w:val="center"/>
            <w:hideMark/>
          </w:tcPr>
          <w:p w:rsidR="00ED22A4" w:rsidRDefault="001E0569" w:rsidP="00A835FC">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 xml:space="preserve">Fifty-two percent (52%) </w:t>
            </w:r>
          </w:p>
          <w:p w:rsidR="0080683D" w:rsidRPr="0080683D" w:rsidRDefault="0080683D" w:rsidP="00A835FC">
            <w:pPr>
              <w:spacing w:after="0" w:line="240" w:lineRule="auto"/>
              <w:rPr>
                <w:rFonts w:ascii="Times New Roman" w:hAnsi="Times New Roman" w:cs="Times New Roman"/>
                <w:b/>
                <w:bCs/>
                <w:color w:val="000000" w:themeColor="text1"/>
                <w:sz w:val="18"/>
                <w:szCs w:val="18"/>
              </w:rPr>
            </w:pPr>
          </w:p>
          <w:p w:rsidR="00660DD0" w:rsidRPr="004031EE"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w:t>
            </w:r>
            <w:r>
              <w:rPr>
                <w:rFonts w:ascii="Times New Roman" w:hAnsi="Times New Roman"/>
                <w:color w:val="000000" w:themeColor="text1"/>
                <w:sz w:val="18"/>
                <w:szCs w:val="18"/>
              </w:rPr>
              <w:t>688,814</w:t>
            </w:r>
            <w:r>
              <w:rPr>
                <w:rFonts w:ascii="Times New Roman" w:hAnsi="Times New Roman"/>
                <w:sz w:val="18"/>
                <w:szCs w:val="18"/>
              </w:rPr>
              <w:t>.48                                                                                                                 Information technology projects are high-priority investments for DSO; during 2025, significant progress was made in the development and improvement of IT systems.</w:t>
            </w:r>
          </w:p>
        </w:tc>
      </w:tr>
      <w:tr w:rsidR="00001E51" w:rsidTr="00571EAF">
        <w:trPr>
          <w:trHeight w:val="315"/>
        </w:trPr>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I.3</w:t>
            </w:r>
          </w:p>
        </w:tc>
        <w:tc>
          <w:tcPr>
            <w:tcW w:w="0" w:type="auto"/>
            <w:gridSpan w:val="10"/>
            <w:tcBorders>
              <w:top w:val="nil"/>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Rehabilitating the existing energy generation capacity</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r>
      <w:tr w:rsidR="00001E51" w:rsidTr="00660DD0">
        <w:trPr>
          <w:trHeight w:val="735"/>
        </w:trPr>
        <w:tc>
          <w:tcPr>
            <w:tcW w:w="0" w:type="auto"/>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w:t>
            </w:r>
          </w:p>
        </w:tc>
        <w:tc>
          <w:tcPr>
            <w:tcW w:w="0" w:type="auto"/>
            <w:tcBorders>
              <w:top w:val="nil"/>
              <w:left w:val="nil"/>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2528" w:type="dxa"/>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2043" w:type="dxa"/>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0" w:type="auto"/>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660DD0">
        <w:trPr>
          <w:trHeight w:val="495"/>
        </w:trPr>
        <w:tc>
          <w:tcPr>
            <w:tcW w:w="0" w:type="auto"/>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lastRenderedPageBreak/>
              <w:t>1</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Number of renewed lignite units.</w:t>
            </w:r>
          </w:p>
        </w:tc>
        <w:tc>
          <w:tcPr>
            <w:tcW w:w="2528" w:type="dxa"/>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0 [2021]</w:t>
            </w:r>
          </w:p>
        </w:tc>
        <w:tc>
          <w:tcPr>
            <w:tcW w:w="2043" w:type="dxa"/>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3 or 4</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660DD0">
        <w:trPr>
          <w:trHeight w:val="495"/>
        </w:trPr>
        <w:tc>
          <w:tcPr>
            <w:tcW w:w="0" w:type="auto"/>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w:t>
            </w:r>
          </w:p>
        </w:tc>
        <w:tc>
          <w:tcPr>
            <w:tcW w:w="0" w:type="auto"/>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Number of closed lignite units.</w:t>
            </w:r>
          </w:p>
        </w:tc>
        <w:tc>
          <w:tcPr>
            <w:tcW w:w="2528" w:type="dxa"/>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0 [2021]</w:t>
            </w:r>
          </w:p>
        </w:tc>
        <w:tc>
          <w:tcPr>
            <w:tcW w:w="2043" w:type="dxa"/>
            <w:gridSpan w:val="2"/>
            <w:tcBorders>
              <w:top w:val="single" w:sz="8" w:space="0" w:color="auto"/>
              <w:left w:val="nil"/>
              <w:bottom w:val="single" w:sz="8" w:space="0" w:color="auto"/>
              <w:right w:val="nil"/>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0</w:t>
            </w:r>
          </w:p>
        </w:tc>
        <w:tc>
          <w:tcPr>
            <w:tcW w:w="0" w:type="auto"/>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 or 2</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571EAF">
        <w:trPr>
          <w:trHeight w:val="315"/>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0" w:type="auto"/>
            <w:gridSpan w:val="4"/>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0" w:type="auto"/>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0E0459"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Implementation progress - January 2025</w:t>
            </w:r>
          </w:p>
        </w:tc>
      </w:tr>
      <w:tr w:rsidR="00001E51" w:rsidTr="00660DD0">
        <w:trPr>
          <w:trHeight w:val="300"/>
        </w:trPr>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1055"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660DD0">
        <w:trPr>
          <w:trHeight w:val="690"/>
        </w:trPr>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1055"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A835FC">
        <w:trPr>
          <w:trHeight w:val="2475"/>
        </w:trPr>
        <w:tc>
          <w:tcPr>
            <w:tcW w:w="0" w:type="auto"/>
            <w:tcBorders>
              <w:top w:val="nil"/>
              <w:left w:val="single" w:sz="8" w:space="0" w:color="auto"/>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I.3.1</w:t>
            </w:r>
          </w:p>
        </w:tc>
        <w:tc>
          <w:tcPr>
            <w:tcW w:w="0" w:type="auto"/>
            <w:tcBorders>
              <w:top w:val="nil"/>
              <w:left w:val="nil"/>
              <w:bottom w:val="nil"/>
              <w:right w:val="single" w:sz="8" w:space="0" w:color="auto"/>
            </w:tcBorders>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Rehabilitation of the “Kosova B1” unit </w:t>
            </w:r>
          </w:p>
        </w:tc>
        <w:tc>
          <w:tcPr>
            <w:tcW w:w="0" w:type="auto"/>
            <w:tcBorders>
              <w:top w:val="nil"/>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0" w:type="auto"/>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988"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7,500,000.00 </w:t>
            </w:r>
          </w:p>
        </w:tc>
        <w:tc>
          <w:tcPr>
            <w:tcW w:w="1055"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88,000,000.00 </w:t>
            </w:r>
          </w:p>
        </w:tc>
        <w:tc>
          <w:tcPr>
            <w:tcW w:w="988" w:type="dxa"/>
            <w:tcBorders>
              <w:top w:val="nil"/>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0" w:type="auto"/>
            <w:tcBorders>
              <w:top w:val="nil"/>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KEK: </w:t>
            </w:r>
            <w:r>
              <w:rPr>
                <w:rFonts w:ascii="Calibri" w:hAnsi="Calibri"/>
                <w:sz w:val="18"/>
                <w:szCs w:val="18"/>
              </w:rPr>
              <w:t xml:space="preserve">€ </w:t>
            </w:r>
            <w:r>
              <w:rPr>
                <w:rFonts w:ascii="Times New Roman" w:hAnsi="Times New Roman"/>
                <w:sz w:val="18"/>
                <w:szCs w:val="18"/>
              </w:rPr>
              <w:t xml:space="preserve">49.5 million </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 Grant: € 38.5 million (Electrofilters &amp; De-Nox).</w:t>
            </w:r>
          </w:p>
        </w:tc>
        <w:tc>
          <w:tcPr>
            <w:tcW w:w="0" w:type="auto"/>
            <w:tcBorders>
              <w:top w:val="nil"/>
              <w:left w:val="nil"/>
              <w:bottom w:val="nil"/>
              <w:right w:val="single" w:sz="8" w:space="0" w:color="auto"/>
            </w:tcBorders>
            <w:vAlign w:val="center"/>
            <w:hideMark/>
          </w:tcPr>
          <w:p w:rsidR="00660DD0"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 ME, ERO</w:t>
            </w:r>
          </w:p>
          <w:p w:rsidR="00191B47" w:rsidRPr="00571EAF" w:rsidRDefault="00191B47" w:rsidP="00660DD0">
            <w:pPr>
              <w:spacing w:after="0" w:line="240" w:lineRule="auto"/>
              <w:jc w:val="center"/>
              <w:rPr>
                <w:rFonts w:ascii="Times New Roman" w:eastAsia="Times New Roman" w:hAnsi="Times New Roman" w:cs="Times New Roman"/>
                <w:sz w:val="18"/>
                <w:szCs w:val="18"/>
              </w:rPr>
            </w:pPr>
          </w:p>
        </w:tc>
        <w:tc>
          <w:tcPr>
            <w:tcW w:w="0" w:type="auto"/>
            <w:vMerge w:val="restart"/>
            <w:tcBorders>
              <w:top w:val="nil"/>
              <w:left w:val="single" w:sz="8" w:space="0" w:color="auto"/>
              <w:bottom w:val="single" w:sz="8" w:space="0" w:color="000000"/>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Reduction of dust, NOx and SO₂ emissions </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Dust: 20 mg/ Nm³,</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NOx: 200 mg/ Nm³, SO₂: 600 mg/ Nm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 Development Strategy for the period 2021-2025</w:t>
            </w:r>
          </w:p>
        </w:tc>
        <w:tc>
          <w:tcPr>
            <w:tcW w:w="0" w:type="auto"/>
            <w:gridSpan w:val="2"/>
            <w:tcBorders>
              <w:top w:val="single" w:sz="8" w:space="0" w:color="auto"/>
              <w:left w:val="single" w:sz="8" w:space="0" w:color="auto"/>
              <w:bottom w:val="single" w:sz="8" w:space="0" w:color="auto"/>
              <w:right w:val="nil"/>
            </w:tcBorders>
            <w:vAlign w:val="center"/>
            <w:hideMark/>
          </w:tcPr>
          <w:p w:rsidR="00ED22A4" w:rsidRPr="00C4235B" w:rsidRDefault="001E0569" w:rsidP="00702F96">
            <w:pPr>
              <w:spacing w:after="0" w:line="240" w:lineRule="auto"/>
              <w:jc w:val="both"/>
              <w:rPr>
                <w:rFonts w:ascii="Times New Roman" w:hAnsi="Times New Roman" w:cs="Times New Roman"/>
                <w:b/>
                <w:bCs/>
                <w:sz w:val="18"/>
                <w:szCs w:val="18"/>
              </w:rPr>
            </w:pPr>
            <w:r>
              <w:rPr>
                <w:rFonts w:ascii="Times New Roman" w:hAnsi="Times New Roman"/>
                <w:b/>
                <w:bCs/>
                <w:sz w:val="18"/>
                <w:szCs w:val="18"/>
              </w:rPr>
              <w:t xml:space="preserve">                Zero percent (0%)</w:t>
            </w:r>
          </w:p>
          <w:p w:rsidR="00191B47" w:rsidRPr="00C4235B" w:rsidRDefault="00191B47" w:rsidP="00702F96">
            <w:pPr>
              <w:spacing w:after="0" w:line="240" w:lineRule="auto"/>
              <w:jc w:val="both"/>
              <w:rPr>
                <w:rFonts w:ascii="Times New Roman" w:hAnsi="Times New Roman" w:cs="Times New Roman"/>
                <w:b/>
                <w:sz w:val="18"/>
                <w:szCs w:val="18"/>
              </w:rPr>
            </w:pPr>
          </w:p>
          <w:p w:rsidR="00660DD0" w:rsidRPr="00C4235B"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The electrofilter and DeNOx project is planned to be implemented in Unit B1 in 2026 (April-October).</w:t>
            </w:r>
          </w:p>
        </w:tc>
      </w:tr>
      <w:tr w:rsidR="00001E51" w:rsidTr="00A835FC">
        <w:trPr>
          <w:trHeight w:val="1942"/>
        </w:trPr>
        <w:tc>
          <w:tcPr>
            <w:tcW w:w="0" w:type="auto"/>
            <w:tcBorders>
              <w:top w:val="single" w:sz="8" w:space="0" w:color="auto"/>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I.3.2</w:t>
            </w:r>
          </w:p>
        </w:tc>
        <w:tc>
          <w:tcPr>
            <w:tcW w:w="0" w:type="auto"/>
            <w:tcBorders>
              <w:top w:val="single" w:sz="8" w:space="0" w:color="auto"/>
              <w:left w:val="nil"/>
              <w:bottom w:val="single" w:sz="8" w:space="0" w:color="auto"/>
              <w:right w:val="single" w:sz="8" w:space="0" w:color="auto"/>
            </w:tcBorders>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Rehabilitation of the “Kosova B2” unit</w:t>
            </w:r>
          </w:p>
        </w:tc>
        <w:tc>
          <w:tcPr>
            <w:tcW w:w="0" w:type="auto"/>
            <w:tcBorders>
              <w:top w:val="single" w:sz="8" w:space="0" w:color="auto"/>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988"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7,500,000.00 </w:t>
            </w:r>
          </w:p>
        </w:tc>
        <w:tc>
          <w:tcPr>
            <w:tcW w:w="1055"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988" w:type="dxa"/>
            <w:tcBorders>
              <w:top w:val="single" w:sz="8" w:space="0" w:color="auto"/>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88,000,000.00 </w:t>
            </w:r>
          </w:p>
        </w:tc>
        <w:tc>
          <w:tcPr>
            <w:tcW w:w="0" w:type="auto"/>
            <w:tcBorders>
              <w:top w:val="single" w:sz="8" w:space="0" w:color="auto"/>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KEK - </w:t>
            </w:r>
            <w:r>
              <w:rPr>
                <w:rFonts w:ascii="Calibri" w:hAnsi="Calibri"/>
                <w:sz w:val="18"/>
                <w:szCs w:val="18"/>
              </w:rPr>
              <w:t>€</w:t>
            </w:r>
            <w:r>
              <w:rPr>
                <w:rFonts w:ascii="Times New Roman" w:hAnsi="Times New Roman"/>
                <w:sz w:val="18"/>
                <w:szCs w:val="18"/>
              </w:rPr>
              <w:t>49.5 million</w:t>
            </w:r>
          </w:p>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 Grant -€ 38.5 million (Electrofilter &amp; De-Nox)</w:t>
            </w:r>
          </w:p>
        </w:tc>
        <w:tc>
          <w:tcPr>
            <w:tcW w:w="0" w:type="auto"/>
            <w:tcBorders>
              <w:top w:val="single" w:sz="8" w:space="0" w:color="auto"/>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 ME, ERO</w:t>
            </w:r>
          </w:p>
        </w:tc>
        <w:tc>
          <w:tcPr>
            <w:tcW w:w="0" w:type="auto"/>
            <w:vMerge/>
            <w:tcBorders>
              <w:top w:val="nil"/>
              <w:left w:val="single" w:sz="8" w:space="0" w:color="auto"/>
              <w:bottom w:val="single" w:sz="8" w:space="0" w:color="000000"/>
              <w:right w:val="single" w:sz="8" w:space="0" w:color="auto"/>
            </w:tcBorders>
            <w:vAlign w:val="center"/>
            <w:hideMark/>
          </w:tcPr>
          <w:p w:rsidR="00660DD0" w:rsidRPr="00571EAF" w:rsidRDefault="00660DD0" w:rsidP="00660DD0">
            <w:pPr>
              <w:spacing w:after="0" w:line="240" w:lineRule="auto"/>
              <w:rPr>
                <w:rFonts w:ascii="Times New Roman" w:eastAsia="Times New Roman" w:hAnsi="Times New Roman" w:cs="Times New Roman"/>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660DD0" w:rsidRPr="00571EAF" w:rsidRDefault="00660DD0" w:rsidP="00660DD0">
            <w:pPr>
              <w:spacing w:after="0" w:line="240" w:lineRule="auto"/>
              <w:rPr>
                <w:rFonts w:ascii="Times New Roman" w:eastAsia="Times New Roman" w:hAnsi="Times New Roman" w:cs="Times New Roman"/>
                <w:sz w:val="18"/>
                <w:szCs w:val="18"/>
              </w:rPr>
            </w:pPr>
          </w:p>
        </w:tc>
        <w:tc>
          <w:tcPr>
            <w:tcW w:w="0" w:type="auto"/>
            <w:gridSpan w:val="2"/>
            <w:tcBorders>
              <w:top w:val="nil"/>
              <w:left w:val="single" w:sz="8" w:space="0" w:color="auto"/>
              <w:bottom w:val="single" w:sz="8" w:space="0" w:color="auto"/>
              <w:right w:val="nil"/>
            </w:tcBorders>
            <w:vAlign w:val="center"/>
            <w:hideMark/>
          </w:tcPr>
          <w:p w:rsidR="00ED22A4" w:rsidRPr="00C4235B" w:rsidRDefault="001E0569" w:rsidP="00A835FC">
            <w:pPr>
              <w:spacing w:after="0" w:line="240" w:lineRule="auto"/>
              <w:rPr>
                <w:rFonts w:ascii="Times New Roman" w:hAnsi="Times New Roman" w:cs="Times New Roman"/>
                <w:b/>
                <w:bCs/>
                <w:sz w:val="18"/>
                <w:szCs w:val="18"/>
              </w:rPr>
            </w:pPr>
            <w:r>
              <w:rPr>
                <w:rFonts w:ascii="Times New Roman" w:hAnsi="Times New Roman"/>
                <w:sz w:val="18"/>
                <w:szCs w:val="18"/>
              </w:rPr>
              <w:t xml:space="preserve">             </w:t>
            </w:r>
            <w:r>
              <w:rPr>
                <w:rFonts w:ascii="Times New Roman" w:hAnsi="Times New Roman"/>
                <w:b/>
                <w:bCs/>
                <w:sz w:val="18"/>
                <w:szCs w:val="18"/>
              </w:rPr>
              <w:t>Zero percent (0%)</w:t>
            </w:r>
          </w:p>
          <w:p w:rsidR="00847C13" w:rsidRPr="00C4235B" w:rsidRDefault="00847C13" w:rsidP="00A835FC">
            <w:pPr>
              <w:spacing w:after="0" w:line="240" w:lineRule="auto"/>
              <w:rPr>
                <w:rFonts w:ascii="Times New Roman" w:hAnsi="Times New Roman" w:cs="Times New Roman"/>
                <w:b/>
                <w:sz w:val="18"/>
                <w:szCs w:val="18"/>
              </w:rPr>
            </w:pPr>
          </w:p>
          <w:p w:rsidR="00660DD0" w:rsidRPr="00C4235B"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The electrofilter and DeNOx project is planned to be implemented in Unit B2 in 2027 (April-October).</w:t>
            </w:r>
          </w:p>
        </w:tc>
      </w:tr>
      <w:tr w:rsidR="00001E51" w:rsidTr="00A835FC">
        <w:trPr>
          <w:trHeight w:val="1080"/>
        </w:trPr>
        <w:tc>
          <w:tcPr>
            <w:tcW w:w="0" w:type="auto"/>
            <w:tcBorders>
              <w:top w:val="nil"/>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I.3.3</w:t>
            </w:r>
          </w:p>
        </w:tc>
        <w:tc>
          <w:tcPr>
            <w:tcW w:w="0" w:type="auto"/>
            <w:tcBorders>
              <w:top w:val="nil"/>
              <w:left w:val="nil"/>
              <w:bottom w:val="single" w:sz="8" w:space="0" w:color="auto"/>
              <w:right w:val="single" w:sz="8" w:space="0" w:color="auto"/>
            </w:tcBorders>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Rehabilitation of the “Kosova A” unit</w:t>
            </w:r>
          </w:p>
        </w:tc>
        <w:tc>
          <w:tcPr>
            <w:tcW w:w="0" w:type="auto"/>
            <w:tcBorders>
              <w:top w:val="nil"/>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15,000,000.00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105,000,000.00 </w:t>
            </w:r>
          </w:p>
        </w:tc>
        <w:tc>
          <w:tcPr>
            <w:tcW w:w="988" w:type="dxa"/>
            <w:tcBorders>
              <w:top w:val="single" w:sz="8" w:space="0" w:color="auto"/>
              <w:left w:val="nil"/>
              <w:bottom w:val="nil"/>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0" w:type="auto"/>
            <w:tcBorders>
              <w:top w:val="single" w:sz="8" w:space="0" w:color="auto"/>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w:t>
            </w:r>
          </w:p>
        </w:tc>
        <w:tc>
          <w:tcPr>
            <w:tcW w:w="0" w:type="auto"/>
            <w:tcBorders>
              <w:top w:val="single" w:sz="8" w:space="0" w:color="auto"/>
              <w:left w:val="nil"/>
              <w:bottom w:val="nil"/>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 ME, ERO</w:t>
            </w:r>
          </w:p>
        </w:tc>
        <w:tc>
          <w:tcPr>
            <w:tcW w:w="0" w:type="auto"/>
            <w:tcBorders>
              <w:top w:val="nil"/>
              <w:left w:val="nil"/>
              <w:bottom w:val="single" w:sz="8" w:space="0" w:color="auto"/>
              <w:right w:val="single" w:sz="8" w:space="0" w:color="auto"/>
            </w:tcBorders>
            <w:shd w:val="clear" w:color="000000" w:fill="FFFFFF"/>
            <w:hideMark/>
          </w:tcPr>
          <w:p w:rsidR="00660DD0" w:rsidRPr="00571EAF" w:rsidRDefault="001E0569" w:rsidP="00660DD0">
            <w:pPr>
              <w:spacing w:after="240" w:line="240" w:lineRule="auto"/>
              <w:jc w:val="center"/>
              <w:rPr>
                <w:rFonts w:ascii="Times New Roman" w:eastAsia="Times New Roman" w:hAnsi="Times New Roman" w:cs="Times New Roman"/>
                <w:sz w:val="18"/>
                <w:szCs w:val="18"/>
              </w:rPr>
            </w:pPr>
            <w:r>
              <w:rPr>
                <w:rFonts w:ascii="Times New Roman" w:hAnsi="Times New Roman"/>
                <w:sz w:val="18"/>
                <w:szCs w:val="18"/>
              </w:rPr>
              <w:t>Capacity increase from 130 MW to 180 MW.</w:t>
            </w:r>
          </w:p>
          <w:p w:rsidR="00660DD0" w:rsidRPr="00571EAF" w:rsidRDefault="00660DD0" w:rsidP="00660DD0">
            <w:pPr>
              <w:spacing w:after="240" w:line="240" w:lineRule="auto"/>
              <w:jc w:val="center"/>
              <w:rPr>
                <w:rFonts w:ascii="Times New Roman" w:eastAsia="Times New Roman" w:hAnsi="Times New Roman" w:cs="Times New Roman"/>
                <w:sz w:val="18"/>
                <w:szCs w:val="18"/>
              </w:rPr>
            </w:pP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0" w:type="auto"/>
            <w:gridSpan w:val="2"/>
            <w:tcBorders>
              <w:top w:val="nil"/>
              <w:left w:val="single" w:sz="8" w:space="0" w:color="auto"/>
              <w:bottom w:val="single" w:sz="8" w:space="0" w:color="auto"/>
              <w:right w:val="nil"/>
            </w:tcBorders>
            <w:vAlign w:val="center"/>
            <w:hideMark/>
          </w:tcPr>
          <w:p w:rsidR="000647E5" w:rsidRPr="00191B47" w:rsidRDefault="001E0569" w:rsidP="000647E5">
            <w:pPr>
              <w:spacing w:after="0" w:line="240" w:lineRule="auto"/>
              <w:jc w:val="both"/>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ED22A4" w:rsidRPr="00ED22A4" w:rsidRDefault="001E0569" w:rsidP="00A835FC">
            <w:pPr>
              <w:spacing w:after="0" w:line="240" w:lineRule="auto"/>
              <w:rPr>
                <w:rFonts w:ascii="Times New Roman" w:hAnsi="Times New Roman" w:cs="Times New Roman"/>
                <w:b/>
                <w:color w:val="000000" w:themeColor="text1"/>
                <w:sz w:val="18"/>
                <w:szCs w:val="18"/>
              </w:rPr>
            </w:pPr>
            <w:r>
              <w:rPr>
                <w:rFonts w:ascii="Times New Roman" w:hAnsi="Times New Roman"/>
                <w:color w:val="000000" w:themeColor="text1"/>
                <w:sz w:val="18"/>
                <w:szCs w:val="18"/>
              </w:rPr>
              <w:t xml:space="preserve">           </w:t>
            </w: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The announcement of the activity Phase I/pre-qualification was made on 23 January 2025. </w:t>
            </w:r>
            <w:r>
              <w:rPr>
                <w:rFonts w:ascii="Times New Roman" w:hAnsi="Times New Roman"/>
                <w:sz w:val="18"/>
                <w:szCs w:val="18"/>
              </w:rPr>
              <w:t>The submission deadline for documents was postponed several times at the request of interested companies.</w:t>
            </w:r>
            <w:r>
              <w:rPr>
                <w:rFonts w:ascii="Times New Roman" w:hAnsi="Times New Roman"/>
                <w:color w:val="000000" w:themeColor="text1"/>
                <w:sz w:val="18"/>
                <w:szCs w:val="18"/>
              </w:rPr>
              <w:t xml:space="preserve"> The official opening of applications by Economic Operators (EOs) took </w:t>
            </w:r>
            <w:r>
              <w:rPr>
                <w:rFonts w:ascii="Times New Roman" w:hAnsi="Times New Roman"/>
                <w:color w:val="000000" w:themeColor="text1"/>
                <w:sz w:val="18"/>
                <w:szCs w:val="18"/>
              </w:rPr>
              <w:lastRenderedPageBreak/>
              <w:t>place on 17 July 2025, following the dismissal of the operator’s complaint by the Procurement Review Body (PRB).</w:t>
            </w:r>
          </w:p>
        </w:tc>
      </w:tr>
      <w:tr w:rsidR="00001E51" w:rsidTr="00A835FC">
        <w:trPr>
          <w:trHeight w:val="1500"/>
        </w:trPr>
        <w:tc>
          <w:tcPr>
            <w:tcW w:w="0" w:type="auto"/>
            <w:tcBorders>
              <w:top w:val="nil"/>
              <w:left w:val="single" w:sz="8" w:space="0" w:color="auto"/>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lastRenderedPageBreak/>
              <w:t>I.3.4</w:t>
            </w:r>
          </w:p>
        </w:tc>
        <w:tc>
          <w:tcPr>
            <w:tcW w:w="0" w:type="auto"/>
            <w:tcBorders>
              <w:top w:val="nil"/>
              <w:left w:val="nil"/>
              <w:bottom w:val="single" w:sz="8" w:space="0" w:color="auto"/>
              <w:right w:val="single" w:sz="8" w:space="0" w:color="auto"/>
            </w:tcBorders>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Machinery, conveyor belts, expropriations and other investments in mine expropriation.</w:t>
            </w:r>
          </w:p>
        </w:tc>
        <w:tc>
          <w:tcPr>
            <w:tcW w:w="0" w:type="auto"/>
            <w:tcBorders>
              <w:top w:val="nil"/>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€ 3,800,000.00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48,200,000.00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28,340,000.00 </w:t>
            </w:r>
          </w:p>
        </w:tc>
        <w:tc>
          <w:tcPr>
            <w:tcW w:w="988" w:type="dxa"/>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28,340,000.00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w:t>
            </w:r>
          </w:p>
        </w:tc>
        <w:tc>
          <w:tcPr>
            <w:tcW w:w="0" w:type="auto"/>
            <w:tcBorders>
              <w:top w:val="single" w:sz="8" w:space="0" w:color="auto"/>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 ME, ERO</w:t>
            </w:r>
          </w:p>
        </w:tc>
        <w:tc>
          <w:tcPr>
            <w:tcW w:w="0" w:type="auto"/>
            <w:tcBorders>
              <w:top w:val="nil"/>
              <w:left w:val="nil"/>
              <w:bottom w:val="single" w:sz="8" w:space="0" w:color="auto"/>
              <w:right w:val="single" w:sz="8" w:space="0" w:color="auto"/>
            </w:tcBorders>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Investments in the mine</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0" w:type="auto"/>
            <w:gridSpan w:val="2"/>
            <w:tcBorders>
              <w:top w:val="nil"/>
              <w:left w:val="single" w:sz="8" w:space="0" w:color="auto"/>
              <w:bottom w:val="single" w:sz="8" w:space="0" w:color="auto"/>
              <w:right w:val="nil"/>
            </w:tcBorders>
            <w:vAlign w:val="center"/>
            <w:hideMark/>
          </w:tcPr>
          <w:p w:rsidR="00ED22A4" w:rsidRPr="00613B4D" w:rsidRDefault="001E0569" w:rsidP="00A835FC">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Ninety percent (90%)</w:t>
            </w:r>
          </w:p>
          <w:p w:rsidR="00613B4D" w:rsidRPr="00ED22A4" w:rsidRDefault="00613B4D" w:rsidP="00A835FC">
            <w:pPr>
              <w:spacing w:after="0" w:line="240" w:lineRule="auto"/>
              <w:rPr>
                <w:rFonts w:ascii="Times New Roman" w:hAnsi="Times New Roman" w:cs="Times New Roman"/>
                <w:b/>
                <w:color w:val="000000" w:themeColor="text1"/>
                <w:sz w:val="18"/>
                <w:szCs w:val="18"/>
              </w:rPr>
            </w:pP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The expropriation of 100 ha has been finalized, only a few properties remain, which will be expropriated according to the Law on Expropriation. The majority of the expropriation was carried out in 2024, the remainder in the period January - June 2025.</w:t>
            </w:r>
          </w:p>
        </w:tc>
      </w:tr>
      <w:tr w:rsidR="00001E51" w:rsidTr="00571EAF">
        <w:trPr>
          <w:trHeight w:val="315"/>
        </w:trPr>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I.4</w:t>
            </w:r>
          </w:p>
        </w:tc>
        <w:tc>
          <w:tcPr>
            <w:tcW w:w="0" w:type="auto"/>
            <w:gridSpan w:val="10"/>
            <w:tcBorders>
              <w:top w:val="nil"/>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Specific Objective:  Ensuring cybersecurity of the energy sector</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r>
      <w:tr w:rsidR="00001E51" w:rsidTr="00660DD0">
        <w:trPr>
          <w:trHeight w:val="735"/>
        </w:trPr>
        <w:tc>
          <w:tcPr>
            <w:tcW w:w="0" w:type="auto"/>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w:t>
            </w:r>
          </w:p>
        </w:tc>
        <w:tc>
          <w:tcPr>
            <w:tcW w:w="0" w:type="auto"/>
            <w:tcBorders>
              <w:top w:val="nil"/>
              <w:left w:val="nil"/>
              <w:bottom w:val="nil"/>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Indicator</w:t>
            </w:r>
          </w:p>
        </w:tc>
        <w:tc>
          <w:tcPr>
            <w:tcW w:w="2528" w:type="dxa"/>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xml:space="preserve">Baseline value </w:t>
            </w:r>
          </w:p>
        </w:tc>
        <w:tc>
          <w:tcPr>
            <w:tcW w:w="2043" w:type="dxa"/>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2025</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2031</w:t>
            </w:r>
          </w:p>
        </w:tc>
        <w:tc>
          <w:tcPr>
            <w:tcW w:w="0" w:type="auto"/>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color w:val="000000"/>
                <w:sz w:val="18"/>
                <w:szCs w:val="18"/>
              </w:rPr>
            </w:pPr>
          </w:p>
        </w:tc>
      </w:tr>
      <w:tr w:rsidR="00001E51" w:rsidTr="00660DD0">
        <w:trPr>
          <w:trHeight w:val="690"/>
        </w:trPr>
        <w:tc>
          <w:tcPr>
            <w:tcW w:w="0" w:type="auto"/>
            <w:tcBorders>
              <w:top w:val="nil"/>
              <w:left w:val="single" w:sz="8" w:space="0" w:color="auto"/>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1</w:t>
            </w:r>
          </w:p>
        </w:tc>
        <w:tc>
          <w:tcPr>
            <w:tcW w:w="0" w:type="auto"/>
            <w:tcBorders>
              <w:top w:val="single" w:sz="8" w:space="0" w:color="auto"/>
              <w:left w:val="nil"/>
              <w:bottom w:val="nil"/>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 xml:space="preserve">Cyber response capabilities. </w:t>
            </w:r>
          </w:p>
        </w:tc>
        <w:tc>
          <w:tcPr>
            <w:tcW w:w="2528" w:type="dxa"/>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Non-existent</w:t>
            </w:r>
          </w:p>
        </w:tc>
        <w:tc>
          <w:tcPr>
            <w:tcW w:w="2043" w:type="dxa"/>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Existent</w:t>
            </w:r>
          </w:p>
        </w:tc>
        <w:tc>
          <w:tcPr>
            <w:tcW w:w="0" w:type="auto"/>
            <w:tcBorders>
              <w:top w:val="nil"/>
              <w:left w:val="nil"/>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Existent</w:t>
            </w:r>
          </w:p>
        </w:tc>
        <w:tc>
          <w:tcPr>
            <w:tcW w:w="0" w:type="auto"/>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 </w:t>
            </w:r>
          </w:p>
        </w:tc>
        <w:tc>
          <w:tcPr>
            <w:tcW w:w="0" w:type="auto"/>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color w:val="000000"/>
                <w:sz w:val="18"/>
                <w:szCs w:val="18"/>
              </w:rPr>
            </w:pPr>
          </w:p>
        </w:tc>
      </w:tr>
      <w:tr w:rsidR="00001E51" w:rsidTr="00571EA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No.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Action</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bCs/>
                <w:color w:val="000000"/>
                <w:sz w:val="18"/>
                <w:szCs w:val="18"/>
              </w:rPr>
              <w:t>Deadline</w:t>
            </w:r>
          </w:p>
        </w:tc>
        <w:tc>
          <w:tcPr>
            <w:tcW w:w="0" w:type="auto"/>
            <w:gridSpan w:val="4"/>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0" w:type="auto"/>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C84742" w:rsidRDefault="001E0569" w:rsidP="00571EAF">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Implementation progress - January 2025</w:t>
            </w:r>
          </w:p>
        </w:tc>
      </w:tr>
      <w:tr w:rsidR="00001E51" w:rsidTr="00660DD0">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1055"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988" w:type="dxa"/>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660DD0">
        <w:trPr>
          <w:trHeight w:val="5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color w:val="000000"/>
                <w:sz w:val="18"/>
                <w:szCs w:val="18"/>
              </w:rPr>
            </w:pPr>
          </w:p>
        </w:tc>
        <w:tc>
          <w:tcPr>
            <w:tcW w:w="0" w:type="auto"/>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1055"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988" w:type="dxa"/>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660DD0">
        <w:trPr>
          <w:trHeight w:val="73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I.4.1</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Adoption of the Law on the Security of Networks and Information Systems.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2022</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120,000.00 </w:t>
            </w:r>
          </w:p>
        </w:tc>
        <w:tc>
          <w:tcPr>
            <w:tcW w:w="988" w:type="dxa"/>
            <w:tcBorders>
              <w:top w:val="nil"/>
              <w:left w:val="nil"/>
              <w:bottom w:val="single" w:sz="8" w:space="0" w:color="auto"/>
              <w:right w:val="single" w:sz="8" w:space="0" w:color="auto"/>
            </w:tcBorders>
            <w:shd w:val="clear" w:color="000000" w:fill="FFFFFF"/>
            <w:noWrap/>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MIA, ME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adopted</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Annual Performance Report</w:t>
            </w:r>
          </w:p>
        </w:tc>
        <w:tc>
          <w:tcPr>
            <w:tcW w:w="0" w:type="auto"/>
            <w:gridSpan w:val="2"/>
            <w:tcBorders>
              <w:top w:val="nil"/>
              <w:left w:val="nil"/>
              <w:bottom w:val="single" w:sz="8" w:space="0" w:color="auto"/>
              <w:right w:val="single" w:sz="8" w:space="0" w:color="auto"/>
            </w:tcBorders>
            <w:shd w:val="clear" w:color="000000" w:fill="FFFFFF"/>
            <w:hideMark/>
          </w:tcPr>
          <w:p w:rsidR="00ED22A4" w:rsidRDefault="001E0569" w:rsidP="00660DD0">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6C2883" w:rsidRPr="003A166F" w:rsidRDefault="006C2883" w:rsidP="00660DD0">
            <w:pPr>
              <w:spacing w:after="0" w:line="240" w:lineRule="auto"/>
              <w:rPr>
                <w:rFonts w:ascii="Times New Roman" w:hAnsi="Times New Roman" w:cs="Times New Roman"/>
                <w:b/>
                <w:bCs/>
                <w:color w:val="000000" w:themeColor="text1"/>
                <w:sz w:val="18"/>
                <w:szCs w:val="18"/>
              </w:rPr>
            </w:pP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The Law on Cybersecurity was completed in 2023.  https://gzk.rks-gov.net/ActDocumentDetail.aspx?ActID=70933 </w:t>
            </w:r>
          </w:p>
        </w:tc>
      </w:tr>
      <w:tr w:rsidR="00001E51" w:rsidTr="00A835FC">
        <w:trPr>
          <w:trHeight w:val="97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I.4.2</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Approval of bylaws deriving from the Law on the Security of Networks and Information Systems.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2023</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100,000.00 </w:t>
            </w:r>
          </w:p>
        </w:tc>
        <w:tc>
          <w:tcPr>
            <w:tcW w:w="1055" w:type="dxa"/>
            <w:tcBorders>
              <w:top w:val="nil"/>
              <w:left w:val="nil"/>
              <w:bottom w:val="single" w:sz="8" w:space="0" w:color="auto"/>
              <w:right w:val="single" w:sz="8" w:space="0" w:color="auto"/>
            </w:tcBorders>
            <w:shd w:val="clear" w:color="000000" w:fill="FFFFFF"/>
            <w:noWrap/>
            <w:vAlign w:val="center"/>
            <w:hideMark/>
          </w:tcPr>
          <w:p w:rsidR="00660DD0" w:rsidRPr="00571EAF" w:rsidRDefault="001E0569" w:rsidP="00660DD0">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MIA, ME, ERO, KOSTT</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Secondary legislation adopted.</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Law on the Security of Networks and Informati</w:t>
            </w:r>
            <w:r>
              <w:rPr>
                <w:rFonts w:ascii="Times New Roman" w:hAnsi="Times New Roman"/>
                <w:sz w:val="18"/>
                <w:szCs w:val="18"/>
              </w:rPr>
              <w:lastRenderedPageBreak/>
              <w:t>on Systems.</w:t>
            </w:r>
          </w:p>
        </w:tc>
        <w:tc>
          <w:tcPr>
            <w:tcW w:w="0" w:type="auto"/>
            <w:gridSpan w:val="2"/>
            <w:tcBorders>
              <w:top w:val="nil"/>
              <w:left w:val="nil"/>
              <w:bottom w:val="single" w:sz="8" w:space="0" w:color="auto"/>
              <w:right w:val="single" w:sz="8" w:space="0" w:color="auto"/>
            </w:tcBorders>
            <w:shd w:val="clear" w:color="000000" w:fill="FFFFFF"/>
            <w:vAlign w:val="center"/>
            <w:hideMark/>
          </w:tcPr>
          <w:p w:rsidR="008B5BFD" w:rsidRDefault="001E0569" w:rsidP="00704512">
            <w:pPr>
              <w:spacing w:after="0" w:line="240" w:lineRule="auto"/>
              <w:rPr>
                <w:rFonts w:ascii="Times New Roman" w:hAnsi="Times New Roman" w:cs="Times New Roman"/>
                <w:b/>
                <w:color w:val="000000" w:themeColor="text1"/>
                <w:sz w:val="18"/>
                <w:szCs w:val="18"/>
              </w:rPr>
            </w:pPr>
            <w:r>
              <w:rPr>
                <w:rFonts w:ascii="Times New Roman" w:hAnsi="Times New Roman"/>
                <w:b/>
                <w:color w:val="000000" w:themeColor="text1"/>
                <w:sz w:val="18"/>
                <w:szCs w:val="18"/>
              </w:rPr>
              <w:lastRenderedPageBreak/>
              <w:t xml:space="preserve"> Seventy percent (70%)</w:t>
            </w:r>
          </w:p>
          <w:p w:rsidR="00DA141E" w:rsidRPr="008B5BFD" w:rsidRDefault="00DA141E" w:rsidP="00704512">
            <w:pPr>
              <w:spacing w:after="0" w:line="240" w:lineRule="auto"/>
              <w:rPr>
                <w:rFonts w:ascii="Times New Roman" w:hAnsi="Times New Roman" w:cs="Times New Roman"/>
                <w:b/>
                <w:color w:val="000000" w:themeColor="text1"/>
                <w:sz w:val="18"/>
                <w:szCs w:val="18"/>
              </w:rPr>
            </w:pPr>
          </w:p>
          <w:p w:rsidR="00704512" w:rsidRPr="00704512" w:rsidRDefault="001E0569" w:rsidP="00704512">
            <w:p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Bylaws deriving from Law No. 08/l-173 on Cyber Security/ publication date: 27 February 2023. Bylaws adopted:</w:t>
            </w:r>
          </w:p>
          <w:p w:rsidR="00704512" w:rsidRPr="00704512" w:rsidRDefault="00704512" w:rsidP="00704512">
            <w:pPr>
              <w:spacing w:after="0" w:line="240" w:lineRule="auto"/>
              <w:rPr>
                <w:rFonts w:ascii="Times New Roman" w:hAnsi="Times New Roman" w:cs="Times New Roman"/>
                <w:color w:val="000000" w:themeColor="text1"/>
                <w:sz w:val="18"/>
                <w:szCs w:val="18"/>
              </w:rPr>
            </w:pPr>
          </w:p>
          <w:p w:rsidR="00D9223B" w:rsidRDefault="001E0569" w:rsidP="00704512">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lastRenderedPageBreak/>
              <w:t xml:space="preserve">1. Regulation (GRK) - No. Regulation on the Duties and Responsibilities of the State Cyber Security Training Center/ publication date: 5 January 2024. </w:t>
            </w:r>
          </w:p>
          <w:p w:rsidR="00D9223B" w:rsidRDefault="001E0569" w:rsidP="00704512">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2. Regulation (GRK) No. 02/2025 ON Determining the Procedure of Work and Functioning of the National Cyber Security Council/ publication date: 4 April 2025. </w:t>
            </w:r>
          </w:p>
          <w:p w:rsidR="00D9223B" w:rsidRDefault="001E0569" w:rsidP="00704512">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3. Administrative Instruction (MIA) No. 11/2024 on the Competences, Mandate and Composition of the Commission for Complaints Against Decisions of the Cybersecurity Agency/ publication date: 26 December 2024. </w:t>
            </w:r>
          </w:p>
          <w:p w:rsidR="00D9223B" w:rsidRDefault="001E0569" w:rsidP="00704512">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4. Administrative Instruction (MIA) No. 08/2024 on Measures and Procedures Restricting or Temporarily Suspending the Use or Access to Network or Information Systems In the Event of a Cyber Incident/ publication date: 9 October 2024 </w:t>
            </w:r>
          </w:p>
          <w:p w:rsidR="00D9223B" w:rsidRDefault="001E0569" w:rsidP="00704512">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5. Administrative Instruction (MIA) No. 05/2024 on Registry of Cybersecurity Risks and Threats/ publication date: 3 September 2024 </w:t>
            </w:r>
          </w:p>
          <w:p w:rsidR="00D9223B" w:rsidRDefault="001E0569" w:rsidP="00704512">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6. Administrative Instruction (MIA) No. 03/on the Notification Procedure and Content of the Cyber Incident Report/ publication date: 27 August 2024.</w:t>
            </w:r>
          </w:p>
          <w:p w:rsidR="00D9223B" w:rsidRDefault="001E0569" w:rsidP="00704512">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 7. Administrative Instruction (MIA) 04/2024 on Registry of Cyber Incidents/ publication date: 27 August 2024. </w:t>
            </w:r>
          </w:p>
          <w:p w:rsidR="00660DD0" w:rsidRPr="00E411FD" w:rsidRDefault="001E0569" w:rsidP="00704512">
            <w:pPr>
              <w:spacing w:after="0" w:line="240" w:lineRule="auto"/>
              <w:jc w:val="both"/>
              <w:rPr>
                <w:rFonts w:ascii="Times New Roman" w:eastAsia="Times New Roman" w:hAnsi="Times New Roman" w:cs="Times New Roman"/>
                <w:color w:val="000000" w:themeColor="text1"/>
                <w:sz w:val="18"/>
                <w:szCs w:val="18"/>
                <w:highlight w:val="yellow"/>
              </w:rPr>
            </w:pPr>
            <w:r>
              <w:rPr>
                <w:rFonts w:ascii="Times New Roman" w:hAnsi="Times New Roman"/>
                <w:color w:val="000000" w:themeColor="text1"/>
                <w:sz w:val="18"/>
                <w:szCs w:val="18"/>
              </w:rPr>
              <w:t>8. Regulation (GRK) No. 05/2024 on Internal Organization and Systematization of Jobs in the Cyber Security Agency/ publication date: 7 March 2024.</w:t>
            </w:r>
          </w:p>
        </w:tc>
      </w:tr>
      <w:tr w:rsidR="00001E51" w:rsidTr="00A835FC">
        <w:trPr>
          <w:trHeight w:val="12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lastRenderedPageBreak/>
              <w:t>I.4.3</w:t>
            </w:r>
          </w:p>
        </w:tc>
        <w:tc>
          <w:tcPr>
            <w:tcW w:w="0" w:type="auto"/>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szCs w:val="18"/>
              </w:rPr>
              <w:t>Establishment of the Energy Sector Computer Emergency Response Team (eCERT) in Kosovo.</w:t>
            </w:r>
          </w:p>
        </w:tc>
        <w:tc>
          <w:tcPr>
            <w:tcW w:w="0" w:type="auto"/>
            <w:tcBorders>
              <w:top w:val="nil"/>
              <w:left w:val="nil"/>
              <w:bottom w:val="single" w:sz="8" w:space="0" w:color="auto"/>
              <w:right w:val="nil"/>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szCs w:val="18"/>
              </w:rPr>
              <w:t>2025</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252,250.00 </w:t>
            </w:r>
          </w:p>
        </w:tc>
        <w:tc>
          <w:tcPr>
            <w:tcW w:w="1055"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 €                  300,000.00 </w:t>
            </w:r>
          </w:p>
        </w:tc>
        <w:tc>
          <w:tcPr>
            <w:tcW w:w="988" w:type="dxa"/>
            <w:tcBorders>
              <w:top w:val="nil"/>
              <w:left w:val="nil"/>
              <w:bottom w:val="single" w:sz="8" w:space="0" w:color="auto"/>
              <w:right w:val="single" w:sz="8" w:space="0" w:color="auto"/>
            </w:tcBorders>
            <w:shd w:val="clear" w:color="000000" w:fill="FFFFFF"/>
            <w:vAlign w:val="center"/>
            <w:hideMark/>
          </w:tcPr>
          <w:p w:rsidR="00660DD0" w:rsidRPr="00571EAF"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 </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 donors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National CERT, MIA, ERO, KOSTT, KEK, KEDS</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Sector Computer Emergency Response Team (eCERT) in Kosovo established.</w:t>
            </w:r>
          </w:p>
        </w:tc>
        <w:tc>
          <w:tcPr>
            <w:tcW w:w="0" w:type="auto"/>
            <w:tcBorders>
              <w:top w:val="nil"/>
              <w:left w:val="nil"/>
              <w:bottom w:val="single" w:sz="8" w:space="0" w:color="auto"/>
              <w:right w:val="single" w:sz="8" w:space="0" w:color="auto"/>
            </w:tcBorders>
            <w:shd w:val="clear" w:color="000000" w:fill="FFFFFF"/>
            <w:vAlign w:val="center"/>
            <w:hideMark/>
          </w:tcPr>
          <w:p w:rsidR="00660DD0" w:rsidRPr="00635604" w:rsidRDefault="001E0569" w:rsidP="00660DD0">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0" w:type="auto"/>
            <w:gridSpan w:val="2"/>
            <w:tcBorders>
              <w:top w:val="nil"/>
              <w:left w:val="nil"/>
              <w:bottom w:val="single" w:sz="8" w:space="0" w:color="auto"/>
              <w:right w:val="single" w:sz="8" w:space="0" w:color="auto"/>
            </w:tcBorders>
            <w:shd w:val="clear" w:color="000000" w:fill="FFFFFF"/>
            <w:vAlign w:val="center"/>
            <w:hideMark/>
          </w:tcPr>
          <w:p w:rsidR="00ED22A4" w:rsidRPr="005F4783" w:rsidRDefault="001E0569" w:rsidP="00A835FC">
            <w:pPr>
              <w:spacing w:after="0"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Fifty percent (50%)</w:t>
            </w:r>
          </w:p>
          <w:p w:rsidR="005F4783" w:rsidRPr="00ED22A4" w:rsidRDefault="005F4783" w:rsidP="00A835FC">
            <w:pPr>
              <w:spacing w:after="0" w:line="240" w:lineRule="auto"/>
              <w:rPr>
                <w:rFonts w:ascii="Times New Roman" w:hAnsi="Times New Roman" w:cs="Times New Roman"/>
                <w:b/>
                <w:color w:val="000000" w:themeColor="text1"/>
                <w:sz w:val="18"/>
                <w:szCs w:val="18"/>
              </w:rPr>
            </w:pPr>
          </w:p>
          <w:p w:rsidR="00660DD0" w:rsidRPr="00ED22A4"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Terms of Reference for the establishment of eCERT completed.</w:t>
            </w:r>
          </w:p>
        </w:tc>
      </w:tr>
    </w:tbl>
    <w:p w:rsidR="00A835FC" w:rsidRDefault="00A835FC" w:rsidP="007D1D84">
      <w:pPr>
        <w:pStyle w:val="ListParagraph"/>
        <w:ind w:left="1080"/>
        <w:rPr>
          <w:rFonts w:ascii="Times New Roman" w:hAnsi="Times New Roman" w:cs="Times New Roman"/>
          <w:b/>
          <w:sz w:val="28"/>
          <w:szCs w:val="24"/>
        </w:rPr>
      </w:pPr>
    </w:p>
    <w:p w:rsidR="00E07348" w:rsidRDefault="00E07348" w:rsidP="007D1D84">
      <w:pPr>
        <w:pStyle w:val="ListParagraph"/>
        <w:ind w:left="1080"/>
        <w:rPr>
          <w:rFonts w:ascii="Times New Roman" w:hAnsi="Times New Roman" w:cs="Times New Roman"/>
          <w:b/>
          <w:sz w:val="28"/>
          <w:szCs w:val="24"/>
        </w:rPr>
      </w:pPr>
    </w:p>
    <w:tbl>
      <w:tblPr>
        <w:tblW w:w="5000" w:type="pct"/>
        <w:tblLayout w:type="fixed"/>
        <w:tblLook w:val="04A0" w:firstRow="1" w:lastRow="0" w:firstColumn="1" w:lastColumn="0" w:noHBand="0" w:noVBand="1"/>
      </w:tblPr>
      <w:tblGrid>
        <w:gridCol w:w="535"/>
        <w:gridCol w:w="1350"/>
        <w:gridCol w:w="720"/>
        <w:gridCol w:w="648"/>
        <w:gridCol w:w="966"/>
        <w:gridCol w:w="1091"/>
        <w:gridCol w:w="1075"/>
        <w:gridCol w:w="896"/>
        <w:gridCol w:w="907"/>
        <w:gridCol w:w="1114"/>
        <w:gridCol w:w="961"/>
        <w:gridCol w:w="83"/>
        <w:gridCol w:w="2609"/>
      </w:tblGrid>
      <w:tr w:rsidR="00001E51" w:rsidTr="00000A7B">
        <w:trPr>
          <w:trHeight w:val="480"/>
        </w:trPr>
        <w:tc>
          <w:tcPr>
            <w:tcW w:w="3961"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71EAF" w:rsidRPr="005C5F17" w:rsidRDefault="001E0569" w:rsidP="00571EAF">
            <w:pPr>
              <w:spacing w:after="0" w:line="240" w:lineRule="auto"/>
              <w:jc w:val="center"/>
              <w:rPr>
                <w:rFonts w:ascii="Calibri" w:eastAsia="Times New Roman" w:hAnsi="Calibri" w:cs="Calibri"/>
                <w:b/>
                <w:bCs/>
                <w:i/>
                <w:iCs/>
                <w:sz w:val="24"/>
                <w:szCs w:val="24"/>
              </w:rPr>
            </w:pPr>
            <w:r>
              <w:rPr>
                <w:rFonts w:ascii="Calibri" w:hAnsi="Calibri"/>
                <w:b/>
                <w:bCs/>
                <w:i/>
                <w:iCs/>
                <w:sz w:val="24"/>
                <w:szCs w:val="24"/>
              </w:rPr>
              <w:t>MONITORING THE IMPLEMENTATION OF THE KESIP FOR THE PERIOD 2022-2025: STRATEGIC OBJECTIVE 2</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Calibri" w:eastAsia="Times New Roman" w:hAnsi="Calibri" w:cs="Calibri"/>
                <w:b/>
                <w:bCs/>
                <w:i/>
                <w:iCs/>
                <w:sz w:val="24"/>
                <w:szCs w:val="24"/>
              </w:rPr>
            </w:pPr>
          </w:p>
        </w:tc>
      </w:tr>
      <w:tr w:rsidR="00001E51" w:rsidTr="00000A7B">
        <w:trPr>
          <w:trHeight w:val="885"/>
        </w:trPr>
        <w:tc>
          <w:tcPr>
            <w:tcW w:w="3961" w:type="pct"/>
            <w:gridSpan w:val="11"/>
            <w:tcBorders>
              <w:top w:val="nil"/>
              <w:left w:val="nil"/>
              <w:bottom w:val="single" w:sz="8" w:space="0" w:color="auto"/>
              <w:right w:val="nil"/>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SO2: DECARBONIZATION AND PROMOTING RENEWABLE ENERGY</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rPr>
            </w:pPr>
          </w:p>
        </w:tc>
      </w:tr>
      <w:tr w:rsidR="00001E51" w:rsidTr="00000A7B">
        <w:trPr>
          <w:trHeight w:val="735"/>
        </w:trPr>
        <w:tc>
          <w:tcPr>
            <w:tcW w:w="206" w:type="pct"/>
            <w:tcBorders>
              <w:top w:val="nil"/>
              <w:left w:val="single" w:sz="8" w:space="0" w:color="auto"/>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521" w:type="pct"/>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Strategic and specific objectives, indicators and actions</w:t>
            </w:r>
          </w:p>
        </w:tc>
        <w:tc>
          <w:tcPr>
            <w:tcW w:w="901" w:type="pct"/>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Baseline value</w:t>
            </w:r>
          </w:p>
        </w:tc>
        <w:tc>
          <w:tcPr>
            <w:tcW w:w="836" w:type="pct"/>
            <w:gridSpan w:val="2"/>
            <w:tcBorders>
              <w:top w:val="single" w:sz="8" w:space="0" w:color="auto"/>
              <w:left w:val="nil"/>
              <w:bottom w:val="single" w:sz="8" w:space="0" w:color="auto"/>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Interim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46" w:type="pct"/>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1151" w:type="pct"/>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Outcome</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000A7B">
        <w:trPr>
          <w:trHeight w:val="315"/>
        </w:trPr>
        <w:tc>
          <w:tcPr>
            <w:tcW w:w="206"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II.</w:t>
            </w:r>
          </w:p>
        </w:tc>
        <w:tc>
          <w:tcPr>
            <w:tcW w:w="3755" w:type="pct"/>
            <w:gridSpan w:val="10"/>
            <w:tcBorders>
              <w:top w:val="single" w:sz="8" w:space="0" w:color="auto"/>
              <w:left w:val="nil"/>
              <w:bottom w:val="single" w:sz="8" w:space="0" w:color="auto"/>
              <w:right w:val="single" w:sz="8" w:space="0" w:color="000000"/>
            </w:tcBorders>
            <w:shd w:val="clear" w:color="000000" w:fill="BFBFBF"/>
            <w:vAlign w:val="center"/>
            <w:hideMark/>
          </w:tcPr>
          <w:p w:rsidR="00571EAF" w:rsidRPr="00FA4AA2" w:rsidRDefault="001E0569" w:rsidP="00FA4AA2">
            <w:pPr>
              <w:rPr>
                <w:rFonts w:ascii="Times New Roman" w:hAnsi="Times New Roman" w:cs="Times New Roman"/>
                <w:sz w:val="20"/>
                <w:szCs w:val="20"/>
              </w:rPr>
            </w:pPr>
            <w:r>
              <w:rPr>
                <w:rFonts w:ascii="Times New Roman" w:hAnsi="Times New Roman"/>
                <w:b/>
                <w:bCs/>
                <w:sz w:val="18"/>
                <w:szCs w:val="18"/>
              </w:rPr>
              <w:t>STRATEGIC OBJECTIVE 2: DECARBONIZATION AND PROMOTING RENEWABLE ENERGY</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r>
      <w:tr w:rsidR="00001E51" w:rsidTr="00000A7B">
        <w:trPr>
          <w:trHeight w:val="975"/>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521" w:type="pct"/>
            <w:tcBorders>
              <w:top w:val="nil"/>
              <w:left w:val="nil"/>
              <w:bottom w:val="single" w:sz="8" w:space="0" w:color="auto"/>
              <w:right w:val="single" w:sz="8" w:space="0" w:color="auto"/>
            </w:tcBorders>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Reduction of Greenhouse Gas (GHG) emissions in the electricity sector compared to 2019.</w:t>
            </w:r>
          </w:p>
        </w:tc>
        <w:tc>
          <w:tcPr>
            <w:tcW w:w="901" w:type="pct"/>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0% [2019]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(6316 ktCO2)</w:t>
            </w:r>
          </w:p>
        </w:tc>
        <w:tc>
          <w:tcPr>
            <w:tcW w:w="836" w:type="pct"/>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0%</w:t>
            </w:r>
          </w:p>
        </w:tc>
        <w:tc>
          <w:tcPr>
            <w:tcW w:w="346" w:type="pct"/>
            <w:tcBorders>
              <w:top w:val="nil"/>
              <w:left w:val="nil"/>
              <w:bottom w:val="nil"/>
              <w:right w:val="nil"/>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-32%</w:t>
            </w:r>
          </w:p>
        </w:tc>
        <w:tc>
          <w:tcPr>
            <w:tcW w:w="1151" w:type="pct"/>
            <w:gridSpan w:val="3"/>
            <w:tcBorders>
              <w:top w:val="single" w:sz="8" w:space="0" w:color="auto"/>
              <w:left w:val="single" w:sz="8" w:space="0" w:color="auto"/>
              <w:bottom w:val="nil"/>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975"/>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521" w:type="pct"/>
            <w:tcBorders>
              <w:top w:val="nil"/>
              <w:left w:val="nil"/>
              <w:bottom w:val="single" w:sz="8" w:space="0" w:color="auto"/>
              <w:right w:val="single" w:sz="8" w:space="0" w:color="auto"/>
            </w:tcBorders>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Share of renewable sources </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in the electricity sector </w:t>
            </w:r>
            <w:r>
              <w:rPr>
                <w:rFonts w:ascii="Times New Roman" w:hAnsi="Times New Roman"/>
                <w:sz w:val="18"/>
                <w:szCs w:val="18"/>
              </w:rPr>
              <w:lastRenderedPageBreak/>
              <w:t>consumption (RES).</w:t>
            </w: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 xml:space="preserve"> 6.3% [2021] </w:t>
            </w:r>
          </w:p>
        </w:tc>
        <w:tc>
          <w:tcPr>
            <w:tcW w:w="836" w:type="pct"/>
            <w:gridSpan w:val="2"/>
            <w:tcBorders>
              <w:top w:val="single" w:sz="8" w:space="0" w:color="auto"/>
              <w:left w:val="nil"/>
              <w:bottom w:val="single" w:sz="8" w:space="0" w:color="auto"/>
              <w:right w:val="nil"/>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Minimum 13%</w:t>
            </w:r>
          </w:p>
        </w:tc>
        <w:tc>
          <w:tcPr>
            <w:tcW w:w="346" w:type="pct"/>
            <w:tcBorders>
              <w:top w:val="single" w:sz="8" w:space="0" w:color="auto"/>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Minimum 35%</w:t>
            </w:r>
          </w:p>
        </w:tc>
        <w:tc>
          <w:tcPr>
            <w:tcW w:w="115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315"/>
        </w:trPr>
        <w:tc>
          <w:tcPr>
            <w:tcW w:w="206"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II.1</w:t>
            </w:r>
          </w:p>
        </w:tc>
        <w:tc>
          <w:tcPr>
            <w:tcW w:w="3755"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Gradual implementation of carbon pricing</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r>
      <w:tr w:rsidR="00001E51" w:rsidTr="00000A7B">
        <w:trPr>
          <w:trHeight w:val="735"/>
        </w:trPr>
        <w:tc>
          <w:tcPr>
            <w:tcW w:w="206" w:type="pct"/>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521" w:type="pct"/>
            <w:tcBorders>
              <w:top w:val="nil"/>
              <w:left w:val="nil"/>
              <w:bottom w:val="nil"/>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901" w:type="pct"/>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836"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46"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1151"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000A7B">
        <w:trPr>
          <w:trHeight w:val="975"/>
        </w:trPr>
        <w:tc>
          <w:tcPr>
            <w:tcW w:w="206" w:type="pct"/>
            <w:tcBorders>
              <w:top w:val="nil"/>
              <w:left w:val="single" w:sz="8" w:space="0" w:color="auto"/>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521" w:type="pct"/>
            <w:tcBorders>
              <w:top w:val="single" w:sz="8" w:space="0" w:color="auto"/>
              <w:left w:val="nil"/>
              <w:bottom w:val="nil"/>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Gradual implementation of carbon pricing</w:t>
            </w:r>
          </w:p>
        </w:tc>
        <w:tc>
          <w:tcPr>
            <w:tcW w:w="901" w:type="pct"/>
            <w:gridSpan w:val="3"/>
            <w:tcBorders>
              <w:top w:val="single" w:sz="8" w:space="0" w:color="auto"/>
              <w:left w:val="nil"/>
              <w:bottom w:val="nil"/>
              <w:right w:val="single" w:sz="8" w:space="0" w:color="000000"/>
            </w:tcBorders>
            <w:vAlign w:val="center"/>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Not presented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[2021]</w:t>
            </w:r>
          </w:p>
        </w:tc>
        <w:tc>
          <w:tcPr>
            <w:tcW w:w="836" w:type="pct"/>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Preparations for carbon pricing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system have been completed.</w:t>
            </w:r>
          </w:p>
        </w:tc>
        <w:tc>
          <w:tcPr>
            <w:tcW w:w="346" w:type="pct"/>
            <w:tcBorders>
              <w:top w:val="nil"/>
              <w:left w:val="nil"/>
              <w:bottom w:val="nil"/>
              <w:right w:val="single" w:sz="8" w:space="0" w:color="auto"/>
            </w:tcBorders>
            <w:vAlign w:val="center"/>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Integration into the EU ETS</w:t>
            </w:r>
          </w:p>
        </w:tc>
        <w:tc>
          <w:tcPr>
            <w:tcW w:w="115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000A7B">
        <w:trPr>
          <w:trHeight w:val="315"/>
        </w:trPr>
        <w:tc>
          <w:tcPr>
            <w:tcW w:w="20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52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459" w:type="pct"/>
            <w:gridSpan w:val="4"/>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34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50"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430"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7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039" w:type="pct"/>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A87BA9"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Implementation progress January - June 2025</w:t>
            </w:r>
          </w:p>
        </w:tc>
      </w:tr>
      <w:tr w:rsidR="00001E51" w:rsidTr="00000A7B">
        <w:trPr>
          <w:trHeight w:val="300"/>
        </w:trPr>
        <w:tc>
          <w:tcPr>
            <w:tcW w:w="206"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521"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0"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73"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21"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15"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46"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43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7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039" w:type="pct"/>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000A7B">
        <w:trPr>
          <w:trHeight w:val="825"/>
        </w:trPr>
        <w:tc>
          <w:tcPr>
            <w:tcW w:w="206"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521"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0"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73"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421"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415"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46"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43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7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039" w:type="pct"/>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000A7B">
        <w:trPr>
          <w:trHeight w:val="735"/>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II.1.1</w:t>
            </w:r>
          </w:p>
        </w:tc>
        <w:tc>
          <w:tcPr>
            <w:tcW w:w="521"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the Long-Term Decarbonization Strategy.</w:t>
            </w:r>
          </w:p>
        </w:tc>
        <w:tc>
          <w:tcPr>
            <w:tcW w:w="27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5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37,228.13 </w:t>
            </w:r>
          </w:p>
        </w:tc>
        <w:tc>
          <w:tcPr>
            <w:tcW w:w="421"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32,228.13 </w:t>
            </w:r>
          </w:p>
        </w:tc>
        <w:tc>
          <w:tcPr>
            <w:tcW w:w="415"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5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w:t>
            </w:r>
          </w:p>
        </w:tc>
        <w:tc>
          <w:tcPr>
            <w:tcW w:w="43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Strategy drafted and approved. </w:t>
            </w:r>
          </w:p>
        </w:tc>
        <w:tc>
          <w:tcPr>
            <w:tcW w:w="371" w:type="pct"/>
            <w:tcBorders>
              <w:top w:val="nil"/>
              <w:left w:val="nil"/>
              <w:bottom w:val="single" w:sz="8" w:space="0" w:color="auto"/>
              <w:right w:val="single" w:sz="8" w:space="0" w:color="auto"/>
            </w:tcBorders>
            <w:vAlign w:val="center"/>
            <w:hideMark/>
          </w:tcPr>
          <w:p w:rsidR="00571EAF" w:rsidRPr="00180A7C"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Draft Law on Climate Change.</w:t>
            </w:r>
          </w:p>
        </w:tc>
        <w:tc>
          <w:tcPr>
            <w:tcW w:w="1039" w:type="pct"/>
            <w:gridSpan w:val="2"/>
            <w:tcBorders>
              <w:top w:val="nil"/>
              <w:left w:val="nil"/>
              <w:bottom w:val="single" w:sz="8" w:space="0" w:color="auto"/>
              <w:right w:val="single" w:sz="8" w:space="0" w:color="auto"/>
            </w:tcBorders>
            <w:shd w:val="clear" w:color="000000" w:fill="FFFFFF"/>
            <w:noWrap/>
            <w:vAlign w:val="bottom"/>
            <w:hideMark/>
          </w:tcPr>
          <w:p w:rsidR="00FA0B64" w:rsidRDefault="001E0569" w:rsidP="00FA0B64">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571EAF" w:rsidRPr="00236567" w:rsidRDefault="00571EAF" w:rsidP="00FA0B64">
            <w:pPr>
              <w:spacing w:after="0" w:line="240" w:lineRule="auto"/>
              <w:rPr>
                <w:rFonts w:ascii="Times New Roman" w:eastAsia="Times New Roman" w:hAnsi="Times New Roman" w:cs="Times New Roman"/>
                <w:b/>
              </w:rPr>
            </w:pPr>
          </w:p>
        </w:tc>
      </w:tr>
      <w:tr w:rsidR="00001E51" w:rsidTr="00ED22A4">
        <w:trPr>
          <w:trHeight w:val="1065"/>
        </w:trPr>
        <w:tc>
          <w:tcPr>
            <w:tcW w:w="206" w:type="pct"/>
            <w:tcBorders>
              <w:top w:val="nil"/>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II.1.2</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Transposition and implementation of MRR (EU) 2018/2066, AVR (EU) 2018/2067 and AR (EC) 765/2008 regulations</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26,296.00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26,296.00 </w:t>
            </w:r>
          </w:p>
        </w:tc>
        <w:tc>
          <w:tcPr>
            <w:tcW w:w="346"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w:t>
            </w:r>
          </w:p>
        </w:tc>
        <w:tc>
          <w:tcPr>
            <w:tcW w:w="43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Regulation on Monitoring, Reporting and Verification transposed.</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180A7C"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Draft Law on Climate Change.</w:t>
            </w:r>
          </w:p>
        </w:tc>
        <w:tc>
          <w:tcPr>
            <w:tcW w:w="1039" w:type="pct"/>
            <w:gridSpan w:val="2"/>
            <w:tcBorders>
              <w:top w:val="nil"/>
              <w:left w:val="nil"/>
              <w:bottom w:val="single" w:sz="8" w:space="0" w:color="auto"/>
              <w:right w:val="single" w:sz="8" w:space="0" w:color="auto"/>
            </w:tcBorders>
            <w:shd w:val="clear" w:color="000000" w:fill="FFFFFF"/>
            <w:noWrap/>
            <w:vAlign w:val="center"/>
            <w:hideMark/>
          </w:tcPr>
          <w:p w:rsidR="00FA0B64" w:rsidRDefault="001E0569" w:rsidP="00FA0B64">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571EAF" w:rsidRPr="00DA3784" w:rsidRDefault="00571EAF" w:rsidP="00ED22A4">
            <w:pPr>
              <w:spacing w:after="0" w:line="240" w:lineRule="auto"/>
              <w:jc w:val="center"/>
              <w:rPr>
                <w:rFonts w:ascii="Times New Roman" w:eastAsia="Times New Roman" w:hAnsi="Times New Roman" w:cs="Times New Roman"/>
                <w:b/>
                <w:sz w:val="18"/>
                <w:szCs w:val="18"/>
              </w:rPr>
            </w:pPr>
          </w:p>
        </w:tc>
      </w:tr>
      <w:tr w:rsidR="00001E51" w:rsidTr="00ED22A4">
        <w:trPr>
          <w:trHeight w:val="1215"/>
        </w:trPr>
        <w:tc>
          <w:tcPr>
            <w:tcW w:w="206" w:type="pct"/>
            <w:tcBorders>
              <w:top w:val="nil"/>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II.1.3</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Establishing supporting infrastructure and governance system.</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13,000.00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13,000.00 </w:t>
            </w:r>
          </w:p>
        </w:tc>
        <w:tc>
          <w:tcPr>
            <w:tcW w:w="346"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ME, MESPI </w:t>
            </w:r>
          </w:p>
        </w:tc>
        <w:tc>
          <w:tcPr>
            <w:tcW w:w="430" w:type="pct"/>
            <w:tcBorders>
              <w:top w:val="nil"/>
              <w:left w:val="nil"/>
              <w:bottom w:val="single" w:sz="8" w:space="0" w:color="auto"/>
              <w:right w:val="single" w:sz="8" w:space="0" w:color="auto"/>
            </w:tcBorders>
            <w:shd w:val="clear" w:color="000000" w:fill="FFFFFF"/>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Operationalization of the governance system for monitoring, </w:t>
            </w:r>
            <w:r>
              <w:rPr>
                <w:rFonts w:ascii="Times New Roman" w:hAnsi="Times New Roman"/>
                <w:sz w:val="18"/>
                <w:szCs w:val="18"/>
              </w:rPr>
              <w:lastRenderedPageBreak/>
              <w:t>reporting and verifying carbon emissions.</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146DCA" w:rsidRDefault="001E0569" w:rsidP="00571EAF">
            <w:pPr>
              <w:spacing w:after="0" w:line="240" w:lineRule="auto"/>
              <w:jc w:val="center"/>
              <w:rPr>
                <w:rFonts w:ascii="Times New Roman" w:eastAsia="Times New Roman" w:hAnsi="Times New Roman" w:cs="Times New Roman"/>
                <w:color w:val="FF0000"/>
                <w:sz w:val="18"/>
                <w:szCs w:val="18"/>
              </w:rPr>
            </w:pPr>
            <w:r>
              <w:rPr>
                <w:rFonts w:ascii="Times New Roman" w:hAnsi="Times New Roman"/>
                <w:sz w:val="18"/>
                <w:szCs w:val="18"/>
              </w:rPr>
              <w:lastRenderedPageBreak/>
              <w:t>Draft Law on Climate Change.</w:t>
            </w:r>
          </w:p>
        </w:tc>
        <w:tc>
          <w:tcPr>
            <w:tcW w:w="1039" w:type="pct"/>
            <w:gridSpan w:val="2"/>
            <w:tcBorders>
              <w:top w:val="nil"/>
              <w:left w:val="nil"/>
              <w:bottom w:val="single" w:sz="8" w:space="0" w:color="auto"/>
              <w:right w:val="single" w:sz="8" w:space="0" w:color="auto"/>
            </w:tcBorders>
            <w:shd w:val="clear" w:color="000000" w:fill="FFFFFF"/>
            <w:noWrap/>
            <w:vAlign w:val="center"/>
            <w:hideMark/>
          </w:tcPr>
          <w:p w:rsidR="00550783" w:rsidRDefault="001E0569" w:rsidP="00550783">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571EAF" w:rsidRPr="00DA3784" w:rsidRDefault="00571EAF" w:rsidP="00ED22A4">
            <w:pPr>
              <w:spacing w:after="0" w:line="240" w:lineRule="auto"/>
              <w:jc w:val="center"/>
              <w:rPr>
                <w:rFonts w:ascii="Times New Roman" w:eastAsia="Times New Roman" w:hAnsi="Times New Roman" w:cs="Times New Roman"/>
                <w:b/>
                <w:sz w:val="18"/>
                <w:szCs w:val="18"/>
              </w:rPr>
            </w:pPr>
          </w:p>
        </w:tc>
      </w:tr>
      <w:tr w:rsidR="00001E51" w:rsidTr="00000A7B">
        <w:trPr>
          <w:trHeight w:val="495"/>
        </w:trPr>
        <w:tc>
          <w:tcPr>
            <w:tcW w:w="206" w:type="pct"/>
            <w:tcBorders>
              <w:top w:val="nil"/>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II.1.4</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Studying the impact of carbon pricing. </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2024-2025</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600,000.00 </w:t>
            </w:r>
          </w:p>
        </w:tc>
        <w:tc>
          <w:tcPr>
            <w:tcW w:w="346"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IMF</w:t>
            </w:r>
          </w:p>
        </w:tc>
        <w:tc>
          <w:tcPr>
            <w:tcW w:w="3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w:t>
            </w:r>
          </w:p>
        </w:tc>
        <w:tc>
          <w:tcPr>
            <w:tcW w:w="43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Study completed.</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039" w:type="pct"/>
            <w:gridSpan w:val="2"/>
            <w:tcBorders>
              <w:top w:val="nil"/>
              <w:left w:val="nil"/>
              <w:bottom w:val="single" w:sz="8" w:space="0" w:color="auto"/>
              <w:right w:val="single" w:sz="8" w:space="0" w:color="auto"/>
            </w:tcBorders>
            <w:shd w:val="clear" w:color="000000" w:fill="FFFFFF"/>
            <w:noWrap/>
            <w:vAlign w:val="bottom"/>
            <w:hideMark/>
          </w:tcPr>
          <w:p w:rsidR="00571EAF" w:rsidRPr="00FC1CD4" w:rsidRDefault="00571EAF" w:rsidP="00571EAF">
            <w:pPr>
              <w:spacing w:after="0" w:line="240" w:lineRule="auto"/>
              <w:rPr>
                <w:rFonts w:ascii="Times New Roman" w:eastAsia="Times New Roman" w:hAnsi="Times New Roman" w:cs="Times New Roman"/>
              </w:rPr>
            </w:pPr>
          </w:p>
        </w:tc>
      </w:tr>
      <w:tr w:rsidR="00001E51" w:rsidTr="00000A7B">
        <w:trPr>
          <w:trHeight w:val="315"/>
        </w:trPr>
        <w:tc>
          <w:tcPr>
            <w:tcW w:w="206"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II.2</w:t>
            </w:r>
          </w:p>
        </w:tc>
        <w:tc>
          <w:tcPr>
            <w:tcW w:w="3755"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Promotion of renewable energy in electricity consumption</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r>
      <w:tr w:rsidR="00001E51" w:rsidTr="00000A7B">
        <w:trPr>
          <w:trHeight w:val="735"/>
        </w:trPr>
        <w:tc>
          <w:tcPr>
            <w:tcW w:w="206" w:type="pct"/>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521" w:type="pct"/>
            <w:tcBorders>
              <w:top w:val="nil"/>
              <w:left w:val="nil"/>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901" w:type="pct"/>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836"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46"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1151"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000A7B">
        <w:trPr>
          <w:trHeight w:val="975"/>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521" w:type="pct"/>
            <w:tcBorders>
              <w:top w:val="nil"/>
              <w:left w:val="nil"/>
              <w:bottom w:val="single" w:sz="8" w:space="0" w:color="auto"/>
              <w:right w:val="single" w:sz="8" w:space="0" w:color="auto"/>
            </w:tcBorders>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Total renewable capacities in the electricity sector</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(including prosumers).</w:t>
            </w: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279 MW [2021]</w:t>
            </w:r>
          </w:p>
        </w:tc>
        <w:tc>
          <w:tcPr>
            <w:tcW w:w="836"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490 MW</w:t>
            </w:r>
          </w:p>
        </w:tc>
        <w:tc>
          <w:tcPr>
            <w:tcW w:w="346"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1600 MW</w:t>
            </w:r>
          </w:p>
        </w:tc>
        <w:tc>
          <w:tcPr>
            <w:tcW w:w="115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495"/>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521"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Capacity of self-consumer </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producers (prosumers)</w:t>
            </w: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 MW (2021)</w:t>
            </w:r>
          </w:p>
        </w:tc>
        <w:tc>
          <w:tcPr>
            <w:tcW w:w="836"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30 MW</w:t>
            </w:r>
          </w:p>
        </w:tc>
        <w:tc>
          <w:tcPr>
            <w:tcW w:w="346"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Minimum 100 MW</w:t>
            </w:r>
          </w:p>
        </w:tc>
        <w:tc>
          <w:tcPr>
            <w:tcW w:w="115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039" w:type="pct"/>
            <w:gridSpan w:val="2"/>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315"/>
        </w:trPr>
        <w:tc>
          <w:tcPr>
            <w:tcW w:w="206"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52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7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459" w:type="pct"/>
            <w:gridSpan w:val="4"/>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346"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50"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430"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7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039" w:type="pct"/>
            <w:gridSpan w:val="2"/>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A25CE5"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Implementation progress January - June 2025</w:t>
            </w:r>
          </w:p>
        </w:tc>
      </w:tr>
      <w:tr w:rsidR="00001E51" w:rsidTr="00000A7B">
        <w:trPr>
          <w:trHeight w:val="300"/>
        </w:trPr>
        <w:tc>
          <w:tcPr>
            <w:tcW w:w="20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0"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73"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21"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15"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4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43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7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039" w:type="pct"/>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000A7B">
        <w:trPr>
          <w:trHeight w:val="735"/>
        </w:trPr>
        <w:tc>
          <w:tcPr>
            <w:tcW w:w="20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52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0"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73"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421"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415"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4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430"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7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039" w:type="pct"/>
            <w:gridSpan w:val="2"/>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000A7B">
        <w:trPr>
          <w:trHeight w:val="735"/>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II.2.1</w:t>
            </w:r>
          </w:p>
        </w:tc>
        <w:tc>
          <w:tcPr>
            <w:tcW w:w="521" w:type="pct"/>
            <w:tcBorders>
              <w:top w:val="nil"/>
              <w:left w:val="nil"/>
              <w:bottom w:val="single" w:sz="8" w:space="0" w:color="auto"/>
              <w:right w:val="single" w:sz="8" w:space="0" w:color="auto"/>
            </w:tcBorders>
            <w:vAlign w:val="center"/>
            <w:hideMark/>
          </w:tcPr>
          <w:p w:rsidR="00571EAF" w:rsidRPr="001A118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adopting the Law on Renewable Energy Sources (RES).</w:t>
            </w:r>
          </w:p>
        </w:tc>
        <w:tc>
          <w:tcPr>
            <w:tcW w:w="27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5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€ 12,000.00 </w:t>
            </w:r>
          </w:p>
        </w:tc>
        <w:tc>
          <w:tcPr>
            <w:tcW w:w="373"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2,000.00 </w:t>
            </w:r>
          </w:p>
        </w:tc>
        <w:tc>
          <w:tcPr>
            <w:tcW w:w="421"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donors</w:t>
            </w:r>
          </w:p>
        </w:tc>
        <w:tc>
          <w:tcPr>
            <w:tcW w:w="35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43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on RES drafted and approved.</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A835FC">
        <w:trPr>
          <w:trHeight w:val="430"/>
        </w:trPr>
        <w:tc>
          <w:tcPr>
            <w:tcW w:w="206" w:type="pct"/>
            <w:tcBorders>
              <w:top w:val="nil"/>
              <w:left w:val="single" w:sz="8" w:space="0" w:color="auto"/>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II.2.2</w:t>
            </w:r>
          </w:p>
        </w:tc>
        <w:tc>
          <w:tcPr>
            <w:tcW w:w="521" w:type="pct"/>
            <w:tcBorders>
              <w:top w:val="nil"/>
              <w:left w:val="nil"/>
              <w:bottom w:val="single" w:sz="8" w:space="0" w:color="auto"/>
              <w:right w:val="single" w:sz="8" w:space="0" w:color="auto"/>
            </w:tcBorders>
            <w:vAlign w:val="center"/>
            <w:hideMark/>
          </w:tcPr>
          <w:p w:rsidR="001A118E" w:rsidRPr="001A118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Adoption of bylaws related to the Law on Renewable </w:t>
            </w:r>
            <w:r>
              <w:rPr>
                <w:rFonts w:ascii="Times New Roman" w:hAnsi="Times New Roman"/>
                <w:sz w:val="18"/>
                <w:szCs w:val="18"/>
              </w:rPr>
              <w:lastRenderedPageBreak/>
              <w:t>Energy Sources</w:t>
            </w:r>
          </w:p>
          <w:p w:rsidR="00571EAF" w:rsidRPr="001A118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(RES).</w:t>
            </w:r>
          </w:p>
        </w:tc>
        <w:tc>
          <w:tcPr>
            <w:tcW w:w="27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2024</w:t>
            </w:r>
          </w:p>
        </w:tc>
        <w:tc>
          <w:tcPr>
            <w:tcW w:w="25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8,000.00 </w:t>
            </w:r>
          </w:p>
        </w:tc>
        <w:tc>
          <w:tcPr>
            <w:tcW w:w="421"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8,000.00 </w:t>
            </w:r>
          </w:p>
        </w:tc>
        <w:tc>
          <w:tcPr>
            <w:tcW w:w="415"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donors</w:t>
            </w:r>
          </w:p>
        </w:tc>
        <w:tc>
          <w:tcPr>
            <w:tcW w:w="35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tc>
        <w:tc>
          <w:tcPr>
            <w:tcW w:w="430"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Secondary legislation adopted</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w:t>
            </w:r>
            <w:r>
              <w:rPr>
                <w:rFonts w:ascii="Times New Roman" w:hAnsi="Times New Roman"/>
                <w:sz w:val="18"/>
                <w:szCs w:val="18"/>
              </w:rPr>
              <w:lastRenderedPageBreak/>
              <w:t xml:space="preserve">2022 - 2031 </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ED22A4" w:rsidRPr="00077A5C" w:rsidRDefault="001E0569" w:rsidP="00A835FC">
            <w:pPr>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lastRenderedPageBreak/>
              <w:t xml:space="preserve">   Seventy percent (70%)           </w:t>
            </w:r>
          </w:p>
          <w:p w:rsidR="00701E79"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1.  Draft Administrative Instruction (AI) for the National Renewable Energy Target - the </w:t>
            </w:r>
            <w:r>
              <w:rPr>
                <w:rFonts w:ascii="Times New Roman" w:hAnsi="Times New Roman"/>
                <w:color w:val="000000" w:themeColor="text1"/>
                <w:sz w:val="18"/>
                <w:szCs w:val="18"/>
              </w:rPr>
              <w:lastRenderedPageBreak/>
              <w:t xml:space="preserve">draft has been commented on and is ready for proceeding for preliminary and public discussion.                             </w:t>
            </w:r>
          </w:p>
          <w:p w:rsidR="00701E79"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2. Draft Regulation on Definition of Certification Schemes or Equivalent Qualification Schemes - 3. The Draft Administrative Instruction (AI) on setting the deadlines and conditions for providing support for the generation of thermal energy from Renewable Energy Sources (RES) or high-efficiency cogeneration has been drafted, and we are awaiting comments from the members of the Working Group (WG) so that the draft can be submitted for preliminary and public discussion.</w:t>
            </w:r>
          </w:p>
          <w:p w:rsidR="00701E79"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4.  Draft Administrative Instruction (AI) on determining measures to increase the share of Renewable Energy Sources (RES) in the heating and cooling sector - we are awaiting comments from the members of the Working Group (WG), and after addressing the comments, the draft will be ready for preliminary and public discussion.</w:t>
            </w:r>
          </w:p>
          <w:p w:rsidR="00701E79"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5. Draft Administrative Instruction (AI) for One Stop Shop for Renewable Energy Sources (RES) - we are awaiting comments from the members of the Working Group (WG) for the draft to be put into preliminary and public discussion.</w:t>
            </w:r>
          </w:p>
          <w:p w:rsidR="00701E79"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lastRenderedPageBreak/>
              <w:t>6. Draft Administrative Instruction (AI) on calculation of all types of energy sources in the electricity sold and the method of control for calculations, we are awaiting comments from the members of the Working Group (WG) and after addressing the comments, the draft will be ready for preliminary and public discussion.</w:t>
            </w:r>
          </w:p>
          <w:p w:rsidR="00701E79"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7. Draft Administrative Instruction (AI) on Calculating the Impact of Greenhouse Gases from Biofuels, Bioliquids and Biomass Derivatives. The draft has been commented on and is ready to proceed for preliminary and public discussion. </w:t>
            </w:r>
          </w:p>
          <w:p w:rsidR="00571EAF" w:rsidRPr="00ED22A4" w:rsidRDefault="00571EAF" w:rsidP="00A835FC">
            <w:pPr>
              <w:spacing w:after="0" w:line="240" w:lineRule="auto"/>
              <w:rPr>
                <w:rFonts w:ascii="Times New Roman" w:eastAsia="Times New Roman" w:hAnsi="Times New Roman" w:cs="Times New Roman"/>
                <w:color w:val="000000" w:themeColor="text1"/>
                <w:sz w:val="18"/>
                <w:szCs w:val="18"/>
              </w:rPr>
            </w:pPr>
          </w:p>
        </w:tc>
      </w:tr>
      <w:tr w:rsidR="00001E51" w:rsidTr="00000A7B">
        <w:trPr>
          <w:trHeight w:val="1528"/>
        </w:trPr>
        <w:tc>
          <w:tcPr>
            <w:tcW w:w="20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II.2.3</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secondary legislation for prosumers.</w:t>
            </w:r>
          </w:p>
        </w:tc>
        <w:tc>
          <w:tcPr>
            <w:tcW w:w="278"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6,000.00 </w:t>
            </w:r>
          </w:p>
        </w:tc>
        <w:tc>
          <w:tcPr>
            <w:tcW w:w="373"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3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ERO</w:t>
            </w:r>
          </w:p>
        </w:tc>
        <w:tc>
          <w:tcPr>
            <w:tcW w:w="43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Secondary legislation adopted</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Rules for prosumers.</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571EAF" w:rsidRPr="006E079E" w:rsidRDefault="00571EAF" w:rsidP="00571EAF">
            <w:pPr>
              <w:spacing w:after="0" w:line="240" w:lineRule="auto"/>
              <w:jc w:val="center"/>
              <w:rPr>
                <w:rFonts w:ascii="Times New Roman" w:eastAsia="Times New Roman" w:hAnsi="Times New Roman" w:cs="Times New Roman"/>
                <w:sz w:val="20"/>
                <w:szCs w:val="20"/>
              </w:rPr>
            </w:pPr>
          </w:p>
        </w:tc>
      </w:tr>
      <w:tr w:rsidR="00001E51" w:rsidTr="00000A7B">
        <w:trPr>
          <w:trHeight w:val="495"/>
        </w:trPr>
        <w:tc>
          <w:tcPr>
            <w:tcW w:w="206" w:type="pct"/>
            <w:tcBorders>
              <w:top w:val="nil"/>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II.2.4</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Finalization of the DSO connection fee methodology.</w:t>
            </w:r>
          </w:p>
        </w:tc>
        <w:tc>
          <w:tcPr>
            <w:tcW w:w="278" w:type="pct"/>
            <w:tcBorders>
              <w:top w:val="single" w:sz="8" w:space="0" w:color="auto"/>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€ 20,000.00 </w:t>
            </w:r>
          </w:p>
        </w:tc>
        <w:tc>
          <w:tcPr>
            <w:tcW w:w="373"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single" w:sz="8" w:space="0" w:color="auto"/>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ERO</w:t>
            </w:r>
          </w:p>
        </w:tc>
        <w:tc>
          <w:tcPr>
            <w:tcW w:w="3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ERO, DSO</w:t>
            </w:r>
          </w:p>
        </w:tc>
        <w:tc>
          <w:tcPr>
            <w:tcW w:w="43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Grid integration.</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Grid code.</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571EAF" w:rsidRPr="00F33F12" w:rsidRDefault="00571EAF" w:rsidP="00571EAF">
            <w:pPr>
              <w:spacing w:after="0" w:line="240" w:lineRule="auto"/>
              <w:jc w:val="center"/>
              <w:rPr>
                <w:rFonts w:ascii="Times New Roman" w:eastAsia="Times New Roman" w:hAnsi="Times New Roman" w:cs="Times New Roman"/>
                <w:sz w:val="20"/>
                <w:szCs w:val="20"/>
              </w:rPr>
            </w:pPr>
          </w:p>
        </w:tc>
      </w:tr>
      <w:tr w:rsidR="00001E51" w:rsidTr="00000A7B">
        <w:trPr>
          <w:trHeight w:val="2257"/>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II.2.5</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the National Energy and Climate Plan for the period 2025-2030</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373"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30,000.00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10,000.00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GIZ</w:t>
            </w:r>
          </w:p>
        </w:tc>
        <w:tc>
          <w:tcPr>
            <w:tcW w:w="350"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MESPI</w:t>
            </w:r>
          </w:p>
        </w:tc>
        <w:tc>
          <w:tcPr>
            <w:tcW w:w="430"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NECP finalized and approved</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571EAF" w:rsidRPr="00571EAF" w:rsidRDefault="00571EAF" w:rsidP="00571EAF">
            <w:pPr>
              <w:spacing w:after="0" w:line="240" w:lineRule="auto"/>
              <w:jc w:val="center"/>
              <w:rPr>
                <w:rFonts w:ascii="Calibri" w:eastAsia="Times New Roman" w:hAnsi="Calibri" w:cs="Calibri"/>
              </w:rPr>
            </w:pPr>
          </w:p>
        </w:tc>
      </w:tr>
      <w:tr w:rsidR="00001E51" w:rsidTr="00000A7B">
        <w:trPr>
          <w:trHeight w:val="735"/>
        </w:trPr>
        <w:tc>
          <w:tcPr>
            <w:tcW w:w="206" w:type="pct"/>
            <w:tcBorders>
              <w:top w:val="nil"/>
              <w:left w:val="single" w:sz="8" w:space="0" w:color="auto"/>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II.2.6</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Announcement of the first pilot auction. </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4,000.00 </w:t>
            </w:r>
          </w:p>
        </w:tc>
        <w:tc>
          <w:tcPr>
            <w:tcW w:w="373"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20,000.00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50" w:type="pct"/>
            <w:tcBorders>
              <w:top w:val="single" w:sz="8" w:space="0" w:color="auto"/>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tc>
        <w:tc>
          <w:tcPr>
            <w:tcW w:w="430" w:type="pct"/>
            <w:vMerge w:val="restart"/>
            <w:tcBorders>
              <w:top w:val="single" w:sz="8" w:space="0" w:color="auto"/>
              <w:left w:val="single" w:sz="8" w:space="0" w:color="auto"/>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Organizing competitive auctions to increase the share of RES, starting with 100 MW</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571EAF" w:rsidRPr="00910351" w:rsidRDefault="001E0569" w:rsidP="00B17A79">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It was completed in 2023.</w:t>
            </w:r>
          </w:p>
        </w:tc>
      </w:tr>
      <w:tr w:rsidR="00001E51" w:rsidTr="00000A7B">
        <w:trPr>
          <w:trHeight w:val="735"/>
        </w:trPr>
        <w:tc>
          <w:tcPr>
            <w:tcW w:w="20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II.2.7</w:t>
            </w:r>
          </w:p>
        </w:tc>
        <w:tc>
          <w:tcPr>
            <w:tcW w:w="5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Awarding and contracting the first pilot auction.</w:t>
            </w:r>
          </w:p>
        </w:tc>
        <w:tc>
          <w:tcPr>
            <w:tcW w:w="278"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50"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4,000.00 </w:t>
            </w:r>
          </w:p>
        </w:tc>
        <w:tc>
          <w:tcPr>
            <w:tcW w:w="421"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50" w:type="pct"/>
            <w:tcBorders>
              <w:top w:val="single" w:sz="8" w:space="0" w:color="auto"/>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tc>
        <w:tc>
          <w:tcPr>
            <w:tcW w:w="430" w:type="pct"/>
            <w:vMerge/>
            <w:tcBorders>
              <w:top w:val="single" w:sz="8" w:space="0" w:color="auto"/>
              <w:left w:val="single" w:sz="8" w:space="0" w:color="auto"/>
              <w:bottom w:val="nil"/>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sz w:val="18"/>
                <w:szCs w:val="18"/>
              </w:rPr>
            </w:pP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bottom"/>
            <w:hideMark/>
          </w:tcPr>
          <w:p w:rsidR="00571EAF" w:rsidRPr="00BD2241" w:rsidRDefault="001E0569" w:rsidP="00DE06F0">
            <w:pPr>
              <w:spacing w:after="0" w:line="240" w:lineRule="auto"/>
              <w:rPr>
                <w:rFonts w:ascii="Times New Roman" w:eastAsia="Times New Roman" w:hAnsi="Times New Roman" w:cs="Times New Roman"/>
                <w:sz w:val="20"/>
                <w:szCs w:val="20"/>
              </w:rPr>
            </w:pPr>
            <w:r>
              <w:rPr>
                <w:rFonts w:ascii="Times New Roman" w:hAnsi="Times New Roman"/>
                <w:color w:val="000000" w:themeColor="text1"/>
                <w:sz w:val="20"/>
                <w:szCs w:val="20"/>
              </w:rPr>
              <w:t>It was completed in 2024.</w:t>
            </w:r>
          </w:p>
        </w:tc>
      </w:tr>
      <w:tr w:rsidR="00001E51" w:rsidTr="00ED22A4">
        <w:trPr>
          <w:trHeight w:val="700"/>
        </w:trPr>
        <w:tc>
          <w:tcPr>
            <w:tcW w:w="206" w:type="pct"/>
            <w:tcBorders>
              <w:top w:val="nil"/>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II.2.8</w:t>
            </w:r>
          </w:p>
        </w:tc>
        <w:tc>
          <w:tcPr>
            <w:tcW w:w="521" w:type="pct"/>
            <w:tcBorders>
              <w:top w:val="nil"/>
              <w:left w:val="nil"/>
              <w:bottom w:val="nil"/>
              <w:right w:val="nil"/>
            </w:tcBorders>
            <w:shd w:val="clear" w:color="000000" w:fill="FFFFFF"/>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Construction of 100 MW capacities</w:t>
            </w:r>
          </w:p>
        </w:tc>
        <w:tc>
          <w:tcPr>
            <w:tcW w:w="27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250" w:type="pct"/>
            <w:tcBorders>
              <w:top w:val="single" w:sz="8" w:space="0" w:color="auto"/>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single" w:sz="8" w:space="0" w:color="auto"/>
              <w:left w:val="nil"/>
              <w:bottom w:val="nil"/>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single" w:sz="8" w:space="0" w:color="auto"/>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75,000,000.00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single" w:sz="8" w:space="0" w:color="auto"/>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Private investments</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tc>
        <w:tc>
          <w:tcPr>
            <w:tcW w:w="430" w:type="pct"/>
            <w:tcBorders>
              <w:top w:val="single" w:sz="8" w:space="0" w:color="auto"/>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Construction of a 100 MW solar PV plant</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ED22A4" w:rsidRPr="00131999" w:rsidRDefault="001E0569" w:rsidP="00A835FC">
            <w:pPr>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Thirty percent (30%)</w:t>
            </w:r>
          </w:p>
          <w:p w:rsidR="00701E79"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The project developer has obtained the necessary permits from the Ministry of Environment, Spatial Planning and Infrastructure (MESPI) and is currently in the process of applying for final authorization from the Energy Regulatory Office (ERO). In the meantime, the re-evaluation of the selection procedure for the Independent Engineer has been completed, and the respective Economic Operator (EO) has been selected. Additionally, a land lease agreement has been prepared between the Municipality of Rahovec and the Ministry of Economy (ME).</w:t>
            </w:r>
          </w:p>
          <w:p w:rsidR="00571EAF" w:rsidRPr="00571EAF" w:rsidRDefault="00571EAF" w:rsidP="00A835FC">
            <w:pPr>
              <w:spacing w:after="0" w:line="240" w:lineRule="auto"/>
              <w:rPr>
                <w:rFonts w:ascii="Times New Roman" w:eastAsia="Times New Roman" w:hAnsi="Times New Roman" w:cs="Times New Roman"/>
                <w:sz w:val="18"/>
                <w:szCs w:val="18"/>
              </w:rPr>
            </w:pPr>
          </w:p>
        </w:tc>
      </w:tr>
      <w:tr w:rsidR="00001E51" w:rsidTr="00ED22A4">
        <w:trPr>
          <w:trHeight w:val="1215"/>
        </w:trPr>
        <w:tc>
          <w:tcPr>
            <w:tcW w:w="206"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II.2.9</w:t>
            </w:r>
          </w:p>
        </w:tc>
        <w:tc>
          <w:tcPr>
            <w:tcW w:w="521" w:type="pct"/>
            <w:tcBorders>
              <w:top w:val="single" w:sz="8" w:space="0" w:color="auto"/>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Establishment of a unit for the development of RES capacities.</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50"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single" w:sz="8" w:space="0" w:color="auto"/>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36,000.00 </w:t>
            </w:r>
          </w:p>
        </w:tc>
        <w:tc>
          <w:tcPr>
            <w:tcW w:w="415"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50"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430"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RES capacity development unit established.</w:t>
            </w:r>
          </w:p>
        </w:tc>
        <w:tc>
          <w:tcPr>
            <w:tcW w:w="371" w:type="pct"/>
            <w:tcBorders>
              <w:top w:val="nil"/>
              <w:left w:val="nil"/>
              <w:bottom w:val="single" w:sz="8" w:space="0" w:color="auto"/>
              <w:right w:val="single" w:sz="8" w:space="0" w:color="auto"/>
            </w:tcBorders>
            <w:shd w:val="clear" w:color="000000" w:fill="FFFFFF"/>
            <w:vAlign w:val="center"/>
            <w:hideMark/>
          </w:tcPr>
          <w:p w:rsidR="00571EAF" w:rsidRPr="00E71107"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2022 - 2031 </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571EAF" w:rsidRPr="00E71107" w:rsidRDefault="001E0569" w:rsidP="00ED22A4">
            <w:pPr>
              <w:spacing w:after="0" w:line="240" w:lineRule="auto"/>
              <w:jc w:val="center"/>
              <w:rPr>
                <w:rFonts w:ascii="Times New Roman" w:eastAsia="Times New Roman" w:hAnsi="Times New Roman" w:cs="Times New Roman"/>
                <w:b/>
                <w:sz w:val="18"/>
                <w:szCs w:val="18"/>
              </w:rPr>
            </w:pPr>
            <w:r>
              <w:rPr>
                <w:rFonts w:ascii="Times New Roman" w:hAnsi="Times New Roman"/>
                <w:b/>
                <w:sz w:val="18"/>
                <w:szCs w:val="18"/>
              </w:rPr>
              <w:t>Sixty percent (60%)</w:t>
            </w:r>
          </w:p>
        </w:tc>
      </w:tr>
      <w:tr w:rsidR="00001E51" w:rsidTr="00A835FC">
        <w:trPr>
          <w:trHeight w:val="2145"/>
        </w:trPr>
        <w:tc>
          <w:tcPr>
            <w:tcW w:w="206" w:type="pct"/>
            <w:tcBorders>
              <w:top w:val="nil"/>
              <w:left w:val="single" w:sz="8" w:space="0" w:color="auto"/>
              <w:bottom w:val="nil"/>
              <w:right w:val="single" w:sz="8" w:space="0" w:color="auto"/>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II.2.10</w:t>
            </w:r>
          </w:p>
        </w:tc>
        <w:tc>
          <w:tcPr>
            <w:tcW w:w="521" w:type="pct"/>
            <w:tcBorders>
              <w:top w:val="nil"/>
              <w:left w:val="nil"/>
              <w:bottom w:val="single" w:sz="8" w:space="0" w:color="auto"/>
              <w:right w:val="single" w:sz="8" w:space="0" w:color="auto"/>
            </w:tcBorders>
            <w:shd w:val="clear" w:color="000000" w:fill="FFFFFF"/>
            <w:vAlign w:val="center"/>
            <w:hideMark/>
          </w:tcPr>
          <w:p w:rsidR="002B437E" w:rsidRPr="00E71107"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Construction of 100 MW solar power plant in KEK</w:t>
            </w:r>
          </w:p>
        </w:tc>
        <w:tc>
          <w:tcPr>
            <w:tcW w:w="278" w:type="pct"/>
            <w:tcBorders>
              <w:top w:val="nil"/>
              <w:left w:val="nil"/>
              <w:bottom w:val="single" w:sz="8" w:space="0" w:color="auto"/>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250" w:type="pct"/>
            <w:tcBorders>
              <w:top w:val="nil"/>
              <w:left w:val="nil"/>
              <w:bottom w:val="single" w:sz="8" w:space="0" w:color="auto"/>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 </w:t>
            </w:r>
          </w:p>
        </w:tc>
        <w:tc>
          <w:tcPr>
            <w:tcW w:w="421" w:type="pct"/>
            <w:tcBorders>
              <w:top w:val="nil"/>
              <w:left w:val="nil"/>
              <w:bottom w:val="single" w:sz="8" w:space="0" w:color="auto"/>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65,000,000.00 </w:t>
            </w:r>
          </w:p>
        </w:tc>
        <w:tc>
          <w:tcPr>
            <w:tcW w:w="415" w:type="pct"/>
            <w:tcBorders>
              <w:top w:val="nil"/>
              <w:left w:val="nil"/>
              <w:bottom w:val="single" w:sz="8" w:space="0" w:color="auto"/>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40,000,000.00 </w:t>
            </w:r>
          </w:p>
        </w:tc>
        <w:tc>
          <w:tcPr>
            <w:tcW w:w="346" w:type="pct"/>
            <w:tcBorders>
              <w:top w:val="single" w:sz="8" w:space="0" w:color="auto"/>
              <w:left w:val="single" w:sz="8" w:space="0" w:color="auto"/>
              <w:bottom w:val="nil"/>
              <w:right w:val="single" w:sz="8" w:space="0" w:color="auto"/>
            </w:tcBorders>
            <w:shd w:val="clear" w:color="000000" w:fill="FFFFFF"/>
            <w:vAlign w:val="center"/>
            <w:hideMark/>
          </w:tcPr>
          <w:p w:rsidR="002B437E" w:rsidRPr="00290A76" w:rsidRDefault="001E0569" w:rsidP="002B437E">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€10,000,000 KEK Donation </w:t>
            </w:r>
          </w:p>
          <w:p w:rsidR="002B437E" w:rsidRPr="00290A76" w:rsidRDefault="001E0569" w:rsidP="002B437E">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from KfW, EIB</w:t>
            </w:r>
          </w:p>
          <w:p w:rsidR="002B437E" w:rsidRPr="00290A76" w:rsidRDefault="001E0569" w:rsidP="002B437E">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Project cost €104 million. Thirty percent (30%) of the project is a grant from the EU, thirty percent (30%) is a loan from KfW and thirty percent (30%) is a loan from the European Investment Bank.</w:t>
            </w:r>
          </w:p>
        </w:tc>
        <w:tc>
          <w:tcPr>
            <w:tcW w:w="350" w:type="pct"/>
            <w:tcBorders>
              <w:top w:val="nil"/>
              <w:left w:val="nil"/>
              <w:bottom w:val="nil"/>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w:t>
            </w:r>
          </w:p>
        </w:tc>
        <w:tc>
          <w:tcPr>
            <w:tcW w:w="430" w:type="pct"/>
            <w:tcBorders>
              <w:top w:val="nil"/>
              <w:left w:val="nil"/>
              <w:bottom w:val="nil"/>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Construction of a 100 MW solar power plant, expected to be operational in 2025</w:t>
            </w:r>
          </w:p>
        </w:tc>
        <w:tc>
          <w:tcPr>
            <w:tcW w:w="371" w:type="pct"/>
            <w:tcBorders>
              <w:top w:val="nil"/>
              <w:left w:val="nil"/>
              <w:bottom w:val="nil"/>
              <w:right w:val="single" w:sz="8" w:space="0" w:color="auto"/>
            </w:tcBorders>
            <w:shd w:val="clear" w:color="000000" w:fill="FFFFFF"/>
            <w:vAlign w:val="center"/>
            <w:hideMark/>
          </w:tcPr>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2B437E" w:rsidRPr="00E71107"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KEK Development Strategy for the period 2021-2025</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2B437E" w:rsidRPr="00A9134A" w:rsidRDefault="001E0569" w:rsidP="00A835FC">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Ten percent (10%)</w:t>
            </w:r>
          </w:p>
          <w:p w:rsidR="00E71107" w:rsidRPr="00E71107" w:rsidRDefault="00E71107" w:rsidP="00A835FC">
            <w:pPr>
              <w:spacing w:after="0" w:line="240" w:lineRule="auto"/>
              <w:rPr>
                <w:rFonts w:ascii="Times New Roman" w:eastAsia="Times New Roman" w:hAnsi="Times New Roman" w:cs="Times New Roman"/>
                <w:b/>
                <w:sz w:val="18"/>
                <w:szCs w:val="18"/>
              </w:rPr>
            </w:pPr>
          </w:p>
          <w:p w:rsidR="002B437E" w:rsidRPr="00E71107" w:rsidRDefault="001E0569" w:rsidP="00702F96">
            <w:pPr>
              <w:jc w:val="both"/>
              <w:rPr>
                <w:rFonts w:ascii="Times New Roman" w:hAnsi="Times New Roman" w:cs="Times New Roman"/>
                <w:sz w:val="18"/>
                <w:szCs w:val="18"/>
              </w:rPr>
            </w:pPr>
            <w:r>
              <w:rPr>
                <w:rFonts w:ascii="Times New Roman" w:hAnsi="Times New Roman"/>
                <w:sz w:val="18"/>
                <w:szCs w:val="18"/>
              </w:rPr>
              <w:t>The tender dossier for Phase I/pre-qualification has been prepared and is expected to be announced in August 2025.  Subsequently, the process will continue to Phase II with the pre-qualified companies for project implementation.</w:t>
            </w:r>
          </w:p>
          <w:p w:rsidR="002B437E" w:rsidRPr="00E71107" w:rsidRDefault="002B437E" w:rsidP="00A835FC">
            <w:pPr>
              <w:spacing w:after="0" w:line="240" w:lineRule="auto"/>
              <w:rPr>
                <w:rFonts w:ascii="Times New Roman" w:eastAsia="Times New Roman" w:hAnsi="Times New Roman" w:cs="Times New Roman"/>
                <w:sz w:val="18"/>
                <w:szCs w:val="18"/>
              </w:rPr>
            </w:pPr>
          </w:p>
        </w:tc>
      </w:tr>
      <w:tr w:rsidR="00001E51" w:rsidTr="00000A7B">
        <w:trPr>
          <w:trHeight w:val="2580"/>
        </w:trPr>
        <w:tc>
          <w:tcPr>
            <w:tcW w:w="20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II.2.11</w:t>
            </w:r>
          </w:p>
        </w:tc>
        <w:tc>
          <w:tcPr>
            <w:tcW w:w="521" w:type="pct"/>
            <w:tcBorders>
              <w:top w:val="nil"/>
              <w:left w:val="nil"/>
              <w:bottom w:val="nil"/>
              <w:right w:val="nil"/>
            </w:tcBorders>
            <w:shd w:val="clear" w:color="000000" w:fill="FFFFFF"/>
            <w:vAlign w:val="center"/>
            <w:hideMark/>
          </w:tcPr>
          <w:p w:rsidR="002B437E" w:rsidRPr="0064546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Feasibility study for identifying public lands suitable for PV and wind, third phase.</w:t>
            </w:r>
          </w:p>
        </w:tc>
        <w:tc>
          <w:tcPr>
            <w:tcW w:w="278" w:type="pct"/>
            <w:tcBorders>
              <w:top w:val="nil"/>
              <w:left w:val="single" w:sz="8" w:space="0" w:color="auto"/>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50"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299,000.00 </w:t>
            </w:r>
          </w:p>
        </w:tc>
        <w:tc>
          <w:tcPr>
            <w:tcW w:w="421"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European Commission</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ME, MESPI  </w:t>
            </w:r>
          </w:p>
        </w:tc>
        <w:tc>
          <w:tcPr>
            <w:tcW w:w="430"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Assessment of suitable locations for publicly-owned RES.</w:t>
            </w:r>
          </w:p>
        </w:tc>
        <w:tc>
          <w:tcPr>
            <w:tcW w:w="371"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bottom"/>
            <w:hideMark/>
          </w:tcPr>
          <w:p w:rsidR="002B437E" w:rsidRPr="00C56020" w:rsidRDefault="001E0569" w:rsidP="002B437E">
            <w:pPr>
              <w:spacing w:after="0" w:line="240" w:lineRule="auto"/>
              <w:rPr>
                <w:rFonts w:ascii="Times New Roman" w:eastAsia="Times New Roman" w:hAnsi="Times New Roman" w:cs="Times New Roman"/>
                <w:sz w:val="20"/>
                <w:szCs w:val="20"/>
              </w:rPr>
            </w:pPr>
            <w:r>
              <w:rPr>
                <w:rFonts w:ascii="Times New Roman" w:hAnsi="Times New Roman"/>
                <w:sz w:val="20"/>
                <w:szCs w:val="20"/>
              </w:rPr>
              <w:t> </w:t>
            </w:r>
          </w:p>
        </w:tc>
      </w:tr>
      <w:tr w:rsidR="00001E51" w:rsidTr="00911F78">
        <w:trPr>
          <w:trHeight w:val="3850"/>
        </w:trPr>
        <w:tc>
          <w:tcPr>
            <w:tcW w:w="206" w:type="pct"/>
            <w:tcBorders>
              <w:top w:val="nil"/>
              <w:left w:val="single" w:sz="8" w:space="0" w:color="auto"/>
              <w:bottom w:val="single" w:sz="8" w:space="0" w:color="auto"/>
              <w:right w:val="single" w:sz="8" w:space="0" w:color="auto"/>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II.2.12</w:t>
            </w:r>
          </w:p>
        </w:tc>
        <w:tc>
          <w:tcPr>
            <w:tcW w:w="521"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Preparatory work for the launch of the second technology-specific auction.</w:t>
            </w:r>
          </w:p>
        </w:tc>
        <w:tc>
          <w:tcPr>
            <w:tcW w:w="278"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2023-2024</w:t>
            </w:r>
          </w:p>
        </w:tc>
        <w:tc>
          <w:tcPr>
            <w:tcW w:w="250"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373"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9,000.00 </w:t>
            </w:r>
          </w:p>
        </w:tc>
        <w:tc>
          <w:tcPr>
            <w:tcW w:w="421"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9,000.00 </w:t>
            </w:r>
          </w:p>
        </w:tc>
        <w:tc>
          <w:tcPr>
            <w:tcW w:w="415"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donors</w:t>
            </w:r>
          </w:p>
        </w:tc>
        <w:tc>
          <w:tcPr>
            <w:tcW w:w="350"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430"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Drafting the tender dossier and announcing the auction.</w:t>
            </w:r>
          </w:p>
        </w:tc>
        <w:tc>
          <w:tcPr>
            <w:tcW w:w="371"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center"/>
            <w:hideMark/>
          </w:tcPr>
          <w:p w:rsidR="00ED22A4" w:rsidRPr="002E3F2D" w:rsidRDefault="001E0569" w:rsidP="00911F78">
            <w:pPr>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Fifty percent (50%)</w:t>
            </w:r>
          </w:p>
          <w:p w:rsidR="002B437E"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decision to launch the second auction was announced on 21 November 2024, according to Decision under the Protocol No. 6929. </w:t>
            </w:r>
            <w:r>
              <w:rPr>
                <w:rFonts w:ascii="Times New Roman" w:hAnsi="Times New Roman"/>
                <w:sz w:val="18"/>
                <w:szCs w:val="18"/>
              </w:rPr>
              <w:t>The pre-qualification phase was completed on 17 April 2025, while the Ministry of Economy (ME) is finalizing the process for announcing Phase II of the request for proposals.</w:t>
            </w:r>
          </w:p>
          <w:p w:rsidR="002B437E" w:rsidRPr="00571EAF" w:rsidRDefault="002B437E" w:rsidP="00911F78">
            <w:pPr>
              <w:spacing w:after="0" w:line="240" w:lineRule="auto"/>
              <w:rPr>
                <w:rFonts w:ascii="Times New Roman" w:eastAsia="Times New Roman" w:hAnsi="Times New Roman" w:cs="Times New Roman"/>
                <w:sz w:val="18"/>
                <w:szCs w:val="18"/>
              </w:rPr>
            </w:pPr>
          </w:p>
        </w:tc>
      </w:tr>
      <w:tr w:rsidR="00001E51" w:rsidTr="00911F78">
        <w:trPr>
          <w:trHeight w:val="3850"/>
        </w:trPr>
        <w:tc>
          <w:tcPr>
            <w:tcW w:w="206" w:type="pct"/>
            <w:tcBorders>
              <w:top w:val="nil"/>
              <w:left w:val="single" w:sz="8" w:space="0" w:color="auto"/>
              <w:bottom w:val="single" w:sz="8" w:space="0" w:color="auto"/>
              <w:right w:val="single" w:sz="8" w:space="0" w:color="auto"/>
            </w:tcBorders>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rPr>
              <w:lastRenderedPageBreak/>
              <w:t>II.2.13</w:t>
            </w:r>
          </w:p>
        </w:tc>
        <w:tc>
          <w:tcPr>
            <w:tcW w:w="521" w:type="pct"/>
            <w:tcBorders>
              <w:top w:val="single" w:sz="8" w:space="0" w:color="auto"/>
              <w:left w:val="nil"/>
              <w:bottom w:val="single" w:sz="8" w:space="0" w:color="auto"/>
              <w:right w:val="single" w:sz="8" w:space="0" w:color="auto"/>
            </w:tcBorders>
            <w:shd w:val="clear" w:color="000000" w:fill="FFFFFF"/>
          </w:tcPr>
          <w:p w:rsidR="002B437E" w:rsidRPr="00D27BFB"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Support for wind generation capacities, including technical preparation of specific projects. </w:t>
            </w:r>
          </w:p>
        </w:tc>
        <w:tc>
          <w:tcPr>
            <w:tcW w:w="278"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250"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 </w:t>
            </w:r>
          </w:p>
        </w:tc>
        <w:tc>
          <w:tcPr>
            <w:tcW w:w="421"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sz w:val="18"/>
                <w:szCs w:val="18"/>
              </w:rPr>
              <w:t xml:space="preserve"> €               1,000,000.00 </w:t>
            </w:r>
          </w:p>
        </w:tc>
        <w:tc>
          <w:tcPr>
            <w:tcW w:w="415"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 </w:t>
            </w:r>
          </w:p>
        </w:tc>
        <w:tc>
          <w:tcPr>
            <w:tcW w:w="346"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350"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430"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Technical studies, wind measuring equipment and other relevant technical assistance.</w:t>
            </w:r>
          </w:p>
        </w:tc>
        <w:tc>
          <w:tcPr>
            <w:tcW w:w="371" w:type="pct"/>
            <w:tcBorders>
              <w:top w:val="nil"/>
              <w:left w:val="nil"/>
              <w:bottom w:val="single" w:sz="8" w:space="0" w:color="auto"/>
              <w:right w:val="single" w:sz="8" w:space="0" w:color="auto"/>
            </w:tcBorders>
            <w:shd w:val="clear" w:color="000000" w:fill="FFFFFF"/>
          </w:tcPr>
          <w:p w:rsidR="002B437E" w:rsidRPr="00D27BFB"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2022 - 2031 </w:t>
            </w:r>
          </w:p>
        </w:tc>
        <w:tc>
          <w:tcPr>
            <w:tcW w:w="1039" w:type="pct"/>
            <w:gridSpan w:val="2"/>
            <w:tcBorders>
              <w:top w:val="nil"/>
              <w:left w:val="nil"/>
              <w:bottom w:val="single" w:sz="8" w:space="0" w:color="auto"/>
              <w:right w:val="single" w:sz="8" w:space="0" w:color="auto"/>
            </w:tcBorders>
            <w:shd w:val="clear" w:color="000000" w:fill="FFFFFF"/>
            <w:vAlign w:val="center"/>
          </w:tcPr>
          <w:p w:rsidR="00ED22A4" w:rsidRPr="005E3274" w:rsidRDefault="001E0569" w:rsidP="00911F78">
            <w:pPr>
              <w:rPr>
                <w:rFonts w:ascii="Times New Roman" w:hAnsi="Times New Roman" w:cs="Times New Roman"/>
                <w:b/>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Ten percent</w:t>
            </w:r>
            <w:r>
              <w:rPr>
                <w:rFonts w:ascii="Times New Roman" w:hAnsi="Times New Roman"/>
                <w:color w:val="000000" w:themeColor="text1"/>
                <w:sz w:val="18"/>
                <w:szCs w:val="18"/>
              </w:rPr>
              <w:t xml:space="preserve">  </w:t>
            </w:r>
            <w:r>
              <w:rPr>
                <w:rFonts w:ascii="Times New Roman" w:hAnsi="Times New Roman"/>
                <w:b/>
                <w:color w:val="000000" w:themeColor="text1"/>
                <w:sz w:val="18"/>
                <w:szCs w:val="18"/>
              </w:rPr>
              <w:t>(10%)</w:t>
            </w:r>
          </w:p>
          <w:p w:rsidR="002B437E" w:rsidRPr="005E3274" w:rsidRDefault="001E0569" w:rsidP="00702F96">
            <w:pPr>
              <w:jc w:val="both"/>
              <w:rPr>
                <w:rFonts w:ascii="Times New Roman" w:hAnsi="Times New Roman" w:cs="Times New Roman"/>
                <w:color w:val="FF0000"/>
                <w:sz w:val="18"/>
                <w:szCs w:val="18"/>
              </w:rPr>
            </w:pPr>
            <w:r>
              <w:rPr>
                <w:rFonts w:ascii="Times New Roman" w:hAnsi="Times New Roman"/>
                <w:color w:val="000000" w:themeColor="text1"/>
                <w:sz w:val="18"/>
                <w:szCs w:val="18"/>
              </w:rPr>
              <w:t>The Ministry of Economy (ME) prepared and submitted the ESCP and SEP documents, which were prerequisites for signing the grant agreement for the installation of wind meters. During May, ME, the World Bank, and KOSTT conducted field visits to potential sites for the development of preliminary studies and the installation of wind meters.</w:t>
            </w:r>
          </w:p>
        </w:tc>
      </w:tr>
      <w:tr w:rsidR="00001E51" w:rsidTr="00000A7B">
        <w:trPr>
          <w:trHeight w:val="2250"/>
        </w:trPr>
        <w:tc>
          <w:tcPr>
            <w:tcW w:w="206" w:type="pct"/>
            <w:tcBorders>
              <w:top w:val="nil"/>
              <w:left w:val="single" w:sz="8" w:space="0" w:color="auto"/>
              <w:bottom w:val="single" w:sz="8" w:space="0" w:color="auto"/>
              <w:right w:val="single" w:sz="8" w:space="0" w:color="auto"/>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II.2.14</w:t>
            </w:r>
          </w:p>
        </w:tc>
        <w:tc>
          <w:tcPr>
            <w:tcW w:w="521"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Promoting and facilitating the integration of Renewable Energy Sources (RES) and Energy Efficiency (EE) practices.</w:t>
            </w:r>
          </w:p>
        </w:tc>
        <w:tc>
          <w:tcPr>
            <w:tcW w:w="278"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2026</w:t>
            </w:r>
          </w:p>
        </w:tc>
        <w:tc>
          <w:tcPr>
            <w:tcW w:w="250" w:type="pct"/>
            <w:tcBorders>
              <w:top w:val="nil"/>
              <w:left w:val="nil"/>
              <w:bottom w:val="single" w:sz="8" w:space="0" w:color="auto"/>
              <w:right w:val="nil"/>
            </w:tcBorders>
            <w:shd w:val="clear" w:color="000000" w:fill="FFFFFF"/>
            <w:noWrap/>
            <w:vAlign w:val="bottom"/>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373" w:type="pct"/>
            <w:tcBorders>
              <w:top w:val="nil"/>
              <w:left w:val="single" w:sz="8" w:space="0" w:color="auto"/>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264,100.00 </w:t>
            </w:r>
          </w:p>
        </w:tc>
        <w:tc>
          <w:tcPr>
            <w:tcW w:w="421"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2,413,100.00 </w:t>
            </w:r>
          </w:p>
        </w:tc>
        <w:tc>
          <w:tcPr>
            <w:tcW w:w="415"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1,715,300.00 </w:t>
            </w:r>
          </w:p>
        </w:tc>
        <w:tc>
          <w:tcPr>
            <w:tcW w:w="346"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Lux Dev</w:t>
            </w:r>
          </w:p>
        </w:tc>
        <w:tc>
          <w:tcPr>
            <w:tcW w:w="350"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KEEF, MESPI</w:t>
            </w:r>
          </w:p>
        </w:tc>
        <w:tc>
          <w:tcPr>
            <w:tcW w:w="430"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Implementing EE &amp; RES measures, assisting in the design of the regulatory framework for EE &amp; RES, and ensuring access to financing mechanisms for RES and EE, on a small scale.</w:t>
            </w:r>
          </w:p>
        </w:tc>
        <w:tc>
          <w:tcPr>
            <w:tcW w:w="371"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039" w:type="pct"/>
            <w:gridSpan w:val="2"/>
            <w:tcBorders>
              <w:top w:val="nil"/>
              <w:left w:val="nil"/>
              <w:bottom w:val="single" w:sz="8" w:space="0" w:color="auto"/>
              <w:right w:val="single" w:sz="8" w:space="0" w:color="auto"/>
            </w:tcBorders>
            <w:shd w:val="clear" w:color="000000" w:fill="FFFFFF"/>
            <w:vAlign w:val="bottom"/>
            <w:hideMark/>
          </w:tcPr>
          <w:p w:rsidR="00ED22A4" w:rsidRPr="00F1086B" w:rsidRDefault="001E0569" w:rsidP="002B437E">
            <w:pPr>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 xml:space="preserve">Ninety-five percent (95%)   </w:t>
            </w:r>
          </w:p>
          <w:p w:rsidR="002B437E" w:rsidRPr="00ED22A4" w:rsidRDefault="001E0569" w:rsidP="00702F96">
            <w:pPr>
              <w:jc w:val="both"/>
              <w:rPr>
                <w:rFonts w:ascii="Times New Roman" w:hAnsi="Times New Roman" w:cs="Times New Roman"/>
                <w:color w:val="000000" w:themeColor="text1"/>
                <w:sz w:val="18"/>
                <w:szCs w:val="18"/>
              </w:rPr>
            </w:pPr>
            <w:r>
              <w:rPr>
                <w:rFonts w:ascii="Times New Roman" w:hAnsi="Times New Roman"/>
                <w:sz w:val="18"/>
                <w:szCs w:val="18"/>
              </w:rPr>
              <w:t>Drafting of the municipal guide for self-consumption – Ministry of Economy – One-Stop Service Center</w:t>
            </w:r>
          </w:p>
          <w:p w:rsidR="002B437E" w:rsidRPr="00ED22A4" w:rsidRDefault="002B437E" w:rsidP="00702F96">
            <w:pPr>
              <w:jc w:val="both"/>
              <w:rPr>
                <w:rFonts w:ascii="Times New Roman" w:hAnsi="Times New Roman" w:cs="Times New Roman"/>
                <w:color w:val="000000" w:themeColor="text1"/>
                <w:sz w:val="18"/>
                <w:szCs w:val="18"/>
              </w:rPr>
            </w:pPr>
          </w:p>
          <w:p w:rsidR="002B437E" w:rsidRPr="00ED22A4" w:rsidRDefault="001E0569" w:rsidP="00702F96">
            <w:pPr>
              <w:jc w:val="both"/>
              <w:rPr>
                <w:rFonts w:ascii="Times New Roman" w:hAnsi="Times New Roman" w:cs="Times New Roman"/>
                <w:color w:val="000000" w:themeColor="text1"/>
                <w:sz w:val="18"/>
                <w:szCs w:val="18"/>
              </w:rPr>
            </w:pPr>
            <w:r>
              <w:rPr>
                <w:rFonts w:ascii="Times New Roman" w:hAnsi="Times New Roman"/>
                <w:sz w:val="18"/>
                <w:szCs w:val="18"/>
              </w:rPr>
              <w:t xml:space="preserve">Drafting of Administrative Instruction (ME) No.  __/2025 on Measures to Increase the Share of Renewable Energy Sources in the Heating and Cooling Sector. </w:t>
            </w:r>
          </w:p>
          <w:p w:rsidR="002B437E" w:rsidRPr="00ED22A4" w:rsidRDefault="002B437E" w:rsidP="00702F96">
            <w:pPr>
              <w:jc w:val="both"/>
              <w:rPr>
                <w:rFonts w:ascii="Times New Roman" w:hAnsi="Times New Roman" w:cs="Times New Roman"/>
                <w:color w:val="000000" w:themeColor="text1"/>
                <w:sz w:val="18"/>
                <w:szCs w:val="18"/>
              </w:rPr>
            </w:pPr>
          </w:p>
          <w:p w:rsidR="002B437E" w:rsidRPr="00ED22A4" w:rsidRDefault="001E0569" w:rsidP="00702F96">
            <w:pPr>
              <w:jc w:val="both"/>
              <w:rPr>
                <w:rFonts w:ascii="Times New Roman" w:hAnsi="Times New Roman" w:cs="Times New Roman"/>
                <w:color w:val="000000" w:themeColor="text1"/>
                <w:sz w:val="18"/>
                <w:szCs w:val="18"/>
              </w:rPr>
            </w:pPr>
            <w:r>
              <w:rPr>
                <w:rFonts w:ascii="Times New Roman" w:hAnsi="Times New Roman"/>
                <w:sz w:val="18"/>
                <w:szCs w:val="18"/>
              </w:rPr>
              <w:t xml:space="preserve">Drafting of Administrative Instruction (ME) No. __/2025 on Setting the Deadlines and Conditions for Providing Support for the Generation of Thermal Energy from Renewable Energy Sources (RES) or High-Efficiency Cogeneration. </w:t>
            </w:r>
            <w:r>
              <w:rPr>
                <w:rFonts w:ascii="Times New Roman" w:hAnsi="Times New Roman"/>
                <w:color w:val="000000" w:themeColor="text1"/>
                <w:sz w:val="18"/>
                <w:szCs w:val="18"/>
              </w:rPr>
              <w:t xml:space="preserve"> </w:t>
            </w:r>
          </w:p>
          <w:p w:rsidR="002B437E" w:rsidRPr="00ED22A4" w:rsidRDefault="002B437E" w:rsidP="00702F96">
            <w:pPr>
              <w:jc w:val="both"/>
              <w:rPr>
                <w:rFonts w:ascii="Times New Roman" w:hAnsi="Times New Roman" w:cs="Times New Roman"/>
                <w:color w:val="000000" w:themeColor="text1"/>
                <w:sz w:val="18"/>
                <w:szCs w:val="18"/>
              </w:rPr>
            </w:pPr>
          </w:p>
          <w:p w:rsidR="002B437E" w:rsidRPr="00ED22A4"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Enhanced technical and administrative capacities for designing solar and wind energy auctions, grid integration, and market design. Equipping the Ministry of Environment, Spatial Planning and Infrastructure (MESPI) with increased capacity to develop and align energy policies with EU directives, focusing on renewable energy and energy efficiency – a multi-sectoral program that strengthens policy design and implementation skills across all areas of energy efficiency.</w:t>
            </w:r>
          </w:p>
          <w:p w:rsidR="002B437E" w:rsidRPr="00ED22A4" w:rsidRDefault="002B437E" w:rsidP="002B437E">
            <w:pPr>
              <w:rPr>
                <w:rFonts w:ascii="Times New Roman" w:hAnsi="Times New Roman" w:cs="Times New Roman"/>
                <w:color w:val="000000" w:themeColor="text1"/>
                <w:sz w:val="18"/>
                <w:szCs w:val="18"/>
              </w:rPr>
            </w:pPr>
          </w:p>
          <w:p w:rsidR="002B437E" w:rsidRPr="00ED22A4" w:rsidRDefault="002B437E" w:rsidP="002B437E">
            <w:pPr>
              <w:rPr>
                <w:rFonts w:ascii="Times New Roman" w:hAnsi="Times New Roman" w:cs="Times New Roman"/>
                <w:color w:val="000000" w:themeColor="text1"/>
                <w:sz w:val="18"/>
                <w:szCs w:val="18"/>
              </w:rPr>
            </w:pPr>
          </w:p>
        </w:tc>
      </w:tr>
      <w:tr w:rsidR="00001E51" w:rsidTr="00000A7B">
        <w:trPr>
          <w:trHeight w:val="315"/>
        </w:trPr>
        <w:tc>
          <w:tcPr>
            <w:tcW w:w="206" w:type="pct"/>
            <w:tcBorders>
              <w:top w:val="nil"/>
              <w:left w:val="single" w:sz="8" w:space="0" w:color="auto"/>
              <w:bottom w:val="single" w:sz="8" w:space="0" w:color="auto"/>
              <w:right w:val="single" w:sz="8" w:space="0" w:color="auto"/>
            </w:tcBorders>
            <w:shd w:val="clear" w:color="000000" w:fill="D9D9D9"/>
            <w:vAlign w:val="center"/>
            <w:hideMark/>
          </w:tcPr>
          <w:p w:rsidR="002B437E" w:rsidRPr="00571EAF" w:rsidRDefault="001E0569" w:rsidP="002B437E">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lastRenderedPageBreak/>
              <w:t>II.3</w:t>
            </w:r>
          </w:p>
        </w:tc>
        <w:tc>
          <w:tcPr>
            <w:tcW w:w="3755" w:type="pct"/>
            <w:gridSpan w:val="10"/>
            <w:tcBorders>
              <w:top w:val="single" w:sz="8" w:space="0" w:color="auto"/>
              <w:left w:val="nil"/>
              <w:bottom w:val="single" w:sz="8" w:space="0" w:color="auto"/>
              <w:right w:val="single" w:sz="8" w:space="0" w:color="000000"/>
            </w:tcBorders>
            <w:shd w:val="clear" w:color="000000" w:fill="D9D9D9"/>
            <w:vAlign w:val="center"/>
            <w:hideMark/>
          </w:tcPr>
          <w:p w:rsidR="002B437E" w:rsidRPr="00571EAF" w:rsidRDefault="001E0569" w:rsidP="002B437E">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Promoting the sustainable use of renewable energy for heating</w:t>
            </w:r>
          </w:p>
        </w:tc>
        <w:tc>
          <w:tcPr>
            <w:tcW w:w="1039" w:type="pct"/>
            <w:gridSpan w:val="2"/>
            <w:tcBorders>
              <w:top w:val="nil"/>
              <w:left w:val="nil"/>
              <w:bottom w:val="nil"/>
              <w:right w:val="nil"/>
            </w:tcBorders>
            <w:noWrap/>
            <w:vAlign w:val="bottom"/>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r>
      <w:tr w:rsidR="00001E51" w:rsidTr="00000A7B">
        <w:trPr>
          <w:trHeight w:val="735"/>
        </w:trPr>
        <w:tc>
          <w:tcPr>
            <w:tcW w:w="206" w:type="pct"/>
            <w:tcBorders>
              <w:top w:val="nil"/>
              <w:left w:val="single" w:sz="8" w:space="0" w:color="auto"/>
              <w:bottom w:val="single" w:sz="8" w:space="0" w:color="auto"/>
              <w:right w:val="single" w:sz="8" w:space="0" w:color="auto"/>
            </w:tcBorders>
            <w:shd w:val="clear" w:color="000000" w:fill="D0CECE"/>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521" w:type="pct"/>
            <w:tcBorders>
              <w:top w:val="nil"/>
              <w:left w:val="nil"/>
              <w:bottom w:val="nil"/>
              <w:right w:val="single" w:sz="8" w:space="0" w:color="auto"/>
            </w:tcBorders>
            <w:shd w:val="clear" w:color="000000" w:fill="D0CECE"/>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901" w:type="pct"/>
            <w:gridSpan w:val="3"/>
            <w:tcBorders>
              <w:top w:val="single" w:sz="8" w:space="0" w:color="auto"/>
              <w:left w:val="nil"/>
              <w:bottom w:val="single" w:sz="8" w:space="0" w:color="auto"/>
              <w:right w:val="nil"/>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836" w:type="pct"/>
            <w:gridSpan w:val="2"/>
            <w:tcBorders>
              <w:top w:val="single" w:sz="8" w:space="0" w:color="auto"/>
              <w:left w:val="single" w:sz="8" w:space="0" w:color="auto"/>
              <w:bottom w:val="single" w:sz="8" w:space="0" w:color="auto"/>
              <w:right w:val="nil"/>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46" w:type="pct"/>
            <w:tcBorders>
              <w:top w:val="nil"/>
              <w:left w:val="single" w:sz="8" w:space="0" w:color="auto"/>
              <w:bottom w:val="single" w:sz="8" w:space="0" w:color="auto"/>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1151" w:type="pct"/>
            <w:gridSpan w:val="3"/>
            <w:tcBorders>
              <w:top w:val="single" w:sz="8" w:space="0" w:color="auto"/>
              <w:left w:val="nil"/>
              <w:bottom w:val="single" w:sz="8" w:space="0" w:color="auto"/>
              <w:right w:val="single" w:sz="8" w:space="0" w:color="000000"/>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039" w:type="pct"/>
            <w:gridSpan w:val="2"/>
            <w:tcBorders>
              <w:top w:val="nil"/>
              <w:left w:val="nil"/>
              <w:bottom w:val="nil"/>
              <w:right w:val="nil"/>
            </w:tcBorders>
            <w:noWrap/>
            <w:vAlign w:val="bottom"/>
            <w:hideMark/>
          </w:tcPr>
          <w:p w:rsidR="002B437E" w:rsidRPr="00571EAF" w:rsidRDefault="002B437E" w:rsidP="002B437E">
            <w:pPr>
              <w:spacing w:after="0" w:line="240" w:lineRule="auto"/>
              <w:jc w:val="center"/>
              <w:rPr>
                <w:rFonts w:ascii="Times New Roman" w:eastAsia="Times New Roman" w:hAnsi="Times New Roman" w:cs="Times New Roman"/>
                <w:b/>
                <w:bCs/>
                <w:sz w:val="18"/>
                <w:szCs w:val="18"/>
              </w:rPr>
            </w:pPr>
          </w:p>
        </w:tc>
      </w:tr>
      <w:tr w:rsidR="00001E51" w:rsidTr="00000A7B">
        <w:trPr>
          <w:trHeight w:val="735"/>
        </w:trPr>
        <w:tc>
          <w:tcPr>
            <w:tcW w:w="206" w:type="pct"/>
            <w:tcBorders>
              <w:top w:val="nil"/>
              <w:left w:val="single" w:sz="8" w:space="0" w:color="auto"/>
              <w:bottom w:val="nil"/>
              <w:right w:val="single" w:sz="8" w:space="0" w:color="auto"/>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521" w:type="pct"/>
            <w:tcBorders>
              <w:top w:val="single" w:sz="8" w:space="0" w:color="auto"/>
              <w:left w:val="nil"/>
              <w:bottom w:val="nil"/>
              <w:right w:val="single" w:sz="8" w:space="0" w:color="auto"/>
            </w:tcBorders>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Installed capacity of RES in District Heating (DH) systems</w:t>
            </w:r>
          </w:p>
        </w:tc>
        <w:tc>
          <w:tcPr>
            <w:tcW w:w="901" w:type="pct"/>
            <w:gridSpan w:val="3"/>
            <w:tcBorders>
              <w:top w:val="single" w:sz="8" w:space="0" w:color="auto"/>
              <w:left w:val="nil"/>
              <w:bottom w:val="nil"/>
              <w:right w:val="single" w:sz="8" w:space="0" w:color="000000"/>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15 MWh </w:t>
            </w:r>
          </w:p>
        </w:tc>
        <w:tc>
          <w:tcPr>
            <w:tcW w:w="836" w:type="pct"/>
            <w:gridSpan w:val="2"/>
            <w:tcBorders>
              <w:top w:val="single" w:sz="8" w:space="0" w:color="auto"/>
              <w:left w:val="nil"/>
              <w:bottom w:val="nil"/>
              <w:right w:val="single" w:sz="8" w:space="0" w:color="000000"/>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Minimum 65 MWth</w:t>
            </w:r>
          </w:p>
        </w:tc>
        <w:tc>
          <w:tcPr>
            <w:tcW w:w="346" w:type="pct"/>
            <w:tcBorders>
              <w:top w:val="nil"/>
              <w:left w:val="nil"/>
              <w:bottom w:val="nil"/>
              <w:right w:val="single" w:sz="8" w:space="0" w:color="auto"/>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To be determined by </w:t>
            </w:r>
          </w:p>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Feasibility Study</w:t>
            </w:r>
          </w:p>
        </w:tc>
        <w:tc>
          <w:tcPr>
            <w:tcW w:w="1151" w:type="pct"/>
            <w:gridSpan w:val="3"/>
            <w:tcBorders>
              <w:top w:val="single" w:sz="8" w:space="0" w:color="auto"/>
              <w:left w:val="nil"/>
              <w:bottom w:val="nil"/>
              <w:right w:val="single" w:sz="8" w:space="0" w:color="000000"/>
            </w:tcBorders>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039" w:type="pct"/>
            <w:gridSpan w:val="2"/>
            <w:tcBorders>
              <w:top w:val="nil"/>
              <w:left w:val="nil"/>
              <w:bottom w:val="nil"/>
              <w:right w:val="nil"/>
            </w:tcBorders>
            <w:noWrap/>
            <w:vAlign w:val="bottom"/>
            <w:hideMark/>
          </w:tcPr>
          <w:p w:rsidR="002B437E" w:rsidRPr="00571EAF" w:rsidRDefault="002B437E" w:rsidP="002B437E">
            <w:pPr>
              <w:spacing w:after="0" w:line="240" w:lineRule="auto"/>
              <w:rPr>
                <w:rFonts w:ascii="Times New Roman" w:eastAsia="Times New Roman" w:hAnsi="Times New Roman" w:cs="Times New Roman"/>
                <w:sz w:val="18"/>
                <w:szCs w:val="18"/>
              </w:rPr>
            </w:pPr>
          </w:p>
        </w:tc>
      </w:tr>
      <w:tr w:rsidR="00001E51" w:rsidTr="00000A7B">
        <w:trPr>
          <w:trHeight w:val="315"/>
        </w:trPr>
        <w:tc>
          <w:tcPr>
            <w:tcW w:w="20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52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459" w:type="pct"/>
            <w:gridSpan w:val="4"/>
            <w:tcBorders>
              <w:top w:val="single" w:sz="8" w:space="0" w:color="auto"/>
              <w:left w:val="nil"/>
              <w:bottom w:val="single" w:sz="8" w:space="0" w:color="auto"/>
              <w:right w:val="nil"/>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34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5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43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7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039" w:type="pct"/>
            <w:gridSpan w:val="2"/>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2B437E" w:rsidRPr="00C516C7" w:rsidRDefault="001E0569" w:rsidP="002B437E">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Implementation progress January - June 2025</w:t>
            </w:r>
          </w:p>
        </w:tc>
      </w:tr>
      <w:tr w:rsidR="00001E51" w:rsidTr="00000A7B">
        <w:trPr>
          <w:trHeight w:val="300"/>
        </w:trPr>
        <w:tc>
          <w:tcPr>
            <w:tcW w:w="206"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521"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250" w:type="pct"/>
            <w:tcBorders>
              <w:top w:val="nil"/>
              <w:left w:val="nil"/>
              <w:bottom w:val="nil"/>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73" w:type="pct"/>
            <w:tcBorders>
              <w:top w:val="nil"/>
              <w:left w:val="nil"/>
              <w:bottom w:val="nil"/>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21" w:type="pct"/>
            <w:tcBorders>
              <w:top w:val="nil"/>
              <w:left w:val="nil"/>
              <w:bottom w:val="nil"/>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15" w:type="pct"/>
            <w:tcBorders>
              <w:top w:val="nil"/>
              <w:left w:val="nil"/>
              <w:bottom w:val="nil"/>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46"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350"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430"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1039" w:type="pct"/>
            <w:gridSpan w:val="2"/>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Calibri" w:eastAsia="Times New Roman" w:hAnsi="Calibri" w:cs="Calibri"/>
                <w:b/>
                <w:bCs/>
              </w:rPr>
            </w:pPr>
          </w:p>
        </w:tc>
      </w:tr>
      <w:tr w:rsidR="00001E51" w:rsidTr="00000A7B">
        <w:trPr>
          <w:trHeight w:val="840"/>
        </w:trPr>
        <w:tc>
          <w:tcPr>
            <w:tcW w:w="206"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521"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250" w:type="pct"/>
            <w:tcBorders>
              <w:top w:val="nil"/>
              <w:left w:val="nil"/>
              <w:bottom w:val="single" w:sz="8" w:space="0" w:color="auto"/>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73" w:type="pct"/>
            <w:tcBorders>
              <w:top w:val="nil"/>
              <w:left w:val="nil"/>
              <w:bottom w:val="single" w:sz="8" w:space="0" w:color="auto"/>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421" w:type="pct"/>
            <w:tcBorders>
              <w:top w:val="nil"/>
              <w:left w:val="nil"/>
              <w:bottom w:val="single" w:sz="8" w:space="0" w:color="auto"/>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415" w:type="pct"/>
            <w:tcBorders>
              <w:top w:val="nil"/>
              <w:left w:val="nil"/>
              <w:bottom w:val="single" w:sz="8" w:space="0" w:color="auto"/>
              <w:right w:val="single" w:sz="8" w:space="0" w:color="auto"/>
            </w:tcBorders>
            <w:shd w:val="clear" w:color="000000" w:fill="D9D9D9"/>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46"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350"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430"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Times New Roman" w:eastAsia="Times New Roman" w:hAnsi="Times New Roman" w:cs="Times New Roman"/>
                <w:b/>
                <w:bCs/>
                <w:sz w:val="18"/>
                <w:szCs w:val="18"/>
              </w:rPr>
            </w:pPr>
          </w:p>
        </w:tc>
        <w:tc>
          <w:tcPr>
            <w:tcW w:w="1039" w:type="pct"/>
            <w:gridSpan w:val="2"/>
            <w:vMerge/>
            <w:tcBorders>
              <w:top w:val="single" w:sz="8" w:space="0" w:color="auto"/>
              <w:left w:val="single" w:sz="8" w:space="0" w:color="auto"/>
              <w:bottom w:val="single" w:sz="8" w:space="0" w:color="000000"/>
              <w:right w:val="single" w:sz="8" w:space="0" w:color="auto"/>
            </w:tcBorders>
            <w:vAlign w:val="center"/>
            <w:hideMark/>
          </w:tcPr>
          <w:p w:rsidR="002B437E" w:rsidRPr="00571EAF" w:rsidRDefault="002B437E" w:rsidP="002B437E">
            <w:pPr>
              <w:spacing w:after="0" w:line="240" w:lineRule="auto"/>
              <w:rPr>
                <w:rFonts w:ascii="Calibri" w:eastAsia="Times New Roman" w:hAnsi="Calibri" w:cs="Calibri"/>
                <w:b/>
                <w:bCs/>
              </w:rPr>
            </w:pPr>
          </w:p>
        </w:tc>
      </w:tr>
      <w:tr w:rsidR="00001E51" w:rsidTr="00577B88">
        <w:trPr>
          <w:trHeight w:val="1695"/>
        </w:trPr>
        <w:tc>
          <w:tcPr>
            <w:tcW w:w="206" w:type="pct"/>
            <w:tcBorders>
              <w:top w:val="nil"/>
              <w:left w:val="single" w:sz="8" w:space="0" w:color="auto"/>
              <w:bottom w:val="single" w:sz="8" w:space="0" w:color="auto"/>
              <w:right w:val="single" w:sz="8" w:space="0" w:color="auto"/>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II.3.1</w:t>
            </w:r>
          </w:p>
        </w:tc>
        <w:tc>
          <w:tcPr>
            <w:tcW w:w="521" w:type="pct"/>
            <w:tcBorders>
              <w:top w:val="nil"/>
              <w:left w:val="nil"/>
              <w:bottom w:val="nil"/>
              <w:right w:val="single" w:sz="8" w:space="0" w:color="auto"/>
            </w:tcBorders>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Feasibility Study &amp; Environmental and Social Impact Assessment (ESIA) for District Heating (DH) systems in nine (9) municipalities of Kosovo: Gjilan, Ferizaj, Prizren, Peja, Drenas, Obilq, North and South Mitrovica &amp; Zvecan.</w:t>
            </w:r>
          </w:p>
        </w:tc>
        <w:tc>
          <w:tcPr>
            <w:tcW w:w="278" w:type="pct"/>
            <w:tcBorders>
              <w:top w:val="nil"/>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50" w:type="pct"/>
            <w:tcBorders>
              <w:top w:val="nil"/>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€ 1,000,000.00</w:t>
            </w:r>
          </w:p>
        </w:tc>
        <w:tc>
          <w:tcPr>
            <w:tcW w:w="373" w:type="pct"/>
            <w:tcBorders>
              <w:top w:val="nil"/>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€ 1,350,000.00</w:t>
            </w:r>
          </w:p>
        </w:tc>
        <w:tc>
          <w:tcPr>
            <w:tcW w:w="421" w:type="pct"/>
            <w:tcBorders>
              <w:top w:val="nil"/>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15" w:type="pct"/>
            <w:tcBorders>
              <w:top w:val="nil"/>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nil"/>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WBIF/IPF10</w:t>
            </w:r>
          </w:p>
        </w:tc>
        <w:tc>
          <w:tcPr>
            <w:tcW w:w="350" w:type="pct"/>
            <w:tcBorders>
              <w:top w:val="nil"/>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MESPI, Municipalities, MFLT</w:t>
            </w:r>
          </w:p>
        </w:tc>
        <w:tc>
          <w:tcPr>
            <w:tcW w:w="430"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feasibility study and ESIA have been completed.</w:t>
            </w:r>
          </w:p>
        </w:tc>
        <w:tc>
          <w:tcPr>
            <w:tcW w:w="403" w:type="pct"/>
            <w:gridSpan w:val="2"/>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007" w:type="pct"/>
            <w:tcBorders>
              <w:top w:val="single" w:sz="8" w:space="0" w:color="auto"/>
              <w:left w:val="single" w:sz="8" w:space="0" w:color="auto"/>
              <w:bottom w:val="single" w:sz="8" w:space="0" w:color="auto"/>
              <w:right w:val="single" w:sz="8" w:space="0" w:color="auto"/>
            </w:tcBorders>
            <w:vAlign w:val="center"/>
            <w:hideMark/>
          </w:tcPr>
          <w:p w:rsidR="002B437E"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It was completed in 2024.</w:t>
            </w:r>
          </w:p>
        </w:tc>
      </w:tr>
      <w:tr w:rsidR="00001E51" w:rsidTr="00577B88">
        <w:trPr>
          <w:trHeight w:val="2050"/>
        </w:trPr>
        <w:tc>
          <w:tcPr>
            <w:tcW w:w="206" w:type="pct"/>
            <w:tcBorders>
              <w:top w:val="nil"/>
              <w:left w:val="single" w:sz="8" w:space="0" w:color="auto"/>
              <w:bottom w:val="single" w:sz="8" w:space="0" w:color="auto"/>
              <w:right w:val="single" w:sz="8" w:space="0" w:color="auto"/>
            </w:tcBorders>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II.3.2</w:t>
            </w:r>
          </w:p>
        </w:tc>
        <w:tc>
          <w:tcPr>
            <w:tcW w:w="521" w:type="pct"/>
            <w:tcBorders>
              <w:top w:val="single" w:sz="8" w:space="0" w:color="auto"/>
              <w:left w:val="nil"/>
              <w:bottom w:val="nil"/>
              <w:right w:val="single" w:sz="8" w:space="0" w:color="auto"/>
            </w:tcBorders>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Solar4Kosovo – Feasibility study for the development of a solar District Heating (DH) project.</w:t>
            </w:r>
          </w:p>
        </w:tc>
        <w:tc>
          <w:tcPr>
            <w:tcW w:w="278" w:type="pct"/>
            <w:tcBorders>
              <w:top w:val="single" w:sz="8" w:space="0" w:color="auto"/>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50" w:type="pct"/>
            <w:tcBorders>
              <w:top w:val="single" w:sz="8" w:space="0" w:color="auto"/>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single" w:sz="8" w:space="0" w:color="auto"/>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21" w:type="pct"/>
            <w:tcBorders>
              <w:top w:val="single" w:sz="8" w:space="0" w:color="auto"/>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1,000,000.00 </w:t>
            </w:r>
          </w:p>
        </w:tc>
        <w:tc>
          <w:tcPr>
            <w:tcW w:w="415" w:type="pct"/>
            <w:tcBorders>
              <w:top w:val="single" w:sz="8" w:space="0" w:color="auto"/>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46"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KfW, EBRD</w:t>
            </w:r>
          </w:p>
        </w:tc>
        <w:tc>
          <w:tcPr>
            <w:tcW w:w="350" w:type="pct"/>
            <w:tcBorders>
              <w:top w:val="single" w:sz="8" w:space="0" w:color="auto"/>
              <w:left w:val="nil"/>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Termokos</w:t>
            </w:r>
          </w:p>
        </w:tc>
        <w:tc>
          <w:tcPr>
            <w:tcW w:w="430" w:type="pct"/>
            <w:tcBorders>
              <w:top w:val="nil"/>
              <w:left w:val="nil"/>
              <w:bottom w:val="nil"/>
              <w:right w:val="nil"/>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Feasibility study completed.</w:t>
            </w:r>
          </w:p>
        </w:tc>
        <w:tc>
          <w:tcPr>
            <w:tcW w:w="403" w:type="pct"/>
            <w:gridSpan w:val="2"/>
            <w:tcBorders>
              <w:top w:val="nil"/>
              <w:left w:val="single" w:sz="8" w:space="0" w:color="auto"/>
              <w:bottom w:val="nil"/>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Termokos Development Plan for the period</w:t>
            </w:r>
          </w:p>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2022-2031</w:t>
            </w:r>
          </w:p>
        </w:tc>
        <w:tc>
          <w:tcPr>
            <w:tcW w:w="1007" w:type="pct"/>
            <w:tcBorders>
              <w:top w:val="nil"/>
              <w:left w:val="single" w:sz="8" w:space="0" w:color="auto"/>
              <w:bottom w:val="single" w:sz="8" w:space="0" w:color="auto"/>
              <w:right w:val="single" w:sz="8" w:space="0" w:color="auto"/>
            </w:tcBorders>
            <w:vAlign w:val="center"/>
            <w:hideMark/>
          </w:tcPr>
          <w:p w:rsidR="00ED22A4" w:rsidRPr="001174AF" w:rsidRDefault="001E0569" w:rsidP="00577B88">
            <w:pPr>
              <w:spacing w:after="0" w:line="240" w:lineRule="auto"/>
              <w:rPr>
                <w:rFonts w:ascii="Times New Roman" w:hAnsi="Times New Roman" w:cs="Times New Roman"/>
                <w:b/>
                <w:sz w:val="18"/>
                <w:szCs w:val="18"/>
              </w:rPr>
            </w:pPr>
            <w:r>
              <w:rPr>
                <w:rFonts w:ascii="Times New Roman" w:hAnsi="Times New Roman"/>
                <w:sz w:val="18"/>
                <w:szCs w:val="18"/>
              </w:rPr>
              <w:t>Ninety percent (96%)</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The project includes the construction of a solar thermal plant and integration into the existing District Heating (DH) system, including the expansion of the network up to 50MWTH.                                                     Regarding developments for this project, the following have been completed:</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1. Feasibility study:</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2. Environmental and Social Impact Assessment (ESIA) project, prepared by CES-iC and funded by KFW; </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3. The location in the Hade e Re area of twenty-five hectares (25 ha) of land has been defined and approved for the installation of solar panels and a heating energy reservoir;</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4. A contract has been signed with the consulting company for </w:t>
            </w:r>
            <w:r>
              <w:rPr>
                <w:rFonts w:ascii="Times New Roman" w:hAnsi="Times New Roman"/>
                <w:sz w:val="18"/>
                <w:szCs w:val="18"/>
              </w:rPr>
              <w:lastRenderedPageBreak/>
              <w:t>the project, iC –CES Consulenten from Vienna in January 2024.</w:t>
            </w:r>
          </w:p>
          <w:p w:rsidR="002B437E" w:rsidRPr="001174AF" w:rsidRDefault="002B437E" w:rsidP="00702F96">
            <w:pPr>
              <w:spacing w:after="0" w:line="240" w:lineRule="auto"/>
              <w:jc w:val="both"/>
              <w:rPr>
                <w:rFonts w:ascii="Times New Roman" w:eastAsia="Times New Roman" w:hAnsi="Times New Roman" w:cs="Times New Roman"/>
                <w:sz w:val="18"/>
                <w:szCs w:val="18"/>
              </w:rPr>
            </w:pP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 Meanwhile, the activities carried out and ongoing related to this project during the six-month period January - June 2025 are:                                                              </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                                                                                                                                         1. We have received the electrical consent from KEDS (connection of the plant to the 110/10(20)kV transformer) and for the conditions of connection to the water supply network “RWC Prishtina”;</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2. The Planning Project Report (PPR) has been approved; </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3. The new Master Plan for network expansion within this project has been approved in principle.</w:t>
            </w:r>
          </w:p>
          <w:p w:rsidR="002B437E" w:rsidRPr="001174AF" w:rsidRDefault="002B437E" w:rsidP="00702F96">
            <w:pPr>
              <w:spacing w:after="0" w:line="240" w:lineRule="auto"/>
              <w:jc w:val="both"/>
              <w:rPr>
                <w:rFonts w:ascii="Times New Roman" w:eastAsia="Times New Roman" w:hAnsi="Times New Roman" w:cs="Times New Roman"/>
                <w:sz w:val="18"/>
                <w:szCs w:val="18"/>
              </w:rPr>
            </w:pP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4. Termokos has engaged licensed consulting companies for the expropriation/easement study for the pipeline corridors and submission to the Ministry of Finance, Labour and Transfers (MFLT);</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5. The optimized design for the solar thermal plant has been prepared, including CO₂ calculations, dam (water reservoir) safety plan, geomechanical surveys, laboratory soil samples, etc.;</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6. FOPIP/ESAP consultancy has been engaged, and the contract was signed in May 2025.</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7. Applications for the necessary approvals/permits have been submitted to the relevant institutions;</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lastRenderedPageBreak/>
              <w:t>8. The expropriation study for the corridor A and B route section is in process;</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9. KfW has approved the "Terms of Reference" for announcing the tender for pre-qualification of companies interested in participating in the project;</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10. The tender for Lot 1 – Central Heating Plant "Solar4Kosovo SDH II" was announced in January 2025;</w:t>
            </w:r>
          </w:p>
          <w:p w:rsidR="002B437E" w:rsidRPr="001174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11. The evaluation process for pre-qualification applications for the "Solar4Kosovo II" tender has been completed, and the pre-qualification evaluation report has been submitted to KfW Bank for approval. After the approval of this report, the tendering process for the execution of works will commence.</w:t>
            </w:r>
          </w:p>
        </w:tc>
      </w:tr>
      <w:tr w:rsidR="00001E51" w:rsidTr="00577B88">
        <w:trPr>
          <w:trHeight w:val="2050"/>
        </w:trPr>
        <w:tc>
          <w:tcPr>
            <w:tcW w:w="206" w:type="pct"/>
            <w:tcBorders>
              <w:top w:val="nil"/>
              <w:left w:val="single" w:sz="8" w:space="0" w:color="auto"/>
              <w:bottom w:val="single" w:sz="8" w:space="0" w:color="auto"/>
              <w:right w:val="single" w:sz="8" w:space="0" w:color="auto"/>
            </w:tcBorders>
            <w:vAlign w:val="center"/>
          </w:tcPr>
          <w:p w:rsidR="008011C1" w:rsidRDefault="008011C1" w:rsidP="002B437E">
            <w:pPr>
              <w:spacing w:after="0" w:line="240" w:lineRule="auto"/>
              <w:jc w:val="center"/>
              <w:rPr>
                <w:rFonts w:ascii="Times New Roman" w:eastAsia="Times New Roman" w:hAnsi="Times New Roman" w:cs="Times New Roman"/>
                <w:sz w:val="18"/>
                <w:szCs w:val="18"/>
              </w:rPr>
            </w:pPr>
          </w:p>
          <w:p w:rsidR="00542BA7" w:rsidRPr="00571EAF" w:rsidRDefault="00542BA7" w:rsidP="002B437E">
            <w:pPr>
              <w:spacing w:after="0" w:line="240" w:lineRule="auto"/>
              <w:jc w:val="center"/>
              <w:rPr>
                <w:rFonts w:ascii="Times New Roman" w:eastAsia="Times New Roman" w:hAnsi="Times New Roman" w:cs="Times New Roman"/>
                <w:sz w:val="18"/>
                <w:szCs w:val="18"/>
              </w:rPr>
            </w:pPr>
          </w:p>
        </w:tc>
        <w:tc>
          <w:tcPr>
            <w:tcW w:w="521" w:type="pct"/>
            <w:tcBorders>
              <w:top w:val="single" w:sz="8" w:space="0" w:color="auto"/>
              <w:left w:val="nil"/>
              <w:bottom w:val="nil"/>
              <w:right w:val="single" w:sz="8" w:space="0" w:color="auto"/>
            </w:tcBorders>
            <w:vAlign w:val="center"/>
          </w:tcPr>
          <w:p w:rsidR="008011C1" w:rsidRPr="00571EAF" w:rsidRDefault="008011C1" w:rsidP="002B437E">
            <w:pPr>
              <w:spacing w:after="0" w:line="240" w:lineRule="auto"/>
              <w:rPr>
                <w:rFonts w:ascii="Times New Roman" w:eastAsia="Times New Roman" w:hAnsi="Times New Roman" w:cs="Times New Roman"/>
                <w:sz w:val="18"/>
                <w:szCs w:val="18"/>
              </w:rPr>
            </w:pPr>
          </w:p>
        </w:tc>
        <w:tc>
          <w:tcPr>
            <w:tcW w:w="278" w:type="pct"/>
            <w:tcBorders>
              <w:top w:val="single" w:sz="8" w:space="0" w:color="auto"/>
              <w:left w:val="nil"/>
              <w:bottom w:val="nil"/>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250" w:type="pct"/>
            <w:tcBorders>
              <w:top w:val="single" w:sz="8" w:space="0" w:color="auto"/>
              <w:left w:val="nil"/>
              <w:bottom w:val="nil"/>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373" w:type="pct"/>
            <w:tcBorders>
              <w:top w:val="single" w:sz="8" w:space="0" w:color="auto"/>
              <w:left w:val="nil"/>
              <w:bottom w:val="nil"/>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421" w:type="pct"/>
            <w:tcBorders>
              <w:top w:val="single" w:sz="8" w:space="0" w:color="auto"/>
              <w:left w:val="nil"/>
              <w:bottom w:val="nil"/>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b/>
                <w:bCs/>
                <w:sz w:val="18"/>
                <w:szCs w:val="18"/>
              </w:rPr>
            </w:pPr>
          </w:p>
        </w:tc>
        <w:tc>
          <w:tcPr>
            <w:tcW w:w="415" w:type="pct"/>
            <w:tcBorders>
              <w:top w:val="single" w:sz="8" w:space="0" w:color="auto"/>
              <w:left w:val="nil"/>
              <w:bottom w:val="nil"/>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346" w:type="pct"/>
            <w:tcBorders>
              <w:top w:val="single" w:sz="8" w:space="0" w:color="auto"/>
              <w:left w:val="nil"/>
              <w:bottom w:val="single" w:sz="8" w:space="0" w:color="auto"/>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350" w:type="pct"/>
            <w:tcBorders>
              <w:top w:val="single" w:sz="8" w:space="0" w:color="auto"/>
              <w:left w:val="nil"/>
              <w:bottom w:val="nil"/>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430" w:type="pct"/>
            <w:tcBorders>
              <w:top w:val="nil"/>
              <w:left w:val="nil"/>
              <w:bottom w:val="nil"/>
              <w:right w:val="nil"/>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403" w:type="pct"/>
            <w:gridSpan w:val="2"/>
            <w:tcBorders>
              <w:top w:val="nil"/>
              <w:left w:val="single" w:sz="8" w:space="0" w:color="auto"/>
              <w:bottom w:val="nil"/>
              <w:right w:val="single" w:sz="8" w:space="0" w:color="auto"/>
            </w:tcBorders>
            <w:shd w:val="clear" w:color="000000" w:fill="FFFFFF"/>
            <w:vAlign w:val="center"/>
          </w:tcPr>
          <w:p w:rsidR="008011C1" w:rsidRPr="00571EAF" w:rsidRDefault="008011C1" w:rsidP="002B437E">
            <w:pPr>
              <w:spacing w:after="0" w:line="240" w:lineRule="auto"/>
              <w:jc w:val="center"/>
              <w:rPr>
                <w:rFonts w:ascii="Times New Roman" w:eastAsia="Times New Roman" w:hAnsi="Times New Roman" w:cs="Times New Roman"/>
                <w:sz w:val="18"/>
                <w:szCs w:val="18"/>
              </w:rPr>
            </w:pPr>
          </w:p>
        </w:tc>
        <w:tc>
          <w:tcPr>
            <w:tcW w:w="1007" w:type="pct"/>
            <w:tcBorders>
              <w:top w:val="nil"/>
              <w:left w:val="single" w:sz="8" w:space="0" w:color="auto"/>
              <w:bottom w:val="single" w:sz="8" w:space="0" w:color="auto"/>
              <w:right w:val="single" w:sz="8" w:space="0" w:color="auto"/>
            </w:tcBorders>
            <w:vAlign w:val="center"/>
          </w:tcPr>
          <w:p w:rsidR="008011C1" w:rsidRPr="0050075A" w:rsidRDefault="008011C1" w:rsidP="00577B88">
            <w:pPr>
              <w:spacing w:after="0" w:line="240" w:lineRule="auto"/>
              <w:rPr>
                <w:rFonts w:ascii="Times New Roman" w:hAnsi="Times New Roman" w:cs="Times New Roman"/>
                <w:b/>
                <w:bCs/>
                <w:sz w:val="18"/>
                <w:szCs w:val="18"/>
              </w:rPr>
            </w:pPr>
          </w:p>
        </w:tc>
      </w:tr>
      <w:tr w:rsidR="00001E51" w:rsidTr="00577B88">
        <w:trPr>
          <w:trHeight w:val="1455"/>
        </w:trPr>
        <w:tc>
          <w:tcPr>
            <w:tcW w:w="206" w:type="pct"/>
            <w:tcBorders>
              <w:top w:val="nil"/>
              <w:left w:val="single" w:sz="8" w:space="0" w:color="auto"/>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II.3.3</w:t>
            </w:r>
          </w:p>
        </w:tc>
        <w:tc>
          <w:tcPr>
            <w:tcW w:w="521"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Construction of the solar District Heating (DH) project – Solar4Kosovo.</w:t>
            </w:r>
          </w:p>
        </w:tc>
        <w:tc>
          <w:tcPr>
            <w:tcW w:w="278"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2027</w:t>
            </w:r>
          </w:p>
        </w:tc>
        <w:tc>
          <w:tcPr>
            <w:tcW w:w="250"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73"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421"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45,520,162.00 </w:t>
            </w:r>
          </w:p>
        </w:tc>
        <w:tc>
          <w:tcPr>
            <w:tcW w:w="415"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36,000,000.00 </w:t>
            </w:r>
          </w:p>
        </w:tc>
        <w:tc>
          <w:tcPr>
            <w:tcW w:w="346" w:type="pct"/>
            <w:tcBorders>
              <w:top w:val="nil"/>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KfW, EBRD, WBIF, National Contribution.</w:t>
            </w:r>
          </w:p>
        </w:tc>
        <w:tc>
          <w:tcPr>
            <w:tcW w:w="350"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Termokos</w:t>
            </w:r>
          </w:p>
        </w:tc>
        <w:tc>
          <w:tcPr>
            <w:tcW w:w="430" w:type="pct"/>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An additional 50 MWth of solar energy for Termokos, benefiting up to 12,000 families. </w:t>
            </w:r>
          </w:p>
        </w:tc>
        <w:tc>
          <w:tcPr>
            <w:tcW w:w="403" w:type="pct"/>
            <w:gridSpan w:val="2"/>
            <w:tcBorders>
              <w:top w:val="single" w:sz="8" w:space="0" w:color="auto"/>
              <w:left w:val="nil"/>
              <w:bottom w:val="single" w:sz="8" w:space="0" w:color="auto"/>
              <w:right w:val="single" w:sz="8" w:space="0" w:color="auto"/>
            </w:tcBorders>
            <w:shd w:val="clear" w:color="000000" w:fill="FFFFFF"/>
            <w:vAlign w:val="center"/>
            <w:hideMark/>
          </w:tcPr>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Termokos Development Plan for the period</w:t>
            </w:r>
          </w:p>
          <w:p w:rsidR="002B437E" w:rsidRPr="00571EAF" w:rsidRDefault="001E0569" w:rsidP="002B437E">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2022-2031</w:t>
            </w:r>
          </w:p>
        </w:tc>
        <w:tc>
          <w:tcPr>
            <w:tcW w:w="1007" w:type="pct"/>
            <w:tcBorders>
              <w:top w:val="nil"/>
              <w:left w:val="single" w:sz="8" w:space="0" w:color="auto"/>
              <w:bottom w:val="single" w:sz="8" w:space="0" w:color="auto"/>
              <w:right w:val="nil"/>
            </w:tcBorders>
            <w:vAlign w:val="center"/>
            <w:hideMark/>
          </w:tcPr>
          <w:p w:rsidR="00147B23" w:rsidRDefault="001E0569" w:rsidP="00147B23">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3741CD" w:rsidRPr="00261E01" w:rsidRDefault="003741CD" w:rsidP="00147B23">
            <w:pPr>
              <w:spacing w:after="0" w:line="240" w:lineRule="auto"/>
              <w:rPr>
                <w:rFonts w:ascii="Times New Roman" w:hAnsi="Times New Roman" w:cs="Times New Roman"/>
                <w:b/>
                <w:bCs/>
                <w:color w:val="000000" w:themeColor="text1"/>
                <w:sz w:val="18"/>
                <w:szCs w:val="18"/>
              </w:rPr>
            </w:pPr>
          </w:p>
          <w:p w:rsidR="002B437E" w:rsidRDefault="001E0569" w:rsidP="00702F96">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The project implementation has not yet started.</w:t>
            </w:r>
          </w:p>
          <w:p w:rsidR="00D10434" w:rsidRPr="00D1043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Deadline: 2026-2029 - the project is planned to be implemented.</w:t>
            </w:r>
          </w:p>
          <w:p w:rsidR="00D10434" w:rsidRPr="00D10434" w:rsidRDefault="00D10434" w:rsidP="00D10434">
            <w:pPr>
              <w:spacing w:after="0" w:line="240" w:lineRule="auto"/>
              <w:jc w:val="both"/>
              <w:rPr>
                <w:rFonts w:ascii="Times New Roman" w:eastAsia="Times New Roman" w:hAnsi="Times New Roman" w:cs="Times New Roman"/>
                <w:sz w:val="18"/>
                <w:szCs w:val="18"/>
              </w:rPr>
            </w:pPr>
          </w:p>
          <w:p w:rsidR="00D10434" w:rsidRPr="00D1043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Budget: During 2024, an amount of €1,235,548.00 was realized.</w:t>
            </w:r>
          </w:p>
          <w:p w:rsidR="00D10434" w:rsidRPr="00D1043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For 2025, an amount of €1,032,206.00 is planned, of </w:t>
            </w:r>
            <w:r>
              <w:rPr>
                <w:rFonts w:ascii="Times New Roman" w:hAnsi="Times New Roman"/>
                <w:sz w:val="18"/>
                <w:szCs w:val="18"/>
              </w:rPr>
              <w:lastRenderedPageBreak/>
              <w:t>which €501,543.00 has been realized by June 2025.</w:t>
            </w:r>
          </w:p>
          <w:p w:rsidR="00D10434" w:rsidRPr="00ED22A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Source of funding: KfW, EBRD, WBIF, National Contribution and Termokos.</w:t>
            </w:r>
          </w:p>
        </w:tc>
      </w:tr>
    </w:tbl>
    <w:p w:rsidR="00E07348" w:rsidRDefault="00E07348" w:rsidP="00000A7B">
      <w:pPr>
        <w:rPr>
          <w:rFonts w:ascii="Times New Roman" w:hAnsi="Times New Roman" w:cs="Times New Roman"/>
          <w:b/>
          <w:sz w:val="28"/>
          <w:szCs w:val="24"/>
        </w:rPr>
      </w:pPr>
    </w:p>
    <w:p w:rsidR="008D0C63" w:rsidRPr="00BA03D5" w:rsidRDefault="008D0C63" w:rsidP="00BA03D5">
      <w:pPr>
        <w:rPr>
          <w:rFonts w:ascii="Times New Roman" w:hAnsi="Times New Roman" w:cs="Times New Roman"/>
          <w:b/>
          <w:sz w:val="28"/>
          <w:szCs w:val="24"/>
        </w:rPr>
      </w:pPr>
    </w:p>
    <w:tbl>
      <w:tblPr>
        <w:tblW w:w="5000" w:type="pct"/>
        <w:tblLook w:val="04A0" w:firstRow="1" w:lastRow="0" w:firstColumn="1" w:lastColumn="0" w:noHBand="0" w:noVBand="1"/>
      </w:tblPr>
      <w:tblGrid>
        <w:gridCol w:w="492"/>
        <w:gridCol w:w="798"/>
        <w:gridCol w:w="610"/>
        <w:gridCol w:w="699"/>
        <w:gridCol w:w="745"/>
        <w:gridCol w:w="745"/>
        <w:gridCol w:w="584"/>
        <w:gridCol w:w="798"/>
        <w:gridCol w:w="691"/>
        <w:gridCol w:w="798"/>
        <w:gridCol w:w="768"/>
        <w:gridCol w:w="5227"/>
      </w:tblGrid>
      <w:tr w:rsidR="00001E51" w:rsidTr="00000A7B">
        <w:trPr>
          <w:trHeight w:val="480"/>
        </w:trPr>
        <w:tc>
          <w:tcPr>
            <w:tcW w:w="3513"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71EAF" w:rsidRPr="00571EAF" w:rsidRDefault="001E0569" w:rsidP="00571EAF">
            <w:pPr>
              <w:spacing w:after="0" w:line="240" w:lineRule="auto"/>
              <w:jc w:val="center"/>
              <w:rPr>
                <w:rFonts w:ascii="Calibri" w:eastAsia="Times New Roman" w:hAnsi="Calibri" w:cs="Calibri"/>
                <w:b/>
                <w:bCs/>
                <w:i/>
                <w:iCs/>
                <w:sz w:val="24"/>
                <w:szCs w:val="24"/>
              </w:rPr>
            </w:pPr>
            <w:r>
              <w:rPr>
                <w:rFonts w:ascii="Calibri" w:hAnsi="Calibri"/>
                <w:b/>
                <w:bCs/>
                <w:i/>
                <w:iCs/>
                <w:sz w:val="24"/>
                <w:szCs w:val="24"/>
              </w:rPr>
              <w:t>MONITORING THE IMPLEMENTATION OF THE KESIP FOR THE PERIOD 2022-2025: STRATEGIC OBJECTIVE 3</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Calibri" w:eastAsia="Times New Roman" w:hAnsi="Calibri" w:cs="Calibri"/>
                <w:b/>
                <w:bCs/>
                <w:i/>
                <w:iCs/>
                <w:sz w:val="24"/>
                <w:szCs w:val="24"/>
              </w:rPr>
            </w:pPr>
          </w:p>
        </w:tc>
      </w:tr>
      <w:tr w:rsidR="00001E51" w:rsidTr="00000A7B">
        <w:trPr>
          <w:trHeight w:val="930"/>
        </w:trPr>
        <w:tc>
          <w:tcPr>
            <w:tcW w:w="3513" w:type="pct"/>
            <w:gridSpan w:val="11"/>
            <w:tcBorders>
              <w:top w:val="nil"/>
              <w:left w:val="nil"/>
              <w:bottom w:val="single" w:sz="8" w:space="0" w:color="auto"/>
              <w:right w:val="nil"/>
            </w:tcBorders>
            <w:noWrap/>
            <w:vAlign w:val="center"/>
            <w:hideMark/>
          </w:tcPr>
          <w:p w:rsidR="00571EAF" w:rsidRPr="00571EAF"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SO3: INCREASING ENERGY EFFICIENCY (EE)</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rPr>
            </w:pPr>
          </w:p>
        </w:tc>
      </w:tr>
      <w:tr w:rsidR="00001E51" w:rsidTr="00000A7B">
        <w:trPr>
          <w:trHeight w:val="1275"/>
        </w:trPr>
        <w:tc>
          <w:tcPr>
            <w:tcW w:w="211" w:type="pct"/>
            <w:tcBorders>
              <w:top w:val="nil"/>
              <w:left w:val="single" w:sz="8" w:space="0" w:color="auto"/>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358" w:type="pct"/>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Strategic and specific objectives, indicators and actions</w:t>
            </w:r>
          </w:p>
        </w:tc>
        <w:tc>
          <w:tcPr>
            <w:tcW w:w="901" w:type="pct"/>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Baseline value</w:t>
            </w:r>
          </w:p>
        </w:tc>
        <w:tc>
          <w:tcPr>
            <w:tcW w:w="582" w:type="pct"/>
            <w:gridSpan w:val="2"/>
            <w:tcBorders>
              <w:top w:val="single" w:sz="8" w:space="0" w:color="auto"/>
              <w:left w:val="nil"/>
              <w:bottom w:val="single" w:sz="8" w:space="0" w:color="auto"/>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Interim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47" w:type="pct"/>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1014" w:type="pct"/>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Outcome</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000A7B">
        <w:trPr>
          <w:trHeight w:val="315"/>
        </w:trPr>
        <w:tc>
          <w:tcPr>
            <w:tcW w:w="211" w:type="pct"/>
            <w:tcBorders>
              <w:top w:val="nil"/>
              <w:left w:val="single" w:sz="8" w:space="0" w:color="auto"/>
              <w:bottom w:val="single" w:sz="8" w:space="0" w:color="auto"/>
              <w:right w:val="single" w:sz="8" w:space="0" w:color="auto"/>
            </w:tcBorders>
            <w:shd w:val="clear" w:color="000000" w:fill="BFBFB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III.</w:t>
            </w:r>
          </w:p>
        </w:tc>
        <w:tc>
          <w:tcPr>
            <w:tcW w:w="3301" w:type="pct"/>
            <w:gridSpan w:val="10"/>
            <w:tcBorders>
              <w:top w:val="single" w:sz="8" w:space="0" w:color="auto"/>
              <w:left w:val="nil"/>
              <w:bottom w:val="single" w:sz="8" w:space="0" w:color="auto"/>
              <w:right w:val="single" w:sz="8" w:space="0" w:color="000000"/>
            </w:tcBorders>
            <w:shd w:val="clear" w:color="000000" w:fill="BFBFBF"/>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STRATEGIC OBJECTIVE 3: </w:t>
            </w:r>
            <w:r>
              <w:rPr>
                <w:rFonts w:ascii="Times New Roman" w:hAnsi="Times New Roman"/>
                <w:b/>
              </w:rPr>
              <w:t>INCREASING ENERGY EFFICIENCY (EE)</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r>
      <w:tr w:rsidR="00001E51" w:rsidTr="00000A7B">
        <w:trPr>
          <w:trHeight w:val="495"/>
        </w:trPr>
        <w:tc>
          <w:tcPr>
            <w:tcW w:w="211"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Indicator: Level of final energy </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consumption.</w:t>
            </w:r>
          </w:p>
        </w:tc>
        <w:tc>
          <w:tcPr>
            <w:tcW w:w="901" w:type="pct"/>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1516 ktoe [2017] </w:t>
            </w:r>
          </w:p>
        </w:tc>
        <w:tc>
          <w:tcPr>
            <w:tcW w:w="582" w:type="pct"/>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1709 ktoe</w:t>
            </w:r>
          </w:p>
        </w:tc>
        <w:tc>
          <w:tcPr>
            <w:tcW w:w="447"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1877 ktoe</w:t>
            </w:r>
          </w:p>
        </w:tc>
        <w:tc>
          <w:tcPr>
            <w:tcW w:w="1014" w:type="pct"/>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735"/>
        </w:trPr>
        <w:tc>
          <w:tcPr>
            <w:tcW w:w="211"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Indicator: Cumulative energy savings achieved in the </w:t>
            </w:r>
            <w:r>
              <w:rPr>
                <w:rFonts w:ascii="Times New Roman" w:hAnsi="Times New Roman"/>
                <w:sz w:val="18"/>
                <w:szCs w:val="18"/>
              </w:rPr>
              <w:lastRenderedPageBreak/>
              <w:t>construction sector.</w:t>
            </w: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 xml:space="preserve">2.7 ktoe  [2021] </w:t>
            </w:r>
          </w:p>
        </w:tc>
        <w:tc>
          <w:tcPr>
            <w:tcW w:w="582" w:type="pct"/>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17.76 ktoe</w:t>
            </w:r>
          </w:p>
        </w:tc>
        <w:tc>
          <w:tcPr>
            <w:tcW w:w="447"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266.4 ktoe</w:t>
            </w:r>
          </w:p>
        </w:tc>
        <w:tc>
          <w:tcPr>
            <w:tcW w:w="1014"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315"/>
        </w:trPr>
        <w:tc>
          <w:tcPr>
            <w:tcW w:w="211"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III.1</w:t>
            </w:r>
          </w:p>
        </w:tc>
        <w:tc>
          <w:tcPr>
            <w:tcW w:w="3301"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Improving Energy Efficiency (EE) in buildings</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r>
      <w:tr w:rsidR="00001E51" w:rsidTr="00000A7B">
        <w:trPr>
          <w:trHeight w:val="735"/>
        </w:trPr>
        <w:tc>
          <w:tcPr>
            <w:tcW w:w="211" w:type="pct"/>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358" w:type="pct"/>
            <w:tcBorders>
              <w:top w:val="nil"/>
              <w:left w:val="nil"/>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901" w:type="pct"/>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582"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47"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1014"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000A7B">
        <w:trPr>
          <w:trHeight w:val="495"/>
        </w:trPr>
        <w:tc>
          <w:tcPr>
            <w:tcW w:w="211"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Total cumulative energy</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savings in public buildings</w:t>
            </w: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2.6 ktoe [2021]</w:t>
            </w:r>
          </w:p>
        </w:tc>
        <w:tc>
          <w:tcPr>
            <w:tcW w:w="582" w:type="pct"/>
            <w:gridSpan w:val="2"/>
            <w:tcBorders>
              <w:top w:val="single" w:sz="8" w:space="0" w:color="auto"/>
              <w:left w:val="nil"/>
              <w:bottom w:val="single" w:sz="8" w:space="0" w:color="auto"/>
              <w:right w:val="single" w:sz="8" w:space="0" w:color="000000"/>
            </w:tcBorders>
            <w:shd w:val="clear" w:color="000000" w:fill="FFFFFF"/>
            <w:vAlign w:val="center"/>
            <w:hideMark/>
          </w:tcPr>
          <w:p w:rsidR="00571EAF" w:rsidRPr="00571EAF" w:rsidRDefault="001E0569" w:rsidP="00571EAF">
            <w:pPr>
              <w:spacing w:after="0" w:line="240" w:lineRule="auto"/>
              <w:jc w:val="center"/>
              <w:rPr>
                <w:rFonts w:ascii="Calibri" w:eastAsia="Times New Roman" w:hAnsi="Calibri" w:cs="Calibri"/>
                <w:sz w:val="18"/>
                <w:szCs w:val="18"/>
              </w:rPr>
            </w:pPr>
            <w:r>
              <w:rPr>
                <w:rFonts w:ascii="Calibri" w:hAnsi="Calibri"/>
                <w:sz w:val="18"/>
                <w:szCs w:val="18"/>
              </w:rPr>
              <w:t>3.3 ktoe</w:t>
            </w:r>
          </w:p>
        </w:tc>
        <w:tc>
          <w:tcPr>
            <w:tcW w:w="447" w:type="pct"/>
            <w:tcBorders>
              <w:top w:val="nil"/>
              <w:left w:val="nil"/>
              <w:bottom w:val="single" w:sz="8" w:space="0" w:color="000000"/>
              <w:right w:val="single" w:sz="8" w:space="0" w:color="000000"/>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33.9 ktoe </w:t>
            </w:r>
          </w:p>
        </w:tc>
        <w:tc>
          <w:tcPr>
            <w:tcW w:w="1014" w:type="pct"/>
            <w:gridSpan w:val="3"/>
            <w:tcBorders>
              <w:top w:val="single" w:sz="8" w:space="0" w:color="auto"/>
              <w:left w:val="nil"/>
              <w:bottom w:val="single" w:sz="8" w:space="0" w:color="auto"/>
              <w:right w:val="single" w:sz="8" w:space="0" w:color="000000"/>
            </w:tcBorders>
            <w:vAlign w:val="center"/>
            <w:hideMark/>
          </w:tcPr>
          <w:p w:rsidR="00571EAF" w:rsidRPr="00126C7C" w:rsidRDefault="00571EAF" w:rsidP="00571EAF">
            <w:pPr>
              <w:spacing w:after="0" w:line="240" w:lineRule="auto"/>
              <w:rPr>
                <w:rFonts w:ascii="Times New Roman" w:eastAsia="Times New Roman" w:hAnsi="Times New Roman" w:cs="Times New Roman"/>
                <w:sz w:val="24"/>
                <w:szCs w:val="24"/>
              </w:rPr>
            </w:pP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735"/>
        </w:trPr>
        <w:tc>
          <w:tcPr>
            <w:tcW w:w="211"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Total cumulative energy </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savings in residential and</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commercial public buildings</w:t>
            </w:r>
          </w:p>
        </w:tc>
        <w:tc>
          <w:tcPr>
            <w:tcW w:w="901" w:type="pct"/>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0.1 ktoe [2021]</w:t>
            </w:r>
          </w:p>
        </w:tc>
        <w:tc>
          <w:tcPr>
            <w:tcW w:w="582" w:type="pct"/>
            <w:gridSpan w:val="2"/>
            <w:tcBorders>
              <w:top w:val="nil"/>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14.46 ktoe</w:t>
            </w:r>
          </w:p>
        </w:tc>
        <w:tc>
          <w:tcPr>
            <w:tcW w:w="447" w:type="pct"/>
            <w:tcBorders>
              <w:top w:val="nil"/>
              <w:left w:val="nil"/>
              <w:bottom w:val="nil"/>
              <w:right w:val="nil"/>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232.5 ktoe</w:t>
            </w:r>
          </w:p>
        </w:tc>
        <w:tc>
          <w:tcPr>
            <w:tcW w:w="1014" w:type="pct"/>
            <w:gridSpan w:val="3"/>
            <w:tcBorders>
              <w:top w:val="single" w:sz="8" w:space="0" w:color="auto"/>
              <w:left w:val="single" w:sz="8" w:space="0" w:color="auto"/>
              <w:bottom w:val="nil"/>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495"/>
        </w:trPr>
        <w:tc>
          <w:tcPr>
            <w:tcW w:w="211"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3</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The number of buildings with</w:t>
            </w:r>
          </w:p>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near-zero energy consumption</w:t>
            </w: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0</w:t>
            </w:r>
          </w:p>
        </w:tc>
        <w:tc>
          <w:tcPr>
            <w:tcW w:w="582"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10</w:t>
            </w:r>
          </w:p>
        </w:tc>
        <w:tc>
          <w:tcPr>
            <w:tcW w:w="447" w:type="pct"/>
            <w:tcBorders>
              <w:top w:val="single" w:sz="8" w:space="0" w:color="auto"/>
              <w:left w:val="nil"/>
              <w:bottom w:val="single" w:sz="8" w:space="0" w:color="auto"/>
              <w:right w:val="nil"/>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150</w:t>
            </w:r>
          </w:p>
        </w:tc>
        <w:tc>
          <w:tcPr>
            <w:tcW w:w="1014" w:type="pct"/>
            <w:gridSpan w:val="3"/>
            <w:tcBorders>
              <w:top w:val="single" w:sz="8" w:space="0" w:color="auto"/>
              <w:left w:val="single" w:sz="8" w:space="0" w:color="auto"/>
              <w:bottom w:val="single" w:sz="8" w:space="0" w:color="auto"/>
              <w:right w:val="single" w:sz="8" w:space="0" w:color="000000"/>
            </w:tcBorders>
            <w:vAlign w:val="center"/>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Improving the energy efficiency of new public buildings.</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315"/>
        </w:trPr>
        <w:tc>
          <w:tcPr>
            <w:tcW w:w="21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35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66"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218" w:type="pct"/>
            <w:gridSpan w:val="4"/>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44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29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35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64"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48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CC2ADA" w:rsidRDefault="001E0569" w:rsidP="00571EAF">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Implementation progress January - June 2025</w:t>
            </w:r>
          </w:p>
        </w:tc>
      </w:tr>
      <w:tr w:rsidR="00001E51" w:rsidTr="00000A7B">
        <w:trPr>
          <w:trHeight w:val="300"/>
        </w:trPr>
        <w:tc>
          <w:tcPr>
            <w:tcW w:w="21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07"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2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2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254"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47"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2"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64"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48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000A7B">
        <w:trPr>
          <w:trHeight w:val="525"/>
        </w:trPr>
        <w:tc>
          <w:tcPr>
            <w:tcW w:w="21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07"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2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32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254"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447"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2"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64"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48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BC00BF">
        <w:trPr>
          <w:trHeight w:val="2230"/>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III.1.1</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Review of Law on Energy Efficiency (EE) .</w:t>
            </w:r>
          </w:p>
        </w:tc>
        <w:tc>
          <w:tcPr>
            <w:tcW w:w="266"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10,800.00 </w:t>
            </w:r>
          </w:p>
        </w:tc>
        <w:tc>
          <w:tcPr>
            <w:tcW w:w="328"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 donors</w:t>
            </w:r>
          </w:p>
        </w:tc>
        <w:tc>
          <w:tcPr>
            <w:tcW w:w="292"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MESPI, KEEF</w:t>
            </w:r>
          </w:p>
        </w:tc>
        <w:tc>
          <w:tcPr>
            <w:tcW w:w="358"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on Energy Efficiency (EE) adopted.</w:t>
            </w:r>
          </w:p>
        </w:tc>
        <w:tc>
          <w:tcPr>
            <w:tcW w:w="36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single" w:sz="8" w:space="0" w:color="auto"/>
              <w:left w:val="single" w:sz="8" w:space="0" w:color="auto"/>
              <w:bottom w:val="single" w:sz="8" w:space="0" w:color="auto"/>
              <w:right w:val="nil"/>
            </w:tcBorders>
            <w:vAlign w:val="center"/>
            <w:hideMark/>
          </w:tcPr>
          <w:p w:rsidR="00147B23" w:rsidRPr="00327C38"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Fifty percent (50%)</w:t>
            </w:r>
          </w:p>
          <w:p w:rsidR="00327C38" w:rsidRPr="00147B23" w:rsidRDefault="00327C38" w:rsidP="00577B88">
            <w:pPr>
              <w:spacing w:after="0" w:line="240" w:lineRule="auto"/>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Regarding the Draft Law on Energy Efficiency (EE), the final draft was drafted by the Working Group (WG) with the support of GIZ consultancy. The draft law is expected to be submitted for preliminary and public discussion. During this period, fourteen (14) bylaws were drafted and two (2) workshops were held as part of the preparation of the secondary legislation. According to the legislative plan, approval is scheduled for the end of 2025.</w:t>
            </w:r>
          </w:p>
        </w:tc>
      </w:tr>
      <w:tr w:rsidR="00001E51" w:rsidTr="00DA3784">
        <w:trPr>
          <w:trHeight w:val="70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III.1.2</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Adoption of bylaws related to the Law on Energy Efficiency (EE)</w:t>
            </w:r>
          </w:p>
        </w:tc>
        <w:tc>
          <w:tcPr>
            <w:tcW w:w="266"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30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90,000.00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 donors</w:t>
            </w:r>
          </w:p>
        </w:tc>
        <w:tc>
          <w:tcPr>
            <w:tcW w:w="292"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MESPI, KEEF</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Adoption of secondary legislation related to the Law on Energy Efficiency (EE).</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on Energy Efficiency (EE).</w:t>
            </w:r>
          </w:p>
        </w:tc>
        <w:tc>
          <w:tcPr>
            <w:tcW w:w="1487" w:type="pct"/>
            <w:tcBorders>
              <w:top w:val="nil"/>
              <w:left w:val="single" w:sz="8" w:space="0" w:color="auto"/>
              <w:bottom w:val="single" w:sz="8" w:space="0" w:color="auto"/>
              <w:right w:val="nil"/>
            </w:tcBorders>
            <w:vAlign w:val="center"/>
            <w:hideMark/>
          </w:tcPr>
          <w:p w:rsidR="00147B23" w:rsidRPr="00C81BD6"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Ten percent (10%)</w:t>
            </w:r>
          </w:p>
          <w:p w:rsidR="00C81BD6" w:rsidRPr="00147B23" w:rsidRDefault="00C81BD6" w:rsidP="00577B88">
            <w:pPr>
              <w:spacing w:after="0" w:line="240" w:lineRule="auto"/>
              <w:rPr>
                <w:rFonts w:ascii="Times New Roman" w:hAnsi="Times New Roman" w:cs="Times New Roman"/>
                <w:b/>
                <w:color w:val="000000" w:themeColor="text1"/>
                <w:sz w:val="18"/>
                <w:szCs w:val="18"/>
              </w:rPr>
            </w:pP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Following the approval of the Law on Energy Efficiency, the drafting and approval of bylaws will commence, with Administrative Instructions (AIs) and Regulations identified so far.</w:t>
            </w:r>
          </w:p>
        </w:tc>
      </w:tr>
      <w:tr w:rsidR="00001E51" w:rsidTr="00577B88">
        <w:trPr>
          <w:trHeight w:val="147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III.1.3</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2F29FE" w:rsidRDefault="001E0569" w:rsidP="00000A7B">
            <w:pPr>
              <w:spacing w:after="0" w:line="240" w:lineRule="auto"/>
              <w:rPr>
                <w:rFonts w:ascii="Times New Roman" w:eastAsia="Times New Roman" w:hAnsi="Times New Roman" w:cs="Times New Roman"/>
                <w:color w:val="FF0000"/>
                <w:sz w:val="18"/>
                <w:szCs w:val="18"/>
              </w:rPr>
            </w:pPr>
            <w:r>
              <w:rPr>
                <w:rFonts w:ascii="Times New Roman" w:hAnsi="Times New Roman"/>
                <w:sz w:val="18"/>
                <w:szCs w:val="18"/>
              </w:rPr>
              <w:t>Review of the Law on Energy performance of Buildings.</w:t>
            </w:r>
          </w:p>
        </w:tc>
        <w:tc>
          <w:tcPr>
            <w:tcW w:w="266"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22,600.00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 donors</w:t>
            </w:r>
          </w:p>
        </w:tc>
        <w:tc>
          <w:tcPr>
            <w:tcW w:w="292"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2F29FE" w:rsidRDefault="001E0569" w:rsidP="00000A7B">
            <w:pPr>
              <w:spacing w:after="0" w:line="240" w:lineRule="auto"/>
              <w:jc w:val="center"/>
              <w:rPr>
                <w:rFonts w:ascii="Times New Roman" w:eastAsia="Times New Roman" w:hAnsi="Times New Roman" w:cs="Times New Roman"/>
                <w:color w:val="FF0000"/>
                <w:sz w:val="18"/>
                <w:szCs w:val="18"/>
              </w:rPr>
            </w:pPr>
            <w:r>
              <w:rPr>
                <w:rFonts w:ascii="Times New Roman" w:hAnsi="Times New Roman"/>
                <w:sz w:val="18"/>
                <w:szCs w:val="18"/>
              </w:rPr>
              <w:t>Law on Energy performance of Buildings adopted.</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National Development Plan for the period 2023-2025</w:t>
            </w:r>
          </w:p>
        </w:tc>
        <w:tc>
          <w:tcPr>
            <w:tcW w:w="1487" w:type="pct"/>
            <w:tcBorders>
              <w:top w:val="nil"/>
              <w:left w:val="single" w:sz="8" w:space="0" w:color="auto"/>
              <w:bottom w:val="single" w:sz="8" w:space="0" w:color="auto"/>
              <w:right w:val="single" w:sz="8" w:space="0" w:color="auto"/>
            </w:tcBorders>
            <w:vAlign w:val="center"/>
            <w:hideMark/>
          </w:tcPr>
          <w:p w:rsidR="00147B23" w:rsidRPr="00116FA5" w:rsidRDefault="001E0569" w:rsidP="00702F96">
            <w:pPr>
              <w:spacing w:after="0" w:line="240" w:lineRule="auto"/>
              <w:jc w:val="both"/>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116FA5" w:rsidRPr="00147B23" w:rsidRDefault="00116FA5" w:rsidP="00702F96">
            <w:pPr>
              <w:spacing w:after="0" w:line="240" w:lineRule="auto"/>
              <w:jc w:val="both"/>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Law No. 08/L-242 on Energy Performance of Buildings has been adopted and was published in the Official Gazette (OG) on 12 June 2024.</w:t>
            </w:r>
          </w:p>
        </w:tc>
      </w:tr>
      <w:tr w:rsidR="00001E51" w:rsidTr="00577B88">
        <w:trPr>
          <w:trHeight w:val="147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III.1.4</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2F29FE" w:rsidRDefault="001E0569" w:rsidP="00000A7B">
            <w:pPr>
              <w:spacing w:after="0" w:line="240" w:lineRule="auto"/>
              <w:rPr>
                <w:rFonts w:ascii="Times New Roman" w:eastAsia="Times New Roman" w:hAnsi="Times New Roman" w:cs="Times New Roman"/>
                <w:color w:val="FF0000"/>
                <w:sz w:val="18"/>
                <w:szCs w:val="18"/>
              </w:rPr>
            </w:pPr>
            <w:r>
              <w:rPr>
                <w:rFonts w:ascii="Times New Roman" w:hAnsi="Times New Roman"/>
                <w:sz w:val="18"/>
                <w:szCs w:val="18"/>
              </w:rPr>
              <w:t>Approval of bylaws regarding the energy performance of buildings.</w:t>
            </w:r>
          </w:p>
        </w:tc>
        <w:tc>
          <w:tcPr>
            <w:tcW w:w="266"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30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150,000.00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20,000.00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 donors</w:t>
            </w:r>
          </w:p>
        </w:tc>
        <w:tc>
          <w:tcPr>
            <w:tcW w:w="292"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2F29FE" w:rsidRDefault="001E0569" w:rsidP="00000A7B">
            <w:pPr>
              <w:spacing w:after="0" w:line="240" w:lineRule="auto"/>
              <w:jc w:val="center"/>
              <w:rPr>
                <w:rFonts w:ascii="Times New Roman" w:eastAsia="Times New Roman" w:hAnsi="Times New Roman" w:cs="Times New Roman"/>
                <w:color w:val="FF0000"/>
                <w:sz w:val="18"/>
                <w:szCs w:val="18"/>
              </w:rPr>
            </w:pPr>
            <w:r>
              <w:rPr>
                <w:rFonts w:ascii="Times New Roman" w:hAnsi="Times New Roman"/>
                <w:sz w:val="18"/>
                <w:szCs w:val="18"/>
              </w:rPr>
              <w:t>Approval of secondary legislation regarding the energy performance of buildings.</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on Energy performance of Buildings.</w:t>
            </w:r>
          </w:p>
        </w:tc>
        <w:tc>
          <w:tcPr>
            <w:tcW w:w="1487" w:type="pct"/>
            <w:tcBorders>
              <w:top w:val="nil"/>
              <w:left w:val="single" w:sz="8" w:space="0" w:color="auto"/>
              <w:bottom w:val="single" w:sz="8" w:space="0" w:color="auto"/>
              <w:right w:val="single" w:sz="8" w:space="0" w:color="auto"/>
            </w:tcBorders>
            <w:vAlign w:val="center"/>
            <w:hideMark/>
          </w:tcPr>
          <w:p w:rsidR="00147B23" w:rsidRPr="00515302"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Thirty percent (30%)</w:t>
            </w:r>
          </w:p>
          <w:p w:rsidR="00515302" w:rsidRPr="00147B23" w:rsidRDefault="00515302" w:rsidP="00577B88">
            <w:pPr>
              <w:spacing w:after="0" w:line="240" w:lineRule="auto"/>
              <w:rPr>
                <w:rFonts w:ascii="Times New Roman" w:hAnsi="Times New Roman" w:cs="Times New Roman"/>
                <w:b/>
                <w:color w:val="000000" w:themeColor="text1"/>
                <w:sz w:val="18"/>
                <w:szCs w:val="18"/>
              </w:rPr>
            </w:pP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1. A draft Regulation on National Methodology for Energy Performance of Buildings has been prepared in accordance with the new EN standards.</w:t>
            </w:r>
          </w:p>
          <w:p w:rsidR="00000A7B" w:rsidRPr="00147B23" w:rsidRDefault="00000A7B" w:rsidP="00702F96">
            <w:pPr>
              <w:spacing w:after="0" w:line="240" w:lineRule="auto"/>
              <w:jc w:val="both"/>
              <w:rPr>
                <w:rFonts w:ascii="Times New Roman" w:eastAsia="Times New Roman" w:hAnsi="Times New Roman" w:cs="Times New Roman"/>
                <w:color w:val="000000" w:themeColor="text1"/>
                <w:sz w:val="18"/>
                <w:szCs w:val="18"/>
              </w:rPr>
            </w:pP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2. Work has been carried out on the optimal cost in buildings at the energy performance level, leading to the lowest cost during the assessment of the economic life cycle.</w:t>
            </w:r>
          </w:p>
          <w:p w:rsidR="00000A7B" w:rsidRPr="00147B23" w:rsidRDefault="00000A7B" w:rsidP="00702F96">
            <w:pPr>
              <w:spacing w:after="0" w:line="240" w:lineRule="auto"/>
              <w:jc w:val="both"/>
              <w:rPr>
                <w:rFonts w:ascii="Times New Roman" w:eastAsia="Times New Roman" w:hAnsi="Times New Roman" w:cs="Times New Roman"/>
                <w:color w:val="000000" w:themeColor="text1"/>
                <w:sz w:val="18"/>
                <w:szCs w:val="18"/>
              </w:rPr>
            </w:pP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3. The initial Draft Regulation on Training, Qualification and Licensing of Energy Assessors and Independent Energy Experts has been prepared.</w:t>
            </w:r>
          </w:p>
          <w:p w:rsidR="00000A7B" w:rsidRPr="00147B23" w:rsidRDefault="00000A7B" w:rsidP="00702F96">
            <w:pPr>
              <w:spacing w:after="0" w:line="240" w:lineRule="auto"/>
              <w:jc w:val="both"/>
              <w:rPr>
                <w:rFonts w:ascii="Times New Roman" w:eastAsia="Times New Roman" w:hAnsi="Times New Roman" w:cs="Times New Roman"/>
                <w:color w:val="000000" w:themeColor="text1"/>
                <w:sz w:val="18"/>
                <w:szCs w:val="18"/>
              </w:rPr>
            </w:pP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4. The initial Draft Code of Practice for Independent Experts has been prepared.</w:t>
            </w:r>
          </w:p>
        </w:tc>
      </w:tr>
      <w:tr w:rsidR="00001E51" w:rsidTr="00577B88">
        <w:trPr>
          <w:trHeight w:val="147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III.1.5</w:t>
            </w:r>
          </w:p>
        </w:tc>
        <w:tc>
          <w:tcPr>
            <w:tcW w:w="358"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Development of the national registry for energy performance of buildings.</w:t>
            </w:r>
          </w:p>
        </w:tc>
        <w:tc>
          <w:tcPr>
            <w:tcW w:w="266"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90,000.00 </w:t>
            </w:r>
          </w:p>
        </w:tc>
        <w:tc>
          <w:tcPr>
            <w:tcW w:w="328"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20,000.00 </w:t>
            </w:r>
          </w:p>
        </w:tc>
        <w:tc>
          <w:tcPr>
            <w:tcW w:w="328"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Kosovo Budget: €20,000</w:t>
            </w:r>
          </w:p>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 €90,000</w:t>
            </w:r>
          </w:p>
        </w:tc>
        <w:tc>
          <w:tcPr>
            <w:tcW w:w="292"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 ME</w:t>
            </w:r>
          </w:p>
        </w:tc>
        <w:tc>
          <w:tcPr>
            <w:tcW w:w="358"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 functional national register exists.</w:t>
            </w:r>
          </w:p>
        </w:tc>
        <w:tc>
          <w:tcPr>
            <w:tcW w:w="364" w:type="pct"/>
            <w:tcBorders>
              <w:top w:val="nil"/>
              <w:left w:val="nil"/>
              <w:bottom w:val="nil"/>
              <w:right w:val="single" w:sz="8" w:space="0" w:color="auto"/>
            </w:tcBorders>
            <w:shd w:val="clear" w:color="000000" w:fill="FFFFFF"/>
            <w:vAlign w:val="center"/>
            <w:hideMark/>
          </w:tcPr>
          <w:p w:rsidR="00000A7B" w:rsidRPr="0069520C"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Law on EE and the Law on Energy Performance of Buildings.</w:t>
            </w:r>
          </w:p>
        </w:tc>
        <w:tc>
          <w:tcPr>
            <w:tcW w:w="1487" w:type="pct"/>
            <w:tcBorders>
              <w:top w:val="nil"/>
              <w:left w:val="single" w:sz="8" w:space="0" w:color="auto"/>
              <w:bottom w:val="single" w:sz="8" w:space="0" w:color="auto"/>
              <w:right w:val="single" w:sz="8" w:space="0" w:color="auto"/>
            </w:tcBorders>
            <w:vAlign w:val="center"/>
            <w:hideMark/>
          </w:tcPr>
          <w:p w:rsidR="00147B23" w:rsidRPr="008E62AA"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Sixty-five percent (65%)</w:t>
            </w:r>
          </w:p>
          <w:p w:rsidR="008E62AA" w:rsidRPr="00147B23" w:rsidRDefault="008E62AA" w:rsidP="00577B88">
            <w:pPr>
              <w:spacing w:after="0" w:line="240" w:lineRule="auto"/>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Within the responsibility of the ME, in the component of Energy Auditors, the system entry and updating based on certification and licensing has been carried out, while for the remaining part the Ministry of Environment, Spatial Planning and Infrastructure (MESPI) must report.                                                                      The project – the platform for centralizing information in the field of Energy Efficiency (EE), “National Register for Energy Efficiency (EE) in Buildings”, as a system installed on the servers of the Agency of Information Society (AIS), has been tested by issuing two energy performance certificates for buildings. It is now in the phase of being updated in line with the new Law on Energy Performance in Buildings (EPB).</w:t>
            </w:r>
          </w:p>
        </w:tc>
      </w:tr>
      <w:tr w:rsidR="00001E51" w:rsidTr="00577B88">
        <w:trPr>
          <w:trHeight w:val="138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III.1.6</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adoption of the Building Renovation Strategy.</w:t>
            </w:r>
          </w:p>
        </w:tc>
        <w:tc>
          <w:tcPr>
            <w:tcW w:w="266"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30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25,000.00 </w:t>
            </w:r>
          </w:p>
        </w:tc>
        <w:tc>
          <w:tcPr>
            <w:tcW w:w="254"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292"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Building Renovation Strategy adopted.</w:t>
            </w:r>
          </w:p>
        </w:tc>
        <w:tc>
          <w:tcPr>
            <w:tcW w:w="364"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Law on EE and the Law on Energy Performance of Buildings.</w:t>
            </w:r>
          </w:p>
        </w:tc>
        <w:tc>
          <w:tcPr>
            <w:tcW w:w="1487" w:type="pct"/>
            <w:tcBorders>
              <w:top w:val="nil"/>
              <w:left w:val="single" w:sz="8" w:space="0" w:color="auto"/>
              <w:bottom w:val="single" w:sz="8" w:space="0" w:color="auto"/>
              <w:right w:val="single" w:sz="8" w:space="0" w:color="auto"/>
            </w:tcBorders>
            <w:vAlign w:val="center"/>
            <w:hideMark/>
          </w:tcPr>
          <w:p w:rsidR="00147B23" w:rsidRPr="00A02649" w:rsidRDefault="001E0569" w:rsidP="00702F96">
            <w:pPr>
              <w:spacing w:after="0" w:line="240" w:lineRule="auto"/>
              <w:jc w:val="both"/>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Ten percent  (10%)</w:t>
            </w:r>
          </w:p>
          <w:p w:rsidR="00A02649" w:rsidRPr="00147B23" w:rsidRDefault="00A02649" w:rsidP="00702F96">
            <w:pPr>
              <w:spacing w:after="0" w:line="240" w:lineRule="auto"/>
              <w:jc w:val="both"/>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Donor LUX DEV has developed procedures for selecting the company that will draft this document, the company has been selected and we are awaiting procedures from the donor to begin the activity.</w:t>
            </w:r>
          </w:p>
        </w:tc>
      </w:tr>
      <w:tr w:rsidR="00001E51" w:rsidTr="00577B88">
        <w:trPr>
          <w:trHeight w:val="975"/>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III.1.7</w:t>
            </w:r>
          </w:p>
        </w:tc>
        <w:tc>
          <w:tcPr>
            <w:tcW w:w="35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Public awareness campaign.</w:t>
            </w:r>
          </w:p>
        </w:tc>
        <w:tc>
          <w:tcPr>
            <w:tcW w:w="266" w:type="pct"/>
            <w:tcBorders>
              <w:top w:val="nil"/>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307"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 </w:t>
            </w:r>
          </w:p>
        </w:tc>
        <w:tc>
          <w:tcPr>
            <w:tcW w:w="32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 </w:t>
            </w:r>
          </w:p>
        </w:tc>
        <w:tc>
          <w:tcPr>
            <w:tcW w:w="32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5,000.00 </w:t>
            </w:r>
          </w:p>
        </w:tc>
        <w:tc>
          <w:tcPr>
            <w:tcW w:w="254"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 donors</w:t>
            </w:r>
          </w:p>
        </w:tc>
        <w:tc>
          <w:tcPr>
            <w:tcW w:w="292" w:type="pct"/>
            <w:tcBorders>
              <w:top w:val="nil"/>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KEEF, MESPI</w:t>
            </w:r>
          </w:p>
        </w:tc>
        <w:tc>
          <w:tcPr>
            <w:tcW w:w="358" w:type="pct"/>
            <w:tcBorders>
              <w:top w:val="nil"/>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Public awareness campaign organized.</w:t>
            </w:r>
          </w:p>
        </w:tc>
        <w:tc>
          <w:tcPr>
            <w:tcW w:w="36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single" w:sz="8" w:space="0" w:color="auto"/>
            </w:tcBorders>
            <w:vAlign w:val="center"/>
            <w:hideMark/>
          </w:tcPr>
          <w:p w:rsidR="00147B23" w:rsidRDefault="001E0569" w:rsidP="00577B88">
            <w:pPr>
              <w:spacing w:after="0" w:line="240" w:lineRule="auto"/>
              <w:rPr>
                <w:rFonts w:ascii="Times New Roman" w:hAnsi="Times New Roman" w:cs="Times New Roman"/>
                <w:b/>
                <w:bCs/>
                <w:sz w:val="18"/>
                <w:szCs w:val="18"/>
              </w:rPr>
            </w:pPr>
            <w:r>
              <w:rPr>
                <w:rFonts w:ascii="Times New Roman" w:hAnsi="Times New Roman"/>
                <w:color w:val="FF0000"/>
                <w:sz w:val="18"/>
                <w:szCs w:val="18"/>
              </w:rPr>
              <w:t xml:space="preserve">             </w:t>
            </w:r>
            <w:r>
              <w:rPr>
                <w:rFonts w:ascii="Times New Roman" w:hAnsi="Times New Roman"/>
                <w:b/>
                <w:bCs/>
                <w:sz w:val="18"/>
                <w:szCs w:val="18"/>
              </w:rPr>
              <w:t>Fifty percent (50%)</w:t>
            </w:r>
          </w:p>
          <w:p w:rsidR="00257C8D" w:rsidRPr="00952856" w:rsidRDefault="00257C8D" w:rsidP="00577B88">
            <w:pPr>
              <w:spacing w:after="0" w:line="240" w:lineRule="auto"/>
              <w:rPr>
                <w:rFonts w:ascii="Times New Roman" w:hAnsi="Times New Roman" w:cs="Times New Roman"/>
                <w:b/>
                <w:bCs/>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A request for publication and announcement of procurement procedures has been initiated.</w:t>
            </w:r>
          </w:p>
        </w:tc>
      </w:tr>
      <w:tr w:rsidR="00001E51" w:rsidTr="00577B88">
        <w:trPr>
          <w:trHeight w:val="1995"/>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III.1.8</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public buildings (central level);</w:t>
            </w:r>
          </w:p>
        </w:tc>
        <w:tc>
          <w:tcPr>
            <w:tcW w:w="266"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2,400,000.00 </w:t>
            </w:r>
          </w:p>
        </w:tc>
        <w:tc>
          <w:tcPr>
            <w:tcW w:w="32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 (WB).</w:t>
            </w:r>
          </w:p>
        </w:tc>
        <w:tc>
          <w:tcPr>
            <w:tcW w:w="292"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Twelve (12) public buildings at the central level (05. ktoe).</w:t>
            </w:r>
          </w:p>
        </w:tc>
        <w:tc>
          <w:tcPr>
            <w:tcW w:w="36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nil"/>
            </w:tcBorders>
            <w:vAlign w:val="center"/>
            <w:hideMark/>
          </w:tcPr>
          <w:p w:rsidR="00147B23" w:rsidRPr="006C7983" w:rsidRDefault="001E0569" w:rsidP="00702F96">
            <w:pPr>
              <w:spacing w:after="0" w:line="240" w:lineRule="auto"/>
              <w:jc w:val="both"/>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One hundred percent (100%)</w:t>
            </w:r>
          </w:p>
          <w:p w:rsidR="006C7983" w:rsidRPr="00147B23" w:rsidRDefault="006C7983" w:rsidP="00702F96">
            <w:pPr>
              <w:spacing w:after="0" w:line="240" w:lineRule="auto"/>
              <w:jc w:val="both"/>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LOT 1- Renovation of six (6) hospital buildings located in the Hospital Center at UCCK - works on four (4) hospital facilities have been completed in May 2024.    LOT-2 - Contract for the renovation of six (6) public buildings, three (3) hospital facilities and three (3) administrative buildings in Prishtina, Prizren, Gjakova and Gjilan - works have been completed at the end of 2024, and the one-year performance guarantee period has begun.</w:t>
            </w:r>
          </w:p>
        </w:tc>
      </w:tr>
      <w:tr w:rsidR="00001E51" w:rsidTr="00577B88">
        <w:trPr>
          <w:trHeight w:val="4575"/>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III.1.9</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public buildings (municipal level);</w:t>
            </w:r>
          </w:p>
        </w:tc>
        <w:tc>
          <w:tcPr>
            <w:tcW w:w="266"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307"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6,435,061.23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9,924,938.77 </w:t>
            </w:r>
          </w:p>
        </w:tc>
        <w:tc>
          <w:tcPr>
            <w:tcW w:w="32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500,000.00 </w:t>
            </w:r>
          </w:p>
        </w:tc>
        <w:tc>
          <w:tcPr>
            <w:tcW w:w="254"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 (EU, WB-KEEREP).</w:t>
            </w:r>
          </w:p>
        </w:tc>
        <w:tc>
          <w:tcPr>
            <w:tcW w:w="292"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KEEF</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savings of about 3 ktoe/year.</w:t>
            </w:r>
          </w:p>
        </w:tc>
        <w:tc>
          <w:tcPr>
            <w:tcW w:w="36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single" w:sz="8" w:space="0" w:color="auto"/>
            </w:tcBorders>
            <w:vAlign w:val="center"/>
            <w:hideMark/>
          </w:tcPr>
          <w:p w:rsidR="00147B23" w:rsidRPr="003B0E6B"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Eighty percent (86%)</w:t>
            </w:r>
          </w:p>
          <w:p w:rsidR="003B0E6B" w:rsidRPr="00147B23" w:rsidRDefault="003B0E6B" w:rsidP="00577B88">
            <w:pPr>
              <w:spacing w:after="0" w:line="240" w:lineRule="auto"/>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color w:val="00B050"/>
                <w:sz w:val="18"/>
                <w:szCs w:val="18"/>
              </w:rPr>
            </w:pPr>
            <w:r>
              <w:rPr>
                <w:rFonts w:ascii="Times New Roman" w:hAnsi="Times New Roman"/>
                <w:sz w:val="18"/>
                <w:szCs w:val="18"/>
              </w:rPr>
              <w:t>KEEF launched two public calls in 2020 and 2021, inviting all municipalities to apply with their public buildings and street lighting systems, with the aim of improving Energy Efficiency (EE) under the Municipal Energy Efficiency Project (MEEP), supported by the World Bank (WB), the European Union (EU), and the Government of the Republic of Kosovo (GoK).</w:t>
            </w:r>
            <w:r>
              <w:rPr>
                <w:rFonts w:ascii="Times New Roman" w:hAnsi="Times New Roman"/>
                <w:color w:val="000000" w:themeColor="text1"/>
                <w:sz w:val="18"/>
                <w:szCs w:val="18"/>
              </w:rPr>
              <w:br w:type="page"/>
              <w:t xml:space="preserve">From these calls, one hundred and fifty (150) Project Initiation Agreements were signed, and from them, for eighty-six (86) facilities, KEEF signed Energy Service Agreements with municipalities. Within these projects, contracts were concluded for consultancy services (energy audits, design and supervision) as well as for the implementation of works. During the period January-June 2024, energy audits and design were completed for thirty-four (34) new facilities from the previous public calls. For seventeen (17) of them, the tendering procedures for the works and supervision contracts were finalized. By the end of 2024, energy service agreements were signed for seventeen (17) buildings with six (6) municipalities across the country. During the period January-June 2025, works contracts were signed with four (4) Economic Operators (EOs), and the implementation process started for seventeen (17) public buildings. One of the projects was not successfully completed and is currently pending a renovation permit from the Regional Center for Cultural Heritage Conservation (RCCHC), to enable the </w:t>
            </w:r>
            <w:r>
              <w:rPr>
                <w:rFonts w:ascii="Times New Roman" w:hAnsi="Times New Roman"/>
                <w:color w:val="000000" w:themeColor="text1"/>
                <w:sz w:val="18"/>
                <w:szCs w:val="18"/>
              </w:rPr>
              <w:lastRenderedPageBreak/>
              <w:t>continuation of works. The total number of completed projects so far is eighty-five (85), while the value of energy savings reaches 1.7 ktoe per year.</w:t>
            </w:r>
          </w:p>
        </w:tc>
      </w:tr>
      <w:tr w:rsidR="00001E51" w:rsidTr="00577B88">
        <w:trPr>
          <w:trHeight w:val="735"/>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III.1.10</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public buildings (municipal level);</w:t>
            </w:r>
          </w:p>
        </w:tc>
        <w:tc>
          <w:tcPr>
            <w:tcW w:w="266"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2,500,000.00 </w:t>
            </w:r>
          </w:p>
        </w:tc>
        <w:tc>
          <w:tcPr>
            <w:tcW w:w="254"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KfW, WBIF</w:t>
            </w:r>
          </w:p>
        </w:tc>
        <w:tc>
          <w:tcPr>
            <w:tcW w:w="292"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Eight (8) school buildings (1 ktoe).</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nil"/>
            </w:tcBorders>
            <w:vAlign w:val="center"/>
            <w:hideMark/>
          </w:tcPr>
          <w:p w:rsidR="00147B23" w:rsidRPr="003E025A"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Fifty percent (50%)</w:t>
            </w:r>
          </w:p>
          <w:p w:rsidR="003E025A" w:rsidRPr="00147B23" w:rsidRDefault="003E025A" w:rsidP="00577B88">
            <w:pPr>
              <w:spacing w:after="0" w:line="240" w:lineRule="auto"/>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The “Energy Efficiency (EE) Measures in Public Buildings at the Municipal Level in Kosovo” project is ongoing, currently in the process of obtaining a No Objection from KfW for submitting the request for financial offers for interventions in schools in the municipalities of Prishtina, Gjilan, and Ferizaj, since these municipalities have already selected and pre-qualified the Economic Operators (EOs). This process of negotiating the financial offer will therefore determine the focus on 1 or 2 schools per municipality, depending on the financial offer and the planned budgetary limitations. Accordingly, the number of school facilities will be reviewed together with the beneficiary municipalities.</w:t>
            </w: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Meanwhile, for the Municipality of Gjakova, the pre-qualification process was repeated after the earlier failure, and applications from Economic Operators (EOs) have been received, evaluated and once again submitted to KfW for No Objection. The process continues with the approval of the pre-qualification evaluation in Gjakova and the preparation of the tender documentation – financial offer, to be sent to the Economic Operators (EOs), similar to the cases of the other municipalities elaborated above. </w:t>
            </w: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lastRenderedPageBreak/>
              <w:t>Interventions, i.e., works in schools, are planned to start in the coming months, with priority given to interventions in schools in the Municipality of Prishtina due to the large number of students, meaning that the works will need to be carried out without disrupting student movement.</w:t>
            </w:r>
          </w:p>
        </w:tc>
      </w:tr>
      <w:tr w:rsidR="00001E51" w:rsidTr="00577B88">
        <w:trPr>
          <w:trHeight w:val="1455"/>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III.1.11</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Green Cities Framework 2 Window 2 - Energy Efficiency in Public Buildings in Prishtina</w:t>
            </w:r>
          </w:p>
        </w:tc>
        <w:tc>
          <w:tcPr>
            <w:tcW w:w="266"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0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1,000,000.00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2,000,000.00 </w:t>
            </w:r>
          </w:p>
        </w:tc>
        <w:tc>
          <w:tcPr>
            <w:tcW w:w="254"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EBRD loan </w:t>
            </w:r>
          </w:p>
        </w:tc>
        <w:tc>
          <w:tcPr>
            <w:tcW w:w="292"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Municipality of Prishtina.</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Implementation of Energy Efficiency (EE) measures in up to forty-seven (47) municipally-owned buildings. Energy savings 1 ktoe</w:t>
            </w:r>
          </w:p>
        </w:tc>
        <w:tc>
          <w:tcPr>
            <w:tcW w:w="36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nil"/>
            </w:tcBorders>
            <w:shd w:val="clear" w:color="000000" w:fill="FFFFFF"/>
            <w:noWrap/>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color w:val="000000"/>
                <w:sz w:val="18"/>
                <w:szCs w:val="18"/>
              </w:rPr>
              <w:t> </w:t>
            </w:r>
          </w:p>
        </w:tc>
      </w:tr>
      <w:tr w:rsidR="00001E51" w:rsidTr="00BA03D5">
        <w:trPr>
          <w:trHeight w:val="790"/>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III.1.12</w:t>
            </w:r>
          </w:p>
        </w:tc>
        <w:tc>
          <w:tcPr>
            <w:tcW w:w="35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public buildings in Prizren.</w:t>
            </w:r>
          </w:p>
        </w:tc>
        <w:tc>
          <w:tcPr>
            <w:tcW w:w="266"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0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1,000,000.00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2,000,000.00 </w:t>
            </w:r>
          </w:p>
        </w:tc>
        <w:tc>
          <w:tcPr>
            <w:tcW w:w="254"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EBRD loan </w:t>
            </w:r>
          </w:p>
        </w:tc>
        <w:tc>
          <w:tcPr>
            <w:tcW w:w="292"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Municipality of Prizren</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Implementation of Energy Efficiency (EE) measures in up to forty-seven (47) municipally-owned buildings. Energy </w:t>
            </w:r>
            <w:r>
              <w:rPr>
                <w:rFonts w:ascii="Times New Roman" w:hAnsi="Times New Roman"/>
                <w:sz w:val="18"/>
                <w:szCs w:val="18"/>
              </w:rPr>
              <w:lastRenderedPageBreak/>
              <w:t>savings 1 ktoe</w:t>
            </w:r>
          </w:p>
        </w:tc>
        <w:tc>
          <w:tcPr>
            <w:tcW w:w="364" w:type="pct"/>
            <w:tcBorders>
              <w:top w:val="nil"/>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Energy Strategy for the period 2022 - 2031</w:t>
            </w:r>
          </w:p>
        </w:tc>
        <w:tc>
          <w:tcPr>
            <w:tcW w:w="1487" w:type="pct"/>
            <w:tcBorders>
              <w:top w:val="nil"/>
              <w:left w:val="single" w:sz="8" w:space="0" w:color="auto"/>
              <w:bottom w:val="single" w:sz="8" w:space="0" w:color="auto"/>
              <w:right w:val="nil"/>
            </w:tcBorders>
            <w:shd w:val="clear" w:color="000000" w:fill="FFFFFF"/>
            <w:noWrap/>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color w:val="000000"/>
                <w:sz w:val="18"/>
                <w:szCs w:val="18"/>
              </w:rPr>
              <w:t> </w:t>
            </w:r>
          </w:p>
        </w:tc>
      </w:tr>
      <w:tr w:rsidR="00001E51" w:rsidTr="00577B88">
        <w:trPr>
          <w:trHeight w:val="1215"/>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III.1.13</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Implementation of Energy Efficiency (EE) measures in the residential sector; </w:t>
            </w:r>
            <w:r>
              <w:rPr>
                <w:rFonts w:ascii="Times New Roman" w:hAnsi="Times New Roman"/>
                <w:color w:val="202122"/>
                <w:sz w:val="18"/>
                <w:szCs w:val="18"/>
              </w:rPr>
              <w:t>twenty-six</w:t>
            </w:r>
            <w:r>
              <w:rPr>
                <w:rFonts w:ascii="Times New Roman" w:hAnsi="Times New Roman"/>
                <w:sz w:val="18"/>
                <w:szCs w:val="18"/>
              </w:rPr>
              <w:t xml:space="preserve"> (26) Multi-residential Buildings (MRB).</w:t>
            </w:r>
          </w:p>
        </w:tc>
        <w:tc>
          <w:tcPr>
            <w:tcW w:w="266"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0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4,850,000.00 </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MFK-Millennium Foundation Kosovo </w:t>
            </w:r>
          </w:p>
        </w:tc>
        <w:tc>
          <w:tcPr>
            <w:tcW w:w="292"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MFK, ME, Municipality</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20"/>
                <w:szCs w:val="20"/>
              </w:rPr>
              <w:t>twenty-six</w:t>
            </w:r>
            <w:r>
              <w:rPr>
                <w:rFonts w:ascii="Times New Roman" w:hAnsi="Times New Roman"/>
                <w:sz w:val="18"/>
                <w:szCs w:val="18"/>
              </w:rPr>
              <w:t xml:space="preserve"> (26) renovated apartment buildings, achieving savings of up to </w:t>
            </w:r>
            <w:r>
              <w:rPr>
                <w:rFonts w:ascii="Times New Roman" w:hAnsi="Times New Roman"/>
                <w:sz w:val="20"/>
                <w:szCs w:val="20"/>
              </w:rPr>
              <w:t>thirty percent (</w:t>
            </w:r>
            <w:r>
              <w:rPr>
                <w:rFonts w:ascii="Times New Roman" w:hAnsi="Times New Roman"/>
                <w:sz w:val="18"/>
                <w:szCs w:val="18"/>
              </w:rPr>
              <w:t>30%).</w:t>
            </w:r>
          </w:p>
        </w:tc>
        <w:tc>
          <w:tcPr>
            <w:tcW w:w="364" w:type="pct"/>
            <w:tcBorders>
              <w:top w:val="single" w:sz="8" w:space="0" w:color="auto"/>
              <w:left w:val="nil"/>
              <w:bottom w:val="single" w:sz="8" w:space="0" w:color="auto"/>
              <w:right w:val="single" w:sz="8" w:space="0" w:color="auto"/>
            </w:tcBorders>
            <w:shd w:val="clear" w:color="000000" w:fill="FFFFFF"/>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Law on Energy Efficiency (EE), Law on Energy Performance of Buildings, 4</w:t>
            </w:r>
            <w:r>
              <w:rPr>
                <w:rFonts w:ascii="Times New Roman" w:hAnsi="Times New Roman"/>
                <w:sz w:val="18"/>
                <w:szCs w:val="18"/>
                <w:vertAlign w:val="superscript"/>
              </w:rPr>
              <w:t>th</w:t>
            </w:r>
            <w:r>
              <w:rPr>
                <w:rFonts w:ascii="Times New Roman" w:hAnsi="Times New Roman"/>
                <w:sz w:val="18"/>
                <w:szCs w:val="18"/>
              </w:rPr>
              <w:t xml:space="preserve"> National Action Plan for Energy Efficiency (EE).</w:t>
            </w:r>
          </w:p>
        </w:tc>
        <w:tc>
          <w:tcPr>
            <w:tcW w:w="1487" w:type="pct"/>
            <w:tcBorders>
              <w:top w:val="nil"/>
              <w:left w:val="single" w:sz="8" w:space="0" w:color="auto"/>
              <w:bottom w:val="single" w:sz="8" w:space="0" w:color="auto"/>
              <w:right w:val="single" w:sz="8" w:space="0" w:color="auto"/>
            </w:tcBorders>
            <w:shd w:val="clear" w:color="000000" w:fill="FFFFFF"/>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r>
      <w:tr w:rsidR="00001E51" w:rsidTr="00577B88">
        <w:trPr>
          <w:trHeight w:val="735"/>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III.1.14</w:t>
            </w:r>
          </w:p>
        </w:tc>
        <w:tc>
          <w:tcPr>
            <w:tcW w:w="35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Feasibility study for the implementation of Energy Efficiency (EE) measures in the residential and private sector.</w:t>
            </w:r>
          </w:p>
        </w:tc>
        <w:tc>
          <w:tcPr>
            <w:tcW w:w="266"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307"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200,000.00 </w:t>
            </w:r>
          </w:p>
        </w:tc>
        <w:tc>
          <w:tcPr>
            <w:tcW w:w="254"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 (WBIF)</w:t>
            </w:r>
          </w:p>
        </w:tc>
        <w:tc>
          <w:tcPr>
            <w:tcW w:w="292"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KEEF</w:t>
            </w:r>
          </w:p>
        </w:tc>
        <w:tc>
          <w:tcPr>
            <w:tcW w:w="35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Feasibility study completed</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nil"/>
            </w:tcBorders>
            <w:shd w:val="clear" w:color="000000" w:fill="FFFFFF"/>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color w:val="000000"/>
                <w:sz w:val="18"/>
                <w:szCs w:val="18"/>
              </w:rPr>
              <w:t> </w:t>
            </w:r>
          </w:p>
        </w:tc>
      </w:tr>
      <w:tr w:rsidR="00001E51" w:rsidTr="00577B88">
        <w:trPr>
          <w:trHeight w:val="5010"/>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III.1.15</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the residential sector (individual houses);</w:t>
            </w:r>
          </w:p>
        </w:tc>
        <w:tc>
          <w:tcPr>
            <w:tcW w:w="266"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307"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5,000,000.00 </w:t>
            </w:r>
          </w:p>
        </w:tc>
        <w:tc>
          <w:tcPr>
            <w:tcW w:w="32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5,000,000.00 </w:t>
            </w:r>
          </w:p>
        </w:tc>
        <w:tc>
          <w:tcPr>
            <w:tcW w:w="254"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single" w:sz="8" w:space="0" w:color="auto"/>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European Commission / IPA Funds</w:t>
            </w:r>
          </w:p>
        </w:tc>
        <w:tc>
          <w:tcPr>
            <w:tcW w:w="292"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KEEF</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savings - 2 ktoe/year</w:t>
            </w:r>
          </w:p>
        </w:tc>
        <w:tc>
          <w:tcPr>
            <w:tcW w:w="36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nil"/>
            </w:tcBorders>
            <w:vAlign w:val="center"/>
            <w:hideMark/>
          </w:tcPr>
          <w:p w:rsidR="00147B23" w:rsidRPr="00A035F3" w:rsidRDefault="001E0569" w:rsidP="00577B88">
            <w:pPr>
              <w:spacing w:after="0" w:line="240" w:lineRule="auto"/>
              <w:rPr>
                <w:rFonts w:ascii="Times New Roman" w:hAnsi="Times New Roman" w:cs="Times New Roman"/>
                <w:b/>
                <w:bCs/>
                <w:sz w:val="18"/>
                <w:szCs w:val="18"/>
              </w:rPr>
            </w:pPr>
            <w:r>
              <w:rPr>
                <w:rFonts w:ascii="Times New Roman" w:hAnsi="Times New Roman"/>
                <w:sz w:val="18"/>
                <w:szCs w:val="18"/>
              </w:rPr>
              <w:t xml:space="preserve">                            </w:t>
            </w:r>
            <w:r>
              <w:rPr>
                <w:rFonts w:ascii="Times New Roman" w:hAnsi="Times New Roman"/>
                <w:b/>
                <w:bCs/>
                <w:sz w:val="18"/>
                <w:szCs w:val="18"/>
              </w:rPr>
              <w:t>One hundred percent (100%)</w:t>
            </w:r>
          </w:p>
          <w:p w:rsidR="00EF4F04" w:rsidRPr="00A035F3" w:rsidRDefault="00EF4F04" w:rsidP="00577B88">
            <w:pPr>
              <w:spacing w:after="0" w:line="240" w:lineRule="auto"/>
              <w:rPr>
                <w:rFonts w:ascii="Times New Roman" w:hAnsi="Times New Roman" w:cs="Times New Roman"/>
                <w:b/>
                <w:bCs/>
                <w:sz w:val="18"/>
                <w:szCs w:val="18"/>
              </w:rPr>
            </w:pPr>
          </w:p>
          <w:p w:rsidR="00000A7B" w:rsidRPr="00A035F3"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In 2023, KEEF launched a “Public Call for Applications” for the implementation of the Emergency Project on Energy Efficiency (EE) Measures for individual residential houses, with the support of the European Union (EU) under the IPA program, the Energy Support Package of the Government of Kosovo with the support of the EU. </w:t>
            </w:r>
          </w:p>
          <w:p w:rsidR="00000A7B" w:rsidRPr="00A035F3"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From this call, 3,321 applications were reviewed, 2,148 pre-approvals were issued, while the amount reserved under the pre-approval letters was €8,230,050. The number of beneficiaries reached 2,100 families. A total of 1,811 applications received disbursements, amounting to €6.7 million, while 1,010 applications remained on the waiting list (due to missing auditor reports). KEEF issued a "Public Call" for this waiting list, and 267 applicants responded. These applications were verified by nine (9) companies contracted by KEEF, and 1,789 agreements were signed. The total budget spent on this process reached €6,347,438.91.</w:t>
            </w:r>
          </w:p>
          <w:p w:rsidR="00000A7B" w:rsidRPr="00A035F3"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KEEF initiated the process of addressing the waiting list from the first call, and 239 households responded; 25 of them had an energy audit report, while for 212 houses, KEEF initiated a tendering procedure for preparing energy audits and verifying the implementation of measures. From this list, 85 agreements were signed, amounting to €301,002.06 by June 2025.</w:t>
            </w:r>
          </w:p>
          <w:p w:rsidR="00000A7B" w:rsidRPr="00A035F3"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On 36 August 2024, KEEF launched the second public call for individual houses, with a designated budget of €5 million. During the second call, 1,296 valid applications were received, of which 1,237 pre-approvals were granted, 43 applications were rejected, and 16 applicants withdrew from the subsidy. From this call, 1,136 agreements were signed, and the total budget spent on this process reached €4,151,445.81 by June 2025.</w:t>
            </w:r>
          </w:p>
          <w:p w:rsidR="00000A7B" w:rsidRPr="00A035F3"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KEEF initiated the process of addressing the waiting list from the second call, approving 500 houses. From this list, 204 agreements were signed, amounting to €719,866.65 by June 2025.</w:t>
            </w:r>
          </w:p>
          <w:p w:rsidR="00000A7B" w:rsidRPr="00A035F3"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From the "Public Calls for Applications" for the implementation of the Emergency Project on Energy Efficiency (EE) Measures for individual residential houses, the energy savings value amounts to 9 ktoe/year.</w:t>
            </w:r>
          </w:p>
        </w:tc>
      </w:tr>
      <w:tr w:rsidR="00001E51" w:rsidTr="00577B88">
        <w:trPr>
          <w:trHeight w:val="4575"/>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III.1.16</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Implementation of Energy Efficiency (EE) measures in the residential sector – social Multi-Apartment Buildings (MABs) owned by municipalities. </w:t>
            </w:r>
          </w:p>
        </w:tc>
        <w:tc>
          <w:tcPr>
            <w:tcW w:w="266"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307"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5,000,000.00 </w:t>
            </w:r>
          </w:p>
        </w:tc>
        <w:tc>
          <w:tcPr>
            <w:tcW w:w="32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5,000,000.00 </w:t>
            </w:r>
          </w:p>
        </w:tc>
        <w:tc>
          <w:tcPr>
            <w:tcW w:w="254"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European Commission / IPA Funds</w:t>
            </w:r>
          </w:p>
        </w:tc>
        <w:tc>
          <w:tcPr>
            <w:tcW w:w="292"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KEEF</w:t>
            </w:r>
          </w:p>
        </w:tc>
        <w:tc>
          <w:tcPr>
            <w:tcW w:w="358" w:type="pct"/>
            <w:tcBorders>
              <w:top w:val="single" w:sz="8" w:space="0" w:color="auto"/>
              <w:left w:val="nil"/>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savings - 2 ktoe/year</w:t>
            </w:r>
          </w:p>
        </w:tc>
        <w:tc>
          <w:tcPr>
            <w:tcW w:w="364"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nil"/>
            </w:tcBorders>
            <w:vAlign w:val="center"/>
            <w:hideMark/>
          </w:tcPr>
          <w:p w:rsidR="00147B23"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Fifty percent (50%)</w:t>
            </w:r>
          </w:p>
          <w:p w:rsidR="004E328D" w:rsidRPr="004E328D" w:rsidRDefault="004E328D" w:rsidP="00577B88">
            <w:pPr>
              <w:spacing w:after="0" w:line="240" w:lineRule="auto"/>
              <w:rPr>
                <w:rFonts w:ascii="Times New Roman" w:hAnsi="Times New Roman" w:cs="Times New Roman"/>
                <w:b/>
                <w:bCs/>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In 2023, KEEF published the “Public Call,” the “Public Call for Applications” for the Emergency Project on Energy Efficiency (EE) Measures in social Multi-Apartment Buildings (MABs) owned by municipalities, with the support of the European Union (EU) under the IPA program, the Energy Support Package of the Government of Kosovo with the support of the EU. </w:t>
            </w: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 xml:space="preserve">From this call, Project Initiation Agreements were signed for 28 social Multi-Apartment Buildings (MABs) in thirteen (13) municipalities. </w:t>
            </w: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Most recently, KEEF signed "Co-Funding Agreements" with twelve (12) municipalities for twenty-five (25) social Multi-Apartment Buildings (MABs), and through eight (8) construction companies, the implementation of Energy Efficiency (EE) Measures in these buildings has begun.</w:t>
            </w: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 </w:t>
            </w: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The total budget spent on this process has reached the value of €3,401,205.62.</w:t>
            </w:r>
          </w:p>
        </w:tc>
      </w:tr>
      <w:tr w:rsidR="00001E51" w:rsidTr="00577B88">
        <w:trPr>
          <w:trHeight w:val="117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III.1.17</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the residential sector and MSMEs</w:t>
            </w:r>
          </w:p>
        </w:tc>
        <w:tc>
          <w:tcPr>
            <w:tcW w:w="266"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0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 (WBIF)</w:t>
            </w:r>
          </w:p>
        </w:tc>
        <w:tc>
          <w:tcPr>
            <w:tcW w:w="292"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KEEF</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savings 0.14 ktoe</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nil"/>
            </w:tcBorders>
            <w:shd w:val="clear" w:color="000000" w:fill="FFFFFF"/>
            <w:noWrap/>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color w:val="000000"/>
                <w:sz w:val="18"/>
                <w:szCs w:val="18"/>
              </w:rPr>
              <w:t> </w:t>
            </w:r>
          </w:p>
        </w:tc>
      </w:tr>
      <w:tr w:rsidR="00001E51" w:rsidTr="00577B88">
        <w:trPr>
          <w:trHeight w:val="165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III.1.18</w:t>
            </w:r>
          </w:p>
        </w:tc>
        <w:tc>
          <w:tcPr>
            <w:tcW w:w="35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the residential sector</w:t>
            </w:r>
          </w:p>
        </w:tc>
        <w:tc>
          <w:tcPr>
            <w:tcW w:w="266"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2022/2023</w:t>
            </w:r>
          </w:p>
        </w:tc>
        <w:tc>
          <w:tcPr>
            <w:tcW w:w="307"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5,000,000.00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10,000,000.00 </w:t>
            </w:r>
          </w:p>
        </w:tc>
        <w:tc>
          <w:tcPr>
            <w:tcW w:w="32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Kosovo Budget (KB), </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292"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Subsidy schemes for efficient heating equipment, efficient household appliances &amp; solar systems.</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single" w:sz="8" w:space="0" w:color="auto"/>
            </w:tcBorders>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r>
      <w:tr w:rsidR="00001E51" w:rsidTr="00577B88">
        <w:trPr>
          <w:trHeight w:val="2025"/>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III.1.19</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Implementation of Energy Efficiency (EE) measures in the residential sector and Micro, Small and Medium-sized Enterprises (MSMEs).</w:t>
            </w:r>
          </w:p>
        </w:tc>
        <w:tc>
          <w:tcPr>
            <w:tcW w:w="266"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5,000,000.00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European Commission / IPA Funds</w:t>
            </w:r>
          </w:p>
        </w:tc>
        <w:tc>
          <w:tcPr>
            <w:tcW w:w="292"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Subsidy schemes for efficient heating equipment, efficient work equipment &amp; solar systems.</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487" w:type="pct"/>
            <w:tcBorders>
              <w:top w:val="nil"/>
              <w:left w:val="single" w:sz="8" w:space="0" w:color="auto"/>
              <w:bottom w:val="single" w:sz="8" w:space="0" w:color="auto"/>
              <w:right w:val="single" w:sz="8" w:space="0" w:color="auto"/>
            </w:tcBorders>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r>
      <w:tr w:rsidR="00001E51" w:rsidTr="00577B88">
        <w:trPr>
          <w:trHeight w:val="88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III.1.20</w:t>
            </w:r>
          </w:p>
        </w:tc>
        <w:tc>
          <w:tcPr>
            <w:tcW w:w="35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Installation of solar PV systems </w:t>
            </w:r>
            <w:r>
              <w:rPr>
                <w:rFonts w:ascii="Times New Roman" w:hAnsi="Times New Roman"/>
                <w:sz w:val="18"/>
                <w:szCs w:val="18"/>
              </w:rPr>
              <w:lastRenderedPageBreak/>
              <w:t xml:space="preserve">in Regional Water Companies (RWCs). </w:t>
            </w:r>
          </w:p>
        </w:tc>
        <w:tc>
          <w:tcPr>
            <w:tcW w:w="266"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2024</w:t>
            </w:r>
          </w:p>
        </w:tc>
        <w:tc>
          <w:tcPr>
            <w:tcW w:w="30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right"/>
              <w:rPr>
                <w:rFonts w:ascii="Times New Roman" w:eastAsia="Times New Roman" w:hAnsi="Times New Roman" w:cs="Times New Roman"/>
                <w:sz w:val="18"/>
                <w:szCs w:val="18"/>
              </w:rPr>
            </w:pPr>
            <w:r>
              <w:rPr>
                <w:rFonts w:ascii="Times New Roman" w:hAnsi="Times New Roman"/>
                <w:sz w:val="18"/>
                <w:szCs w:val="18"/>
              </w:rPr>
              <w:t xml:space="preserve">                     100,000.00 </w:t>
            </w:r>
          </w:p>
        </w:tc>
        <w:tc>
          <w:tcPr>
            <w:tcW w:w="328"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14,900,000.00 </w:t>
            </w:r>
          </w:p>
        </w:tc>
        <w:tc>
          <w:tcPr>
            <w:tcW w:w="254"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KfW </w:t>
            </w:r>
          </w:p>
        </w:tc>
        <w:tc>
          <w:tcPr>
            <w:tcW w:w="292" w:type="pct"/>
            <w:tcBorders>
              <w:top w:val="single" w:sz="8" w:space="0" w:color="auto"/>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ME </w:t>
            </w:r>
          </w:p>
        </w:tc>
        <w:tc>
          <w:tcPr>
            <w:tcW w:w="358" w:type="pct"/>
            <w:tcBorders>
              <w:top w:val="single" w:sz="8" w:space="0" w:color="auto"/>
              <w:left w:val="nil"/>
              <w:bottom w:val="nil"/>
              <w:right w:val="single" w:sz="8" w:space="0" w:color="auto"/>
            </w:tcBorders>
            <w:shd w:val="clear" w:color="000000" w:fill="FFFFFF"/>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Diversification of energy </w:t>
            </w:r>
            <w:r>
              <w:rPr>
                <w:rFonts w:ascii="Times New Roman" w:hAnsi="Times New Roman"/>
                <w:sz w:val="18"/>
                <w:szCs w:val="18"/>
              </w:rPr>
              <w:lastRenderedPageBreak/>
              <w:t xml:space="preserve">sources in RWCs, around </w:t>
            </w:r>
            <w:r>
              <w:rPr>
                <w:rFonts w:ascii="Times New Roman" w:hAnsi="Times New Roman"/>
                <w:color w:val="202122"/>
                <w:sz w:val="20"/>
                <w:szCs w:val="20"/>
              </w:rPr>
              <w:t>twenty-six</w:t>
            </w:r>
            <w:r>
              <w:rPr>
                <w:rFonts w:ascii="Times New Roman" w:hAnsi="Times New Roman"/>
                <w:sz w:val="18"/>
                <w:szCs w:val="18"/>
              </w:rPr>
              <w:t xml:space="preserve"> percent (26%) of energy consumption will be covered by RES.</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w:t>
            </w:r>
          </w:p>
        </w:tc>
        <w:tc>
          <w:tcPr>
            <w:tcW w:w="364"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 xml:space="preserve">Energy Strategy for the period </w:t>
            </w:r>
            <w:r>
              <w:rPr>
                <w:rFonts w:ascii="Times New Roman" w:hAnsi="Times New Roman"/>
                <w:sz w:val="18"/>
                <w:szCs w:val="18"/>
              </w:rPr>
              <w:lastRenderedPageBreak/>
              <w:t>2022 - 2031</w:t>
            </w:r>
          </w:p>
        </w:tc>
        <w:tc>
          <w:tcPr>
            <w:tcW w:w="1487" w:type="pct"/>
            <w:tcBorders>
              <w:top w:val="nil"/>
              <w:left w:val="single" w:sz="8" w:space="0" w:color="auto"/>
              <w:bottom w:val="single" w:sz="8" w:space="0" w:color="auto"/>
              <w:right w:val="nil"/>
            </w:tcBorders>
            <w:shd w:val="clear" w:color="000000" w:fill="FFFFFF"/>
            <w:vAlign w:val="center"/>
            <w:hideMark/>
          </w:tcPr>
          <w:p w:rsidR="00000A7B" w:rsidRPr="00577B88" w:rsidRDefault="001E0569" w:rsidP="00577B88">
            <w:pPr>
              <w:spacing w:after="0" w:line="240" w:lineRule="auto"/>
              <w:rPr>
                <w:rFonts w:ascii="Times New Roman" w:eastAsia="Times New Roman" w:hAnsi="Times New Roman" w:cs="Times New Roman"/>
                <w:sz w:val="18"/>
                <w:szCs w:val="18"/>
              </w:rPr>
            </w:pPr>
            <w:r>
              <w:rPr>
                <w:rFonts w:ascii="Times New Roman" w:hAnsi="Times New Roman"/>
                <w:color w:val="000000"/>
                <w:sz w:val="18"/>
                <w:szCs w:val="18"/>
              </w:rPr>
              <w:lastRenderedPageBreak/>
              <w:t> </w:t>
            </w:r>
          </w:p>
        </w:tc>
      </w:tr>
      <w:tr w:rsidR="00001E51" w:rsidTr="00BA03D5">
        <w:trPr>
          <w:trHeight w:val="1780"/>
        </w:trPr>
        <w:tc>
          <w:tcPr>
            <w:tcW w:w="211" w:type="pct"/>
            <w:tcBorders>
              <w:top w:val="nil"/>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III.1.21</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ESCO market development</w:t>
            </w:r>
          </w:p>
        </w:tc>
        <w:tc>
          <w:tcPr>
            <w:tcW w:w="266"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 /2025</w:t>
            </w:r>
          </w:p>
        </w:tc>
        <w:tc>
          <w:tcPr>
            <w:tcW w:w="307" w:type="pct"/>
            <w:tcBorders>
              <w:top w:val="single" w:sz="8" w:space="0" w:color="auto"/>
              <w:left w:val="nil"/>
              <w:bottom w:val="single" w:sz="8" w:space="0" w:color="auto"/>
              <w:right w:val="nil"/>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10,000.00 </w:t>
            </w:r>
          </w:p>
        </w:tc>
        <w:tc>
          <w:tcPr>
            <w:tcW w:w="254"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292"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Three types of model contracts for ESCO have been developed, along with a methodology for determining ESCO.</w:t>
            </w:r>
          </w:p>
        </w:tc>
        <w:tc>
          <w:tcPr>
            <w:tcW w:w="364"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Administrative Instruction (AI) on Energy Service Providers.</w:t>
            </w:r>
          </w:p>
        </w:tc>
        <w:tc>
          <w:tcPr>
            <w:tcW w:w="1487" w:type="pct"/>
            <w:tcBorders>
              <w:top w:val="nil"/>
              <w:left w:val="single" w:sz="8" w:space="0" w:color="auto"/>
              <w:bottom w:val="single" w:sz="8" w:space="0" w:color="auto"/>
              <w:right w:val="nil"/>
            </w:tcBorders>
            <w:noWrap/>
            <w:vAlign w:val="center"/>
            <w:hideMark/>
          </w:tcPr>
          <w:p w:rsidR="00147B23" w:rsidRPr="00D435FB" w:rsidRDefault="001E0569" w:rsidP="00577B88">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D435FB" w:rsidRPr="00147B23" w:rsidRDefault="00D435FB" w:rsidP="00577B88">
            <w:pPr>
              <w:spacing w:after="0" w:line="240" w:lineRule="auto"/>
              <w:rPr>
                <w:rFonts w:ascii="Times New Roman" w:hAnsi="Times New Roman" w:cs="Times New Roman"/>
                <w:b/>
                <w:color w:val="000000" w:themeColor="text1"/>
                <w:sz w:val="18"/>
                <w:szCs w:val="18"/>
              </w:rPr>
            </w:pPr>
          </w:p>
          <w:p w:rsidR="00000A7B" w:rsidRPr="00577B8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There is no development, the Administrative Instruction (AI) will be approved after the adoption of the Law on Energy Efficiency (EE).</w:t>
            </w:r>
          </w:p>
        </w:tc>
      </w:tr>
      <w:tr w:rsidR="00001E51" w:rsidTr="00000A7B">
        <w:trPr>
          <w:trHeight w:val="315"/>
        </w:trPr>
        <w:tc>
          <w:tcPr>
            <w:tcW w:w="211"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III.2</w:t>
            </w:r>
          </w:p>
        </w:tc>
        <w:tc>
          <w:tcPr>
            <w:tcW w:w="3301"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Promoting efficient cogeneration and efficient District Heating (DH) systems</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r>
      <w:tr w:rsidR="00001E51" w:rsidTr="00000A7B">
        <w:trPr>
          <w:trHeight w:val="735"/>
        </w:trPr>
        <w:tc>
          <w:tcPr>
            <w:tcW w:w="211" w:type="pct"/>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358" w:type="pct"/>
            <w:tcBorders>
              <w:top w:val="nil"/>
              <w:left w:val="nil"/>
              <w:bottom w:val="nil"/>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901" w:type="pct"/>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582"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47"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1014"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000A7B">
        <w:trPr>
          <w:trHeight w:val="735"/>
        </w:trPr>
        <w:tc>
          <w:tcPr>
            <w:tcW w:w="211"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1</w:t>
            </w:r>
          </w:p>
        </w:tc>
        <w:tc>
          <w:tcPr>
            <w:tcW w:w="358" w:type="pct"/>
            <w:tcBorders>
              <w:top w:val="single" w:sz="8" w:space="0" w:color="auto"/>
              <w:left w:val="nil"/>
              <w:bottom w:val="nil"/>
              <w:right w:val="single" w:sz="8" w:space="0" w:color="auto"/>
            </w:tcBorders>
            <w:hideMark/>
          </w:tcPr>
          <w:p w:rsidR="00571EAF" w:rsidRP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Increasing the use of cogeneration capacity in “Termokos” Prishtina.</w:t>
            </w: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140 MWh</w:t>
            </w:r>
          </w:p>
        </w:tc>
        <w:tc>
          <w:tcPr>
            <w:tcW w:w="582"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140 MWh</w:t>
            </w:r>
          </w:p>
        </w:tc>
        <w:tc>
          <w:tcPr>
            <w:tcW w:w="447"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280 MWh</w:t>
            </w:r>
          </w:p>
        </w:tc>
        <w:tc>
          <w:tcPr>
            <w:tcW w:w="1014"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E07348">
        <w:trPr>
          <w:trHeight w:val="2320"/>
        </w:trPr>
        <w:tc>
          <w:tcPr>
            <w:tcW w:w="211" w:type="pct"/>
            <w:tcBorders>
              <w:top w:val="nil"/>
              <w:left w:val="single" w:sz="8" w:space="0" w:color="auto"/>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358" w:type="pct"/>
            <w:tcBorders>
              <w:top w:val="single" w:sz="8" w:space="0" w:color="auto"/>
              <w:left w:val="nil"/>
              <w:bottom w:val="nil"/>
              <w:right w:val="single" w:sz="8" w:space="0" w:color="auto"/>
            </w:tcBorders>
            <w:vAlign w:val="center"/>
            <w:hideMark/>
          </w:tcPr>
          <w:p w:rsid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Number of consumers connected to the District Heating (DH) systems in Prishtina &amp; Gjakova.</w:t>
            </w:r>
          </w:p>
          <w:p w:rsidR="00DA3784" w:rsidRDefault="00DA3784" w:rsidP="00571EAF">
            <w:pPr>
              <w:spacing w:after="0" w:line="240" w:lineRule="auto"/>
              <w:rPr>
                <w:rFonts w:ascii="Times New Roman" w:eastAsia="Times New Roman" w:hAnsi="Times New Roman" w:cs="Times New Roman"/>
                <w:sz w:val="18"/>
                <w:szCs w:val="18"/>
              </w:rPr>
            </w:pPr>
          </w:p>
          <w:p w:rsidR="00DA3784" w:rsidRDefault="00DA3784" w:rsidP="00571EAF">
            <w:pPr>
              <w:spacing w:after="0" w:line="240" w:lineRule="auto"/>
              <w:rPr>
                <w:rFonts w:ascii="Times New Roman" w:eastAsia="Times New Roman" w:hAnsi="Times New Roman" w:cs="Times New Roman"/>
                <w:sz w:val="18"/>
                <w:szCs w:val="18"/>
              </w:rPr>
            </w:pPr>
          </w:p>
          <w:p w:rsidR="00DA3784" w:rsidRDefault="00DA3784" w:rsidP="00571EAF">
            <w:pPr>
              <w:spacing w:after="0" w:line="240" w:lineRule="auto"/>
              <w:rPr>
                <w:rFonts w:ascii="Times New Roman" w:eastAsia="Times New Roman" w:hAnsi="Times New Roman" w:cs="Times New Roman"/>
                <w:sz w:val="18"/>
                <w:szCs w:val="18"/>
              </w:rPr>
            </w:pPr>
          </w:p>
          <w:p w:rsidR="00DA3784" w:rsidRDefault="00DA3784" w:rsidP="00571EAF">
            <w:pPr>
              <w:spacing w:after="0" w:line="240" w:lineRule="auto"/>
              <w:rPr>
                <w:rFonts w:ascii="Times New Roman" w:eastAsia="Times New Roman" w:hAnsi="Times New Roman" w:cs="Times New Roman"/>
                <w:sz w:val="18"/>
                <w:szCs w:val="18"/>
              </w:rPr>
            </w:pPr>
          </w:p>
          <w:p w:rsidR="00DA3784" w:rsidRDefault="00DA3784" w:rsidP="00571EAF">
            <w:pPr>
              <w:spacing w:after="0" w:line="240" w:lineRule="auto"/>
              <w:rPr>
                <w:rFonts w:ascii="Times New Roman" w:eastAsia="Times New Roman" w:hAnsi="Times New Roman" w:cs="Times New Roman"/>
                <w:sz w:val="18"/>
                <w:szCs w:val="18"/>
              </w:rPr>
            </w:pPr>
          </w:p>
          <w:p w:rsidR="00DA3784" w:rsidRDefault="00DA3784" w:rsidP="00571EAF">
            <w:pPr>
              <w:spacing w:after="0" w:line="240" w:lineRule="auto"/>
              <w:rPr>
                <w:rFonts w:ascii="Times New Roman" w:eastAsia="Times New Roman" w:hAnsi="Times New Roman" w:cs="Times New Roman"/>
                <w:sz w:val="18"/>
                <w:szCs w:val="18"/>
              </w:rPr>
            </w:pPr>
          </w:p>
          <w:p w:rsidR="00DA3784" w:rsidRPr="00571EAF" w:rsidRDefault="00DA3784" w:rsidP="00571EAF">
            <w:pPr>
              <w:spacing w:after="0" w:line="240" w:lineRule="auto"/>
              <w:rPr>
                <w:rFonts w:ascii="Times New Roman" w:eastAsia="Times New Roman" w:hAnsi="Times New Roman" w:cs="Times New Roman"/>
                <w:sz w:val="18"/>
                <w:szCs w:val="18"/>
              </w:rPr>
            </w:pPr>
          </w:p>
        </w:tc>
        <w:tc>
          <w:tcPr>
            <w:tcW w:w="901"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17,791</w:t>
            </w:r>
          </w:p>
        </w:tc>
        <w:tc>
          <w:tcPr>
            <w:tcW w:w="582"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24,560</w:t>
            </w:r>
          </w:p>
        </w:tc>
        <w:tc>
          <w:tcPr>
            <w:tcW w:w="447" w:type="pct"/>
            <w:tcBorders>
              <w:top w:val="nil"/>
              <w:left w:val="nil"/>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38,240 in Prishtina and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Gjakova. For other municipalities, it will be decided based on the feasibility study. </w:t>
            </w:r>
          </w:p>
        </w:tc>
        <w:tc>
          <w:tcPr>
            <w:tcW w:w="1014" w:type="pct"/>
            <w:gridSpan w:val="3"/>
            <w:tcBorders>
              <w:top w:val="single" w:sz="8" w:space="0" w:color="auto"/>
              <w:left w:val="nil"/>
              <w:bottom w:val="nil"/>
              <w:right w:val="single" w:sz="8" w:space="0" w:color="000000"/>
            </w:tcBorders>
            <w:vAlign w:val="center"/>
            <w:hideMark/>
          </w:tcPr>
          <w:p w:rsidR="00571EAF" w:rsidRPr="00571EAF"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The number of customers planned for 2025 is -25,537 customers.</w:t>
            </w:r>
          </w:p>
        </w:tc>
        <w:tc>
          <w:tcPr>
            <w:tcW w:w="1487" w:type="pct"/>
            <w:tcBorders>
              <w:top w:val="nil"/>
              <w:left w:val="nil"/>
              <w:bottom w:val="nil"/>
              <w:right w:val="nil"/>
            </w:tcBorders>
            <w:noWrap/>
            <w:vAlign w:val="bottom"/>
            <w:hideMark/>
          </w:tcPr>
          <w:p w:rsidR="00571EAF" w:rsidRPr="00571EAF" w:rsidRDefault="00571EAF" w:rsidP="00571EAF">
            <w:pPr>
              <w:spacing w:after="0" w:line="240" w:lineRule="auto"/>
              <w:rPr>
                <w:rFonts w:ascii="Times New Roman" w:eastAsia="Times New Roman" w:hAnsi="Times New Roman" w:cs="Times New Roman"/>
                <w:sz w:val="18"/>
                <w:szCs w:val="18"/>
              </w:rPr>
            </w:pPr>
          </w:p>
        </w:tc>
      </w:tr>
      <w:tr w:rsidR="00001E51" w:rsidTr="00000A7B">
        <w:trPr>
          <w:trHeight w:val="315"/>
        </w:trPr>
        <w:tc>
          <w:tcPr>
            <w:tcW w:w="2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3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66"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218" w:type="pct"/>
            <w:gridSpan w:val="4"/>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44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29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3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6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References to documents </w:t>
            </w:r>
          </w:p>
        </w:tc>
        <w:tc>
          <w:tcPr>
            <w:tcW w:w="1487"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571EAF" w:rsidRPr="0069747F" w:rsidRDefault="001E0569" w:rsidP="00571EAF">
            <w:pPr>
              <w:spacing w:after="0" w:line="240" w:lineRule="auto"/>
              <w:jc w:val="center"/>
              <w:rPr>
                <w:rFonts w:ascii="Times New Roman" w:eastAsia="Times New Roman" w:hAnsi="Times New Roman" w:cs="Times New Roman"/>
                <w:b/>
                <w:bCs/>
                <w:color w:val="FF0000"/>
              </w:rPr>
            </w:pPr>
            <w:r>
              <w:rPr>
                <w:rFonts w:ascii="Times New Roman" w:hAnsi="Times New Roman"/>
                <w:b/>
                <w:bCs/>
              </w:rPr>
              <w:t>Implementation progress January - June 2025</w:t>
            </w:r>
          </w:p>
        </w:tc>
      </w:tr>
      <w:tr w:rsidR="00001E51" w:rsidTr="00000A7B">
        <w:trPr>
          <w:trHeight w:val="300"/>
        </w:trPr>
        <w:tc>
          <w:tcPr>
            <w:tcW w:w="211"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07"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2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2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254"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4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2"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64"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48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000A7B">
        <w:trPr>
          <w:trHeight w:val="675"/>
        </w:trPr>
        <w:tc>
          <w:tcPr>
            <w:tcW w:w="211"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07"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2022</w:t>
            </w:r>
          </w:p>
        </w:tc>
        <w:tc>
          <w:tcPr>
            <w:tcW w:w="32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32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254"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4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2"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64"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48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581D86">
        <w:trPr>
          <w:trHeight w:val="7635"/>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III.2.1</w:t>
            </w:r>
          </w:p>
        </w:tc>
        <w:tc>
          <w:tcPr>
            <w:tcW w:w="358"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Expansion and rehabilitation of the Prishtina District Heating (DH) network.</w:t>
            </w:r>
          </w:p>
        </w:tc>
        <w:tc>
          <w:tcPr>
            <w:tcW w:w="266"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30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9,200,000.00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6,676,063.00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 €             2,835,663.00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KfW/Termokos</w:t>
            </w:r>
          </w:p>
        </w:tc>
        <w:tc>
          <w:tcPr>
            <w:tcW w:w="292"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Termokos</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District Heating (DH) network has been expanded and rehabilitated.</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2022-2031 </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Termokos Development Plan for the period 2022-2031</w:t>
            </w:r>
          </w:p>
        </w:tc>
        <w:tc>
          <w:tcPr>
            <w:tcW w:w="1487" w:type="pct"/>
            <w:tcBorders>
              <w:top w:val="single" w:sz="8" w:space="0" w:color="auto"/>
              <w:left w:val="single" w:sz="8" w:space="0" w:color="auto"/>
              <w:bottom w:val="nil"/>
              <w:right w:val="single" w:sz="8" w:space="0" w:color="auto"/>
            </w:tcBorders>
            <w:vAlign w:val="center"/>
            <w:hideMark/>
          </w:tcPr>
          <w:p w:rsidR="00147B23" w:rsidRPr="001F5B28" w:rsidRDefault="001E0569" w:rsidP="00581D86">
            <w:pPr>
              <w:spacing w:after="0"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One hundred percent (100%)</w:t>
            </w:r>
          </w:p>
          <w:p w:rsidR="001F5B28" w:rsidRPr="00147B23" w:rsidRDefault="001F5B28" w:rsidP="00581D86">
            <w:pPr>
              <w:spacing w:after="0" w:line="240" w:lineRule="auto"/>
              <w:rPr>
                <w:rFonts w:ascii="Times New Roman" w:hAnsi="Times New Roman" w:cs="Times New Roman"/>
                <w:b/>
                <w:color w:val="000000" w:themeColor="text1"/>
                <w:sz w:val="18"/>
                <w:szCs w:val="18"/>
              </w:rPr>
            </w:pPr>
          </w:p>
          <w:p w:rsidR="00000A7B" w:rsidRDefault="001E0569" w:rsidP="00702F96">
            <w:pPr>
              <w:spacing w:after="0"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The Project for Expansion and Rehabilitation of the District Heating (DH) Network in Prishtina has been completed, and during the reporting period, there were no activities for the implementation of the project.</w:t>
            </w:r>
          </w:p>
          <w:p w:rsidR="00D1043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Deadline: 2025- completion of the project.</w:t>
            </w:r>
          </w:p>
          <w:p w:rsidR="00135C95" w:rsidRPr="00D10434" w:rsidRDefault="00135C95" w:rsidP="00D10434">
            <w:pPr>
              <w:spacing w:after="0" w:line="240" w:lineRule="auto"/>
              <w:jc w:val="both"/>
              <w:rPr>
                <w:rFonts w:ascii="Times New Roman" w:eastAsia="Times New Roman" w:hAnsi="Times New Roman" w:cs="Times New Roman"/>
                <w:sz w:val="18"/>
                <w:szCs w:val="18"/>
              </w:rPr>
            </w:pPr>
          </w:p>
          <w:p w:rsidR="00D10434" w:rsidRPr="00D1043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Budget: During 2022, €6,667,833.00 was paid – covered by KfW (donor) and Termokos (as co-funder).</w:t>
            </w:r>
          </w:p>
          <w:p w:rsidR="00D10434" w:rsidRPr="00D1043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During 2023, €5,522,272.11 was paid – covered by KfW (donor) and Termokos (as co-funder).</w:t>
            </w:r>
          </w:p>
          <w:p w:rsidR="00D10434" w:rsidRPr="00D10434"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During 2024, €1,609,480.07 was paid – covered by Termokos (co-funder).</w:t>
            </w:r>
          </w:p>
          <w:p w:rsidR="00D10434" w:rsidRPr="00581D86" w:rsidRDefault="001E0569" w:rsidP="00D10434">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During the period January–June 2025, no payments were made. For the period July–December 2025, it is planned that Termokos will pay the remaining amount of €300,000.00 for the project (for performance tests and improvements in the SCADA system).</w:t>
            </w:r>
          </w:p>
        </w:tc>
      </w:tr>
      <w:tr w:rsidR="00001E51" w:rsidTr="007109D4">
        <w:trPr>
          <w:trHeight w:val="8190"/>
        </w:trPr>
        <w:tc>
          <w:tcPr>
            <w:tcW w:w="211" w:type="pct"/>
            <w:tcBorders>
              <w:top w:val="nil"/>
              <w:left w:val="single" w:sz="8" w:space="0" w:color="auto"/>
              <w:bottom w:val="single" w:sz="8" w:space="0" w:color="auto"/>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III.2.2</w:t>
            </w:r>
          </w:p>
        </w:tc>
        <w:tc>
          <w:tcPr>
            <w:tcW w:w="358" w:type="pct"/>
            <w:tcBorders>
              <w:top w:val="nil"/>
              <w:left w:val="nil"/>
              <w:bottom w:val="single" w:sz="8" w:space="0" w:color="auto"/>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Feasibility study for increasing the thermal cogeneration capacity at the “Kosova B” TPP from 140 MWth to 280 MWth.</w:t>
            </w:r>
          </w:p>
        </w:tc>
        <w:tc>
          <w:tcPr>
            <w:tcW w:w="266"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1,500,000.00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IPA 2020 / Municipality of Prishtina / Termokos</w:t>
            </w:r>
          </w:p>
        </w:tc>
        <w:tc>
          <w:tcPr>
            <w:tcW w:w="292"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Termokos / KEK</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Feasibility study finalized.</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2022 - 2031, </w:t>
            </w:r>
            <w:r>
              <w:rPr>
                <w:rFonts w:ascii="Times New Roman" w:hAnsi="Times New Roman"/>
                <w:sz w:val="18"/>
                <w:szCs w:val="18"/>
              </w:rPr>
              <w:br w:type="page"/>
              <w:t>Termokos Development Plan 2022-2031</w:t>
            </w:r>
          </w:p>
        </w:tc>
        <w:tc>
          <w:tcPr>
            <w:tcW w:w="1487" w:type="pct"/>
            <w:tcBorders>
              <w:top w:val="single" w:sz="8" w:space="0" w:color="auto"/>
              <w:left w:val="single" w:sz="8" w:space="0" w:color="auto"/>
              <w:bottom w:val="single" w:sz="8" w:space="0" w:color="auto"/>
              <w:right w:val="single" w:sz="8" w:space="0" w:color="auto"/>
            </w:tcBorders>
            <w:vAlign w:val="center"/>
            <w:hideMark/>
          </w:tcPr>
          <w:p w:rsidR="00147B23" w:rsidRDefault="001E0569" w:rsidP="007109D4">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Ninety-five percent (92%)</w:t>
            </w:r>
          </w:p>
          <w:p w:rsidR="00464B61" w:rsidRPr="001702E4" w:rsidRDefault="00464B61" w:rsidP="007109D4">
            <w:pPr>
              <w:spacing w:after="0" w:line="240" w:lineRule="auto"/>
              <w:rPr>
                <w:rFonts w:ascii="Times New Roman" w:hAnsi="Times New Roman" w:cs="Times New Roman"/>
                <w:b/>
                <w:bCs/>
                <w:color w:val="000000" w:themeColor="text1"/>
                <w:sz w:val="18"/>
                <w:szCs w:val="18"/>
              </w:rPr>
            </w:pP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This project is part of the Masterplan study for network expansion and the provision of additional thermal energy capacity through the doubling of generation capacities, from 140 to 280 MWth, at the “Kosova B” TPP.                                            </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Developments on this project so far include: </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1. In June 2022, a cooperation agreement was signed between the European Investment Bank (EIB), the Ministry of Finance of the Republic of Kosovo and Termokos for a fund of €1.5 million to fund preliminary studies for this project;  2. The decarbonization project was approved by the company's Board in January 2024;</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3. The consulting company presented the initial design for the installation of pipes in the TUH turbine hall, HES1 &amp; HES2, as well as the HES-2 HRS-2 network;</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4. The company presented the new zoning (areas where the network needs to be expanded);</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5. The proposed route for the "Kosova B" TPP – Termokos network was presented;</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6. The location for HRS-2 was defined. The existing Termokos facility will be allocated for this purpose;</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7. The financial evaluation of the project has been prepared; The EIB approved the "Environmental and Social Impact Assessment Report" (ESIA);</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9. The Project Financing Plan was presented, but grants and other forms of project financing have not yet been secured (due to the application of measures against the Republic of Kosovo);</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10. The new Masterplan for network expansion under this project has been approved while the activities carried out and in progress related to this project in the six-month period January - June 2025 are:  </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  </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1. The consulting company finalized the initial design for the installation of pipes in the TUH turbine hall, HES1 &amp; HES2, and the HES-2 HRS-2 network;</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2. The concept design for network expansion under this project was finalized;</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3. Work continued on completing the necessary documentation for various permits: identification of parcels along the route, expropriation documentation, environmental approvals, etc.;</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4. The expropriation/servitude documentation is being finalized for submission to MESPI;</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5. A joint meeting was held with the Ministry of Finance, Ministry of Economy, Municipality of Prishtina, TetraTech and EIB to address financing modality requirements;</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lastRenderedPageBreak/>
              <w:t xml:space="preserve">6. Project tendering options were established: works will be tendered in Lot 1 (cogeneration) and Lot 2 (network expansion), while consultancy will be tendered as a separate Lot to supervise the works under Lot 1 and Lot 2.                                       </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Regarding the following activities, the tender dossier for works and consulting services will be prepared.                                               </w:t>
            </w: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                                                                                                                                                         Clarification: From the 140 MWth generation capacity, which will be achieved through the project, doubling the thermal energy production capacity, 40 MWth of thermal energy will be allocated to the Municipality of Obiliq, while 100 MWth of thermal energy will remain for PE "Termokos" JSC.</w:t>
            </w:r>
          </w:p>
        </w:tc>
      </w:tr>
      <w:tr w:rsidR="00001E51" w:rsidTr="007109D4">
        <w:trPr>
          <w:trHeight w:val="3720"/>
        </w:trPr>
        <w:tc>
          <w:tcPr>
            <w:tcW w:w="211" w:type="pct"/>
            <w:tcBorders>
              <w:top w:val="nil"/>
              <w:left w:val="single" w:sz="8" w:space="0" w:color="auto"/>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III.2.3</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Doubling of cogeneration production capacity from 140 MWth to 280 MWth and expansion of the transmission network.</w:t>
            </w:r>
          </w:p>
        </w:tc>
        <w:tc>
          <w:tcPr>
            <w:tcW w:w="266"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0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 €           12,000,000.00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IPA 2020 / Municipality of Prishtina / Termokos</w:t>
            </w:r>
          </w:p>
        </w:tc>
        <w:tc>
          <w:tcPr>
            <w:tcW w:w="292"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Termokos / KEK</w:t>
            </w:r>
          </w:p>
        </w:tc>
        <w:tc>
          <w:tcPr>
            <w:tcW w:w="35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Thermal generation capacities doubled. It is expected that the budget will be completed up to the amount of 80,000,000 from donors and international financial institutions. The project is expected to be completed in 2027.</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2022–2031,</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Plan of Termokos for the period 2022–2031</w:t>
            </w:r>
          </w:p>
        </w:tc>
        <w:tc>
          <w:tcPr>
            <w:tcW w:w="1487" w:type="pct"/>
            <w:tcBorders>
              <w:top w:val="nil"/>
              <w:left w:val="nil"/>
              <w:bottom w:val="nil"/>
              <w:right w:val="nil"/>
            </w:tcBorders>
            <w:vAlign w:val="center"/>
            <w:hideMark/>
          </w:tcPr>
          <w:p w:rsidR="00147B23" w:rsidRPr="00C001D6" w:rsidRDefault="001E0569" w:rsidP="007109D4">
            <w:pPr>
              <w:spacing w:after="0"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Zero percent (0%)</w:t>
            </w:r>
          </w:p>
          <w:p w:rsidR="00C001D6" w:rsidRPr="00147B23" w:rsidRDefault="00C001D6" w:rsidP="007109D4">
            <w:pPr>
              <w:spacing w:after="0" w:line="240" w:lineRule="auto"/>
              <w:rPr>
                <w:rFonts w:ascii="Times New Roman" w:hAnsi="Times New Roman" w:cs="Times New Roman"/>
                <w:b/>
                <w:color w:val="000000" w:themeColor="text1"/>
                <w:sz w:val="18"/>
                <w:szCs w:val="18"/>
              </w:rPr>
            </w:pPr>
          </w:p>
          <w:p w:rsidR="00000A7B" w:rsidRDefault="001E0569" w:rsidP="007109D4">
            <w:p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implementation of the project has not started. </w:t>
            </w:r>
          </w:p>
          <w:p w:rsidR="00D10434" w:rsidRPr="00D10434" w:rsidRDefault="001E0569" w:rsidP="00D10434">
            <w:pPr>
              <w:spacing w:after="0" w:line="240" w:lineRule="auto"/>
              <w:rPr>
                <w:rFonts w:ascii="Times New Roman" w:eastAsia="Times New Roman" w:hAnsi="Times New Roman" w:cs="Times New Roman"/>
                <w:sz w:val="18"/>
                <w:szCs w:val="18"/>
              </w:rPr>
            </w:pPr>
            <w:r>
              <w:rPr>
                <w:rFonts w:ascii="Times New Roman" w:hAnsi="Times New Roman"/>
                <w:sz w:val="18"/>
                <w:szCs w:val="18"/>
              </w:rPr>
              <w:t>The deadline for the period 2027-2030 is when the project implementation is planned.</w:t>
            </w:r>
          </w:p>
          <w:p w:rsidR="00D10434" w:rsidRPr="00D10434" w:rsidRDefault="00D10434" w:rsidP="00D10434">
            <w:pPr>
              <w:spacing w:after="0" w:line="240" w:lineRule="auto"/>
              <w:rPr>
                <w:rFonts w:ascii="Times New Roman" w:eastAsia="Times New Roman" w:hAnsi="Times New Roman" w:cs="Times New Roman"/>
                <w:sz w:val="18"/>
                <w:szCs w:val="18"/>
              </w:rPr>
            </w:pPr>
          </w:p>
          <w:p w:rsidR="00D10434" w:rsidRPr="007109D4" w:rsidRDefault="001E0569" w:rsidP="00D10434">
            <w:pPr>
              <w:spacing w:after="0" w:line="240" w:lineRule="auto"/>
              <w:rPr>
                <w:rFonts w:ascii="Times New Roman" w:eastAsia="Times New Roman" w:hAnsi="Times New Roman" w:cs="Times New Roman"/>
                <w:sz w:val="18"/>
                <w:szCs w:val="18"/>
              </w:rPr>
            </w:pPr>
            <w:r>
              <w:rPr>
                <w:rFonts w:ascii="Times New Roman" w:hAnsi="Times New Roman"/>
                <w:sz w:val="18"/>
                <w:szCs w:val="18"/>
              </w:rPr>
              <w:t>Budget: Due to the measures applied against the Republic of Kosovo, the grants and other forms of project financing have not yet been obtained. Therefore, no payments have been executed during 2024 and 2025.</w:t>
            </w:r>
          </w:p>
        </w:tc>
      </w:tr>
      <w:tr w:rsidR="00001E51" w:rsidTr="007109D4">
        <w:trPr>
          <w:trHeight w:val="1870"/>
        </w:trPr>
        <w:tc>
          <w:tcPr>
            <w:tcW w:w="211" w:type="pct"/>
            <w:tcBorders>
              <w:top w:val="single" w:sz="8" w:space="0" w:color="auto"/>
              <w:left w:val="single" w:sz="8" w:space="0" w:color="auto"/>
              <w:bottom w:val="nil"/>
              <w:right w:val="single" w:sz="8" w:space="0" w:color="auto"/>
            </w:tcBorders>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III.2.4</w:t>
            </w:r>
          </w:p>
        </w:tc>
        <w:tc>
          <w:tcPr>
            <w:tcW w:w="358" w:type="pct"/>
            <w:tcBorders>
              <w:top w:val="nil"/>
              <w:left w:val="nil"/>
              <w:bottom w:val="nil"/>
              <w:right w:val="single" w:sz="8" w:space="0" w:color="auto"/>
            </w:tcBorders>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Installation of metering devices for Termokos customers.</w:t>
            </w:r>
          </w:p>
        </w:tc>
        <w:tc>
          <w:tcPr>
            <w:tcW w:w="266"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6,000,000.00 </w:t>
            </w:r>
          </w:p>
        </w:tc>
        <w:tc>
          <w:tcPr>
            <w:tcW w:w="32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4,000,000.00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MFK</w:t>
            </w:r>
          </w:p>
        </w:tc>
        <w:tc>
          <w:tcPr>
            <w:tcW w:w="292"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MFK / Termokos</w:t>
            </w:r>
          </w:p>
        </w:tc>
        <w:tc>
          <w:tcPr>
            <w:tcW w:w="358" w:type="pct"/>
            <w:tcBorders>
              <w:top w:val="nil"/>
              <w:left w:val="nil"/>
              <w:bottom w:val="nil"/>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costs and controlled heating consumption for up to 17,500 Termokos consumers.</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2022–2031,</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Plan of Termokos for the period 2022–2031</w:t>
            </w:r>
          </w:p>
        </w:tc>
        <w:tc>
          <w:tcPr>
            <w:tcW w:w="1487" w:type="pct"/>
            <w:tcBorders>
              <w:top w:val="single" w:sz="8" w:space="0" w:color="auto"/>
              <w:left w:val="single" w:sz="8" w:space="0" w:color="auto"/>
              <w:bottom w:val="single" w:sz="8" w:space="0" w:color="auto"/>
              <w:right w:val="single" w:sz="8" w:space="0" w:color="auto"/>
            </w:tcBorders>
            <w:vAlign w:val="center"/>
            <w:hideMark/>
          </w:tcPr>
          <w:p w:rsidR="00147B23" w:rsidRDefault="001E0569" w:rsidP="007109D4">
            <w:pPr>
              <w:spacing w:after="24"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Ninety-six percent (96%) </w:t>
            </w:r>
          </w:p>
          <w:p w:rsidR="00135202" w:rsidRPr="00874CF4" w:rsidRDefault="00135202" w:rsidP="007109D4">
            <w:pPr>
              <w:spacing w:after="24" w:line="240" w:lineRule="auto"/>
              <w:rPr>
                <w:rFonts w:ascii="Times New Roman" w:hAnsi="Times New Roman" w:cs="Times New Roman"/>
                <w:b/>
                <w:bCs/>
                <w:color w:val="000000" w:themeColor="text1"/>
                <w:sz w:val="18"/>
                <w:szCs w:val="18"/>
              </w:rPr>
            </w:pP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contract for this project was signed in April 2022 between MFK (Millennium Foundation – Kosovo) and the contractor "ENERCO LLC" ShPK – Prishtina and commenced implementation on 27 July 2022.                                                                                                    Since the first phase of this project was completed in January 2025, the project has continued into the second phase. The second phase of the project for 2025 will be financed with Termokos funds, as a co-funder of the project with €1 million, and in this phase, an additional 2,500 consumers are planned to be included. Termokos is considering the possibility of finding donors for financial support to expand this project in all neighbourhoods covered by the District Heating (DH) network, in order to enable all consumers to be billed based on their consumption.                With regard to the implementation of the "Prishtina Heat Save" project, the following have been carried out:                                                                                                                -Thermostatic valve: 79,148 pieces; </w:t>
            </w: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-Allocators: 58,039 pieces; - Individual thermal energy meters: 4,654 pieces; </w:t>
            </w: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 Circulating pumps: 233 pieces; </w:t>
            </w: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 Balancing valves - 18 pieces, </w:t>
            </w: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 Residential units where metering equipment installations have been carried out - 19,564 residential units.                                                                                       The field work carried out for the implementation of the "Prishtina Heat Save" project during the period February 2025-May 2025 are:                                                                                                                                    -Thermostatic valve: 1,516 pieces; </w:t>
            </w: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-Allocators: 1,895 pieces; </w:t>
            </w: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 Individual thermal energy meters: 452 pieces; </w:t>
            </w:r>
          </w:p>
          <w:p w:rsidR="00D10434" w:rsidRDefault="001E0569" w:rsidP="00702F96">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Housing units: 2,095;</w:t>
            </w:r>
          </w:p>
          <w:p w:rsidR="00D10434" w:rsidRPr="00D10434" w:rsidRDefault="001E0569" w:rsidP="00D10434">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The deadline for the period 2022-2027 is when the project implementation is planned.</w:t>
            </w:r>
          </w:p>
          <w:p w:rsidR="00D10434" w:rsidRPr="00D10434" w:rsidRDefault="00D10434" w:rsidP="00D10434">
            <w:pPr>
              <w:spacing w:after="24" w:line="240" w:lineRule="auto"/>
              <w:jc w:val="both"/>
              <w:rPr>
                <w:rFonts w:ascii="Times New Roman" w:hAnsi="Times New Roman" w:cs="Times New Roman"/>
                <w:color w:val="000000" w:themeColor="text1"/>
                <w:sz w:val="18"/>
                <w:szCs w:val="18"/>
              </w:rPr>
            </w:pPr>
          </w:p>
          <w:p w:rsidR="00D10434" w:rsidRPr="00D10434" w:rsidRDefault="001E0569" w:rsidP="00D10434">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Budget: During 2022, €9,995,798.00 were paid – covered by the United States Government – MCC (donor). </w:t>
            </w:r>
          </w:p>
          <w:p w:rsidR="00D10434" w:rsidRPr="00D10434" w:rsidRDefault="001E0569" w:rsidP="00D10434">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During 2023, €2,159,574.40 were paid – covered by the Municipality of Prishtina (donor) and Termokos (as co-funder).</w:t>
            </w:r>
          </w:p>
          <w:p w:rsidR="00D10434" w:rsidRPr="00D10434" w:rsidRDefault="001E0569" w:rsidP="00D10434">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During 2024, €316,647.00 were paid – covered by Termokos (as co-funder).</w:t>
            </w:r>
          </w:p>
          <w:p w:rsidR="00D10434" w:rsidRPr="00D10434" w:rsidRDefault="001E0569" w:rsidP="00D10434">
            <w:pPr>
              <w:spacing w:after="24" w:line="240"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For 2025 – Termokos has allocated its own budget of €1,000,000.00, out of which, during the period January – June 2025, €212,178.00 have been paid. </w:t>
            </w:r>
          </w:p>
          <w:p w:rsidR="00000A7B" w:rsidRPr="00147B23" w:rsidRDefault="001E0569" w:rsidP="00D10434">
            <w:pPr>
              <w:spacing w:after="24"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Whereas during the period July – December 2025, the remaining amount of €787,822.00 is planned to be spent.</w:t>
            </w:r>
          </w:p>
          <w:p w:rsidR="00000A7B" w:rsidRPr="00147B23" w:rsidRDefault="001E0569" w:rsidP="00D10434">
            <w:pPr>
              <w:spacing w:after="24"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lastRenderedPageBreak/>
              <w:t xml:space="preserve">                                                                                             </w:t>
            </w:r>
          </w:p>
        </w:tc>
      </w:tr>
      <w:tr w:rsidR="00001E51" w:rsidTr="00000A7B">
        <w:trPr>
          <w:trHeight w:val="2460"/>
        </w:trPr>
        <w:tc>
          <w:tcPr>
            <w:tcW w:w="211"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III.2.5</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Improve the performance of District Heating (DH) in Gjakova.</w:t>
            </w:r>
          </w:p>
        </w:tc>
        <w:tc>
          <w:tcPr>
            <w:tcW w:w="266"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307"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2,361,000.00 </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823,000.00 </w:t>
            </w:r>
          </w:p>
        </w:tc>
        <w:tc>
          <w:tcPr>
            <w:tcW w:w="328"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25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        -   </w:t>
            </w:r>
          </w:p>
        </w:tc>
        <w:tc>
          <w:tcPr>
            <w:tcW w:w="447"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Swiss State Secretariat for Economic Affairs (SECO), Municipality of Gjakova.</w:t>
            </w:r>
          </w:p>
        </w:tc>
        <w:tc>
          <w:tcPr>
            <w:tcW w:w="292" w:type="pct"/>
            <w:tcBorders>
              <w:top w:val="single" w:sz="8" w:space="0" w:color="auto"/>
              <w:left w:val="nil"/>
              <w:bottom w:val="single" w:sz="8" w:space="0" w:color="auto"/>
              <w:right w:val="single" w:sz="8" w:space="0" w:color="auto"/>
            </w:tcBorders>
            <w:shd w:val="clear" w:color="000000" w:fill="FFFFFF"/>
            <w:vAlign w:val="center"/>
            <w:hideMark/>
          </w:tcPr>
          <w:p w:rsidR="00000A7B" w:rsidRPr="006E5CE6"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District</w:t>
            </w:r>
          </w:p>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Heating (DH) Gjakova. </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rsidR="00000A7B" w:rsidRPr="006E5CE6"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Improving the performance of the Gjakova District Heating (DH), improving the heating network of the regional hospital, and connecting additional public facilities.</w:t>
            </w:r>
          </w:p>
        </w:tc>
        <w:tc>
          <w:tcPr>
            <w:tcW w:w="364" w:type="pct"/>
            <w:tcBorders>
              <w:top w:val="nil"/>
              <w:left w:val="nil"/>
              <w:bottom w:val="single" w:sz="8" w:space="0" w:color="auto"/>
              <w:right w:val="single" w:sz="8" w:space="0" w:color="auto"/>
            </w:tcBorders>
            <w:shd w:val="clear" w:color="000000" w:fill="FFFFFF"/>
            <w:vAlign w:val="center"/>
            <w:hideMark/>
          </w:tcPr>
          <w:p w:rsidR="00000A7B" w:rsidRPr="00571EAF"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District Heating (DH) Development Plan for the period 2022-2023 </w:t>
            </w:r>
          </w:p>
        </w:tc>
        <w:tc>
          <w:tcPr>
            <w:tcW w:w="1487" w:type="pct"/>
            <w:tcBorders>
              <w:top w:val="single" w:sz="4" w:space="0" w:color="auto"/>
              <w:left w:val="single" w:sz="4" w:space="0" w:color="auto"/>
              <w:bottom w:val="single" w:sz="4" w:space="0" w:color="auto"/>
              <w:right w:val="single" w:sz="4" w:space="0" w:color="auto"/>
            </w:tcBorders>
            <w:vAlign w:val="center"/>
            <w:hideMark/>
          </w:tcPr>
          <w:p w:rsidR="00000A7B" w:rsidRPr="00571EAF" w:rsidRDefault="00000A7B" w:rsidP="00000A7B">
            <w:pPr>
              <w:spacing w:after="0" w:line="240" w:lineRule="auto"/>
              <w:rPr>
                <w:rFonts w:ascii="Times New Roman" w:eastAsia="Times New Roman" w:hAnsi="Times New Roman" w:cs="Times New Roman"/>
              </w:rPr>
            </w:pPr>
          </w:p>
        </w:tc>
      </w:tr>
    </w:tbl>
    <w:p w:rsidR="008D0C63" w:rsidRDefault="008D0C63" w:rsidP="007D1D84">
      <w:pPr>
        <w:pStyle w:val="ListParagraph"/>
        <w:ind w:left="1080"/>
        <w:rPr>
          <w:rFonts w:ascii="Times New Roman" w:hAnsi="Times New Roman" w:cs="Times New Roman"/>
          <w:b/>
          <w:sz w:val="28"/>
          <w:szCs w:val="24"/>
        </w:rPr>
      </w:pPr>
    </w:p>
    <w:p w:rsidR="008D0C63" w:rsidRDefault="008D0C63" w:rsidP="007D1D84">
      <w:pPr>
        <w:pStyle w:val="ListParagraph"/>
        <w:ind w:left="1080"/>
        <w:rPr>
          <w:rFonts w:ascii="Times New Roman" w:hAnsi="Times New Roman" w:cs="Times New Roman"/>
          <w:b/>
          <w:sz w:val="28"/>
          <w:szCs w:val="24"/>
        </w:rPr>
      </w:pPr>
    </w:p>
    <w:p w:rsidR="008A12C4" w:rsidRDefault="008A12C4" w:rsidP="007D1D84">
      <w:pPr>
        <w:pStyle w:val="ListParagraph"/>
        <w:ind w:left="1080"/>
        <w:rPr>
          <w:rFonts w:ascii="Times New Roman" w:hAnsi="Times New Roman" w:cs="Times New Roman"/>
          <w:b/>
          <w:sz w:val="28"/>
          <w:szCs w:val="24"/>
        </w:rPr>
      </w:pPr>
    </w:p>
    <w:p w:rsidR="00682BBE" w:rsidRDefault="00682BBE" w:rsidP="007D1D84">
      <w:pPr>
        <w:pStyle w:val="ListParagraph"/>
        <w:ind w:left="1080"/>
        <w:rPr>
          <w:rFonts w:ascii="Times New Roman" w:hAnsi="Times New Roman" w:cs="Times New Roman"/>
          <w:b/>
          <w:sz w:val="28"/>
          <w:szCs w:val="24"/>
        </w:rPr>
      </w:pPr>
    </w:p>
    <w:p w:rsidR="00CD1CC2" w:rsidRDefault="00CD1CC2" w:rsidP="007D1D84">
      <w:pPr>
        <w:pStyle w:val="ListParagraph"/>
        <w:ind w:left="1080"/>
        <w:rPr>
          <w:rFonts w:ascii="Times New Roman" w:hAnsi="Times New Roman" w:cs="Times New Roman"/>
          <w:b/>
          <w:sz w:val="28"/>
          <w:szCs w:val="24"/>
        </w:rPr>
      </w:pPr>
    </w:p>
    <w:tbl>
      <w:tblPr>
        <w:tblW w:w="5000" w:type="pct"/>
        <w:tblLayout w:type="fixed"/>
        <w:tblLook w:val="04A0" w:firstRow="1" w:lastRow="0" w:firstColumn="1" w:lastColumn="0" w:noHBand="0" w:noVBand="1"/>
      </w:tblPr>
      <w:tblGrid>
        <w:gridCol w:w="621"/>
        <w:gridCol w:w="1622"/>
        <w:gridCol w:w="632"/>
        <w:gridCol w:w="534"/>
        <w:gridCol w:w="1052"/>
        <w:gridCol w:w="1052"/>
        <w:gridCol w:w="933"/>
        <w:gridCol w:w="1205"/>
        <w:gridCol w:w="806"/>
        <w:gridCol w:w="899"/>
        <w:gridCol w:w="720"/>
        <w:gridCol w:w="2879"/>
      </w:tblGrid>
      <w:tr w:rsidR="00001E51" w:rsidTr="007D73EC">
        <w:trPr>
          <w:trHeight w:val="480"/>
        </w:trPr>
        <w:tc>
          <w:tcPr>
            <w:tcW w:w="3889"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71EAF" w:rsidRPr="008742EE" w:rsidRDefault="001E0569" w:rsidP="00571EAF">
            <w:pPr>
              <w:spacing w:after="0" w:line="240" w:lineRule="auto"/>
              <w:jc w:val="center"/>
              <w:rPr>
                <w:rFonts w:ascii="Calibri" w:eastAsia="Times New Roman" w:hAnsi="Calibri" w:cs="Calibri"/>
                <w:b/>
                <w:bCs/>
                <w:i/>
                <w:iCs/>
                <w:sz w:val="24"/>
                <w:szCs w:val="24"/>
              </w:rPr>
            </w:pPr>
            <w:r>
              <w:rPr>
                <w:rFonts w:ascii="Calibri" w:hAnsi="Calibri"/>
                <w:b/>
                <w:bCs/>
                <w:i/>
                <w:iCs/>
                <w:sz w:val="24"/>
                <w:szCs w:val="24"/>
              </w:rPr>
              <w:lastRenderedPageBreak/>
              <w:t>MONITORING THE IMPLEMENTATION OF THE KESIP FOR THE PERIOD 2022-2025: STRATEGIC OBJECTIVE 4</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jc w:val="center"/>
              <w:rPr>
                <w:rFonts w:ascii="Calibri" w:eastAsia="Times New Roman" w:hAnsi="Calibri" w:cs="Calibri"/>
                <w:b/>
                <w:bCs/>
                <w:i/>
                <w:iCs/>
                <w:sz w:val="18"/>
                <w:szCs w:val="18"/>
              </w:rPr>
            </w:pPr>
          </w:p>
        </w:tc>
      </w:tr>
      <w:tr w:rsidR="00001E51" w:rsidTr="007D73EC">
        <w:trPr>
          <w:trHeight w:val="885"/>
        </w:trPr>
        <w:tc>
          <w:tcPr>
            <w:tcW w:w="3889" w:type="pct"/>
            <w:gridSpan w:val="11"/>
            <w:tcBorders>
              <w:top w:val="nil"/>
              <w:left w:val="nil"/>
              <w:bottom w:val="single" w:sz="8" w:space="0" w:color="auto"/>
              <w:right w:val="nil"/>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SO4: STRENGTHENING REGIONAL COOPERATION AND MARKET FUNCTIONING</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7D73EC">
        <w:trPr>
          <w:trHeight w:val="1275"/>
        </w:trPr>
        <w:tc>
          <w:tcPr>
            <w:tcW w:w="240" w:type="pct"/>
            <w:tcBorders>
              <w:top w:val="nil"/>
              <w:left w:val="single" w:sz="8" w:space="0" w:color="auto"/>
              <w:bottom w:val="single" w:sz="8" w:space="0" w:color="auto"/>
              <w:right w:val="single" w:sz="8" w:space="0" w:color="auto"/>
            </w:tcBorders>
            <w:shd w:val="clear" w:color="000000" w:fill="BDD6E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626" w:type="pct"/>
            <w:tcBorders>
              <w:top w:val="nil"/>
              <w:left w:val="nil"/>
              <w:bottom w:val="nil"/>
              <w:right w:val="single" w:sz="8" w:space="0" w:color="auto"/>
            </w:tcBorders>
            <w:shd w:val="clear" w:color="000000" w:fill="BDD6EE"/>
            <w:vAlign w:val="center"/>
            <w:hideMark/>
          </w:tcPr>
          <w:p w:rsidR="00571EAF" w:rsidRPr="00682BBE"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Strategic and specific objectives, indicators and actions</w:t>
            </w:r>
          </w:p>
        </w:tc>
        <w:tc>
          <w:tcPr>
            <w:tcW w:w="856" w:type="pct"/>
            <w:gridSpan w:val="3"/>
            <w:tcBorders>
              <w:top w:val="single" w:sz="8" w:space="0" w:color="auto"/>
              <w:left w:val="nil"/>
              <w:bottom w:val="nil"/>
              <w:right w:val="single" w:sz="8" w:space="0" w:color="000000"/>
            </w:tcBorders>
            <w:shd w:val="clear" w:color="000000" w:fill="BDD6E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Baseline value</w:t>
            </w:r>
          </w:p>
        </w:tc>
        <w:tc>
          <w:tcPr>
            <w:tcW w:w="766" w:type="pct"/>
            <w:gridSpan w:val="2"/>
            <w:tcBorders>
              <w:top w:val="single" w:sz="8" w:space="0" w:color="auto"/>
              <w:left w:val="nil"/>
              <w:bottom w:val="single" w:sz="8" w:space="0" w:color="auto"/>
              <w:right w:val="single" w:sz="8" w:space="0" w:color="000000"/>
            </w:tcBorders>
            <w:shd w:val="clear" w:color="000000" w:fill="BDD6E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Interim Objective</w:t>
            </w:r>
          </w:p>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65" w:type="pct"/>
            <w:tcBorders>
              <w:top w:val="nil"/>
              <w:left w:val="nil"/>
              <w:bottom w:val="nil"/>
              <w:right w:val="single" w:sz="8" w:space="0" w:color="auto"/>
            </w:tcBorders>
            <w:shd w:val="clear" w:color="000000" w:fill="BDD6E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36" w:type="pct"/>
            <w:gridSpan w:val="3"/>
            <w:tcBorders>
              <w:top w:val="single" w:sz="8" w:space="0" w:color="auto"/>
              <w:left w:val="nil"/>
              <w:bottom w:val="nil"/>
              <w:right w:val="single" w:sz="8" w:space="0" w:color="000000"/>
            </w:tcBorders>
            <w:shd w:val="clear" w:color="000000" w:fill="BDD6E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Outcome</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7D73EC">
        <w:trPr>
          <w:trHeight w:val="330"/>
        </w:trPr>
        <w:tc>
          <w:tcPr>
            <w:tcW w:w="240" w:type="pct"/>
            <w:tcBorders>
              <w:top w:val="nil"/>
              <w:left w:val="single" w:sz="8" w:space="0" w:color="auto"/>
              <w:bottom w:val="single" w:sz="8" w:space="0" w:color="auto"/>
              <w:right w:val="single" w:sz="8" w:space="0" w:color="auto"/>
            </w:tcBorders>
            <w:shd w:val="clear" w:color="000000" w:fill="BFBFBF"/>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IV.</w:t>
            </w:r>
          </w:p>
        </w:tc>
        <w:tc>
          <w:tcPr>
            <w:tcW w:w="3649" w:type="pct"/>
            <w:gridSpan w:val="10"/>
            <w:tcBorders>
              <w:top w:val="single" w:sz="8" w:space="0" w:color="auto"/>
              <w:left w:val="nil"/>
              <w:bottom w:val="single" w:sz="8" w:space="0" w:color="auto"/>
              <w:right w:val="single" w:sz="8" w:space="0" w:color="000000"/>
            </w:tcBorders>
            <w:shd w:val="clear" w:color="000000" w:fill="BFBFBF"/>
            <w:vAlign w:val="center"/>
            <w:hideMark/>
          </w:tcPr>
          <w:p w:rsidR="00571EAF" w:rsidRPr="00682BBE"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STRATEGIC OBJECTIVE 4: STRENGTHENING REGIONAL COOPERATION AND MARKET FUNCTIONING</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r>
      <w:tr w:rsidR="00001E51" w:rsidTr="007D73EC">
        <w:trPr>
          <w:trHeight w:val="1275"/>
        </w:trPr>
        <w:tc>
          <w:tcPr>
            <w:tcW w:w="240" w:type="pct"/>
            <w:tcBorders>
              <w:top w:val="nil"/>
              <w:left w:val="single" w:sz="8" w:space="0" w:color="auto"/>
              <w:bottom w:val="nil"/>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626" w:type="pct"/>
            <w:tcBorders>
              <w:top w:val="nil"/>
              <w:left w:val="nil"/>
              <w:bottom w:val="nil"/>
              <w:right w:val="single" w:sz="8" w:space="0" w:color="auto"/>
            </w:tcBorders>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Market integration into pan-European energy markets</w:t>
            </w:r>
          </w:p>
        </w:tc>
        <w:tc>
          <w:tcPr>
            <w:tcW w:w="856" w:type="pct"/>
            <w:gridSpan w:val="3"/>
            <w:tcBorders>
              <w:top w:val="single" w:sz="8" w:space="0" w:color="auto"/>
              <w:left w:val="nil"/>
              <w:bottom w:val="nil"/>
              <w:right w:val="single" w:sz="8" w:space="0" w:color="000000"/>
            </w:tcBorders>
            <w:vAlign w:val="center"/>
            <w:hideMark/>
          </w:tcPr>
          <w:p w:rsidR="00571EAF" w:rsidRPr="00682BBE" w:rsidRDefault="00571EAF" w:rsidP="00571EAF">
            <w:pPr>
              <w:spacing w:after="0" w:line="240" w:lineRule="auto"/>
              <w:jc w:val="center"/>
              <w:rPr>
                <w:rFonts w:ascii="Times New Roman" w:eastAsia="Times New Roman" w:hAnsi="Times New Roman" w:cs="Times New Roman"/>
                <w:sz w:val="18"/>
                <w:szCs w:val="18"/>
              </w:rPr>
            </w:pP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Not implemented.</w:t>
            </w:r>
          </w:p>
        </w:tc>
        <w:tc>
          <w:tcPr>
            <w:tcW w:w="766" w:type="pct"/>
            <w:gridSpan w:val="2"/>
            <w:tcBorders>
              <w:top w:val="single" w:sz="8" w:space="0" w:color="auto"/>
              <w:left w:val="nil"/>
              <w:bottom w:val="nil"/>
              <w:right w:val="single" w:sz="8" w:space="0" w:color="000000"/>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Market integration </w:t>
            </w: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with Albania</w:t>
            </w: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465" w:type="pct"/>
            <w:tcBorders>
              <w:top w:val="nil"/>
              <w:left w:val="nil"/>
              <w:bottom w:val="nil"/>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Membership in </w:t>
            </w: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Pan-European</w:t>
            </w: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market area</w:t>
            </w:r>
          </w:p>
        </w:tc>
        <w:tc>
          <w:tcPr>
            <w:tcW w:w="936" w:type="pct"/>
            <w:gridSpan w:val="3"/>
            <w:tcBorders>
              <w:top w:val="single" w:sz="8" w:space="0" w:color="auto"/>
              <w:left w:val="nil"/>
              <w:bottom w:val="nil"/>
              <w:right w:val="single" w:sz="8" w:space="0" w:color="000000"/>
            </w:tcBorders>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rPr>
                <w:rFonts w:ascii="Times New Roman" w:eastAsia="Times New Roman" w:hAnsi="Times New Roman" w:cs="Times New Roman"/>
                <w:sz w:val="18"/>
                <w:szCs w:val="18"/>
              </w:rPr>
            </w:pPr>
          </w:p>
        </w:tc>
      </w:tr>
      <w:tr w:rsidR="00001E51" w:rsidTr="007D73EC">
        <w:trPr>
          <w:trHeight w:val="330"/>
        </w:trPr>
        <w:tc>
          <w:tcPr>
            <w:tcW w:w="240"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IV.1</w:t>
            </w:r>
          </w:p>
        </w:tc>
        <w:tc>
          <w:tcPr>
            <w:tcW w:w="3649"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682BBE"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Strengthening regional cooperation</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r>
      <w:tr w:rsidR="00001E51" w:rsidTr="007D73EC">
        <w:trPr>
          <w:trHeight w:val="960"/>
        </w:trPr>
        <w:tc>
          <w:tcPr>
            <w:tcW w:w="240" w:type="pct"/>
            <w:tcBorders>
              <w:top w:val="nil"/>
              <w:left w:val="single" w:sz="8" w:space="0" w:color="auto"/>
              <w:bottom w:val="single" w:sz="8" w:space="0" w:color="auto"/>
              <w:right w:val="single" w:sz="8" w:space="0" w:color="auto"/>
            </w:tcBorders>
            <w:shd w:val="clear" w:color="000000" w:fill="D0CEC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626" w:type="pct"/>
            <w:tcBorders>
              <w:top w:val="nil"/>
              <w:left w:val="nil"/>
              <w:bottom w:val="nil"/>
              <w:right w:val="single" w:sz="8" w:space="0" w:color="auto"/>
            </w:tcBorders>
            <w:shd w:val="clear" w:color="000000" w:fill="D0CEC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856" w:type="pct"/>
            <w:gridSpan w:val="3"/>
            <w:tcBorders>
              <w:top w:val="single" w:sz="8" w:space="0" w:color="auto"/>
              <w:left w:val="nil"/>
              <w:bottom w:val="single" w:sz="8" w:space="0" w:color="auto"/>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766"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65" w:type="pct"/>
            <w:tcBorders>
              <w:top w:val="nil"/>
              <w:left w:val="single" w:sz="8" w:space="0" w:color="auto"/>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36"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7D73EC">
        <w:trPr>
          <w:trHeight w:val="960"/>
        </w:trPr>
        <w:tc>
          <w:tcPr>
            <w:tcW w:w="240" w:type="pct"/>
            <w:tcBorders>
              <w:top w:val="nil"/>
              <w:left w:val="single" w:sz="8" w:space="0" w:color="auto"/>
              <w:bottom w:val="nil"/>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626" w:type="pct"/>
            <w:tcBorders>
              <w:top w:val="single" w:sz="8" w:space="0" w:color="auto"/>
              <w:left w:val="nil"/>
              <w:bottom w:val="nil"/>
              <w:right w:val="single" w:sz="8" w:space="0" w:color="auto"/>
            </w:tcBorders>
            <w:vAlign w:val="center"/>
            <w:hideMark/>
          </w:tcPr>
          <w:p w:rsid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Cross-border offered capacity/</w:t>
            </w:r>
          </w:p>
          <w:p w:rsidR="00571EAF"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Nominal cross-border capacity.</w:t>
            </w: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Default="00013F4C" w:rsidP="00571EAF">
            <w:pPr>
              <w:spacing w:after="0" w:line="240" w:lineRule="auto"/>
              <w:rPr>
                <w:rFonts w:ascii="Times New Roman" w:eastAsia="Times New Roman" w:hAnsi="Times New Roman" w:cs="Times New Roman"/>
                <w:sz w:val="18"/>
                <w:szCs w:val="18"/>
              </w:rPr>
            </w:pPr>
          </w:p>
          <w:p w:rsidR="00013F4C" w:rsidRPr="00682BBE" w:rsidRDefault="00013F4C" w:rsidP="00571EAF">
            <w:pPr>
              <w:spacing w:after="0" w:line="240" w:lineRule="auto"/>
              <w:rPr>
                <w:rFonts w:ascii="Times New Roman" w:eastAsia="Times New Roman" w:hAnsi="Times New Roman" w:cs="Times New Roman"/>
                <w:sz w:val="18"/>
                <w:szCs w:val="18"/>
              </w:rPr>
            </w:pPr>
          </w:p>
        </w:tc>
        <w:tc>
          <w:tcPr>
            <w:tcW w:w="856" w:type="pct"/>
            <w:gridSpan w:val="3"/>
            <w:tcBorders>
              <w:top w:val="single" w:sz="8" w:space="0" w:color="auto"/>
              <w:left w:val="nil"/>
              <w:bottom w:val="single" w:sz="8" w:space="0" w:color="auto"/>
              <w:right w:val="single" w:sz="8" w:space="0" w:color="000000"/>
            </w:tcBorders>
            <w:hideMark/>
          </w:tcPr>
          <w:p w:rsidR="00571EAF" w:rsidRPr="00682BBE" w:rsidRDefault="00571EAF" w:rsidP="00571EAF">
            <w:pPr>
              <w:spacing w:after="240" w:line="240" w:lineRule="auto"/>
              <w:jc w:val="center"/>
              <w:rPr>
                <w:rFonts w:ascii="Times New Roman" w:eastAsia="Times New Roman" w:hAnsi="Times New Roman" w:cs="Times New Roman"/>
                <w:sz w:val="18"/>
                <w:szCs w:val="18"/>
              </w:rPr>
            </w:pPr>
          </w:p>
          <w:p w:rsidR="00571EAF" w:rsidRPr="00682BBE" w:rsidRDefault="001E0569" w:rsidP="00571EAF">
            <w:pPr>
              <w:spacing w:after="24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Export: 22-24%, </w:t>
            </w:r>
          </w:p>
          <w:p w:rsidR="00571EAF" w:rsidRPr="00682BBE" w:rsidRDefault="001E0569" w:rsidP="00571EAF">
            <w:pPr>
              <w:spacing w:after="240" w:line="240" w:lineRule="auto"/>
              <w:jc w:val="center"/>
              <w:rPr>
                <w:rFonts w:ascii="Times New Roman" w:eastAsia="Times New Roman" w:hAnsi="Times New Roman" w:cs="Times New Roman"/>
                <w:sz w:val="18"/>
                <w:szCs w:val="18"/>
              </w:rPr>
            </w:pPr>
            <w:r>
              <w:rPr>
                <w:rFonts w:ascii="Times New Roman" w:hAnsi="Times New Roman"/>
                <w:sz w:val="18"/>
                <w:szCs w:val="18"/>
              </w:rPr>
              <w:t>Import: 24-26%</w:t>
            </w:r>
          </w:p>
        </w:tc>
        <w:tc>
          <w:tcPr>
            <w:tcW w:w="766" w:type="pct"/>
            <w:gridSpan w:val="2"/>
            <w:tcBorders>
              <w:top w:val="single" w:sz="8" w:space="0" w:color="auto"/>
              <w:left w:val="nil"/>
              <w:bottom w:val="single" w:sz="8" w:space="0" w:color="auto"/>
              <w:right w:val="single" w:sz="8" w:space="0" w:color="000000"/>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Each direction</w:t>
            </w: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 minimum of 28-30%</w:t>
            </w:r>
          </w:p>
        </w:tc>
        <w:tc>
          <w:tcPr>
            <w:tcW w:w="465" w:type="pct"/>
            <w:tcBorders>
              <w:top w:val="nil"/>
              <w:left w:val="nil"/>
              <w:bottom w:val="nil"/>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Each direction 70%</w:t>
            </w:r>
          </w:p>
        </w:tc>
        <w:tc>
          <w:tcPr>
            <w:tcW w:w="936" w:type="pct"/>
            <w:gridSpan w:val="3"/>
            <w:tcBorders>
              <w:top w:val="single" w:sz="8" w:space="0" w:color="auto"/>
              <w:left w:val="nil"/>
              <w:bottom w:val="nil"/>
              <w:right w:val="single" w:sz="8" w:space="0" w:color="000000"/>
            </w:tcBorders>
            <w:shd w:val="clear" w:color="000000" w:fill="FFFFFF"/>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rPr>
                <w:rFonts w:ascii="Times New Roman" w:eastAsia="Times New Roman" w:hAnsi="Times New Roman" w:cs="Times New Roman"/>
                <w:sz w:val="18"/>
                <w:szCs w:val="18"/>
              </w:rPr>
            </w:pPr>
          </w:p>
        </w:tc>
      </w:tr>
      <w:tr w:rsidR="00001E51" w:rsidTr="007D73EC">
        <w:trPr>
          <w:trHeight w:val="315"/>
        </w:trPr>
        <w:tc>
          <w:tcPr>
            <w:tcW w:w="24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62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44"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378" w:type="pct"/>
            <w:gridSpan w:val="4"/>
            <w:tcBorders>
              <w:top w:val="single" w:sz="8" w:space="0" w:color="auto"/>
              <w:left w:val="nil"/>
              <w:bottom w:val="single" w:sz="8" w:space="0" w:color="auto"/>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34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1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Implementation progress January - June 2025</w:t>
            </w:r>
          </w:p>
        </w:tc>
      </w:tr>
      <w:tr w:rsidR="00001E51" w:rsidTr="007D73EC">
        <w:trPr>
          <w:trHeight w:val="315"/>
        </w:trPr>
        <w:tc>
          <w:tcPr>
            <w:tcW w:w="240"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06" w:type="pct"/>
            <w:tcBorders>
              <w:top w:val="nil"/>
              <w:left w:val="nil"/>
              <w:bottom w:val="nil"/>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06" w:type="pct"/>
            <w:tcBorders>
              <w:top w:val="nil"/>
              <w:left w:val="nil"/>
              <w:bottom w:val="nil"/>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06" w:type="pct"/>
            <w:tcBorders>
              <w:top w:val="nil"/>
              <w:left w:val="nil"/>
              <w:bottom w:val="nil"/>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60" w:type="pct"/>
            <w:tcBorders>
              <w:top w:val="nil"/>
              <w:left w:val="nil"/>
              <w:bottom w:val="nil"/>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47"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1111"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Calibri" w:eastAsia="Times New Roman" w:hAnsi="Calibri" w:cs="Calibri"/>
                <w:b/>
                <w:bCs/>
                <w:sz w:val="18"/>
                <w:szCs w:val="18"/>
              </w:rPr>
            </w:pPr>
          </w:p>
        </w:tc>
      </w:tr>
      <w:tr w:rsidR="00001E51" w:rsidTr="007D73EC">
        <w:trPr>
          <w:trHeight w:val="330"/>
        </w:trPr>
        <w:tc>
          <w:tcPr>
            <w:tcW w:w="240"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06" w:type="pct"/>
            <w:tcBorders>
              <w:top w:val="nil"/>
              <w:left w:val="nil"/>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406" w:type="pct"/>
            <w:tcBorders>
              <w:top w:val="nil"/>
              <w:left w:val="nil"/>
              <w:bottom w:val="single" w:sz="8" w:space="0" w:color="auto"/>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406" w:type="pct"/>
            <w:tcBorders>
              <w:top w:val="nil"/>
              <w:left w:val="nil"/>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360" w:type="pct"/>
            <w:tcBorders>
              <w:top w:val="nil"/>
              <w:left w:val="nil"/>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47"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1111"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Calibri" w:eastAsia="Times New Roman" w:hAnsi="Calibri" w:cs="Calibri"/>
                <w:b/>
                <w:bCs/>
                <w:sz w:val="18"/>
                <w:szCs w:val="18"/>
              </w:rPr>
            </w:pPr>
          </w:p>
        </w:tc>
      </w:tr>
      <w:tr w:rsidR="00001E51" w:rsidTr="007D73EC">
        <w:trPr>
          <w:trHeight w:val="2820"/>
        </w:trPr>
        <w:tc>
          <w:tcPr>
            <w:tcW w:w="240" w:type="pct"/>
            <w:tcBorders>
              <w:top w:val="nil"/>
              <w:left w:val="single" w:sz="8" w:space="0" w:color="auto"/>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IV.1.1</w:t>
            </w:r>
          </w:p>
        </w:tc>
        <w:tc>
          <w:tcPr>
            <w:tcW w:w="626"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The day-ahead market coupling with Albania through ALPEX Power Exchange.</w:t>
            </w:r>
          </w:p>
        </w:tc>
        <w:tc>
          <w:tcPr>
            <w:tcW w:w="244"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06"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vMerge w:val="restart"/>
            <w:tcBorders>
              <w:top w:val="nil"/>
              <w:left w:val="single" w:sz="8" w:space="0" w:color="auto"/>
              <w:bottom w:val="single" w:sz="8" w:space="0" w:color="000000"/>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1,400,000.00 </w:t>
            </w:r>
          </w:p>
        </w:tc>
        <w:tc>
          <w:tcPr>
            <w:tcW w:w="406"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60"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ALPEX</w:t>
            </w:r>
          </w:p>
        </w:tc>
        <w:tc>
          <w:tcPr>
            <w:tcW w:w="311" w:type="pct"/>
            <w:vMerge w:val="restart"/>
            <w:tcBorders>
              <w:top w:val="nil"/>
              <w:left w:val="single" w:sz="8" w:space="0" w:color="auto"/>
              <w:bottom w:val="single" w:sz="8" w:space="0" w:color="000000"/>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ALPEX, KOSTT, ERO, ME</w:t>
            </w:r>
          </w:p>
        </w:tc>
        <w:tc>
          <w:tcPr>
            <w:tcW w:w="347"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Integration of wholesale energy markets</w:t>
            </w:r>
          </w:p>
        </w:tc>
        <w:tc>
          <w:tcPr>
            <w:tcW w:w="278"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ALPEX rules </w:t>
            </w:r>
          </w:p>
        </w:tc>
        <w:tc>
          <w:tcPr>
            <w:tcW w:w="1111" w:type="pct"/>
            <w:tcBorders>
              <w:top w:val="single" w:sz="8" w:space="0" w:color="auto"/>
              <w:left w:val="single" w:sz="8" w:space="0" w:color="auto"/>
              <w:bottom w:val="single" w:sz="8" w:space="0" w:color="auto"/>
              <w:right w:val="single" w:sz="8" w:space="0" w:color="auto"/>
            </w:tcBorders>
            <w:vAlign w:val="center"/>
            <w:hideMark/>
          </w:tcPr>
          <w:p w:rsidR="00147B23" w:rsidRPr="000774FC" w:rsidRDefault="001E0569" w:rsidP="007109D4">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0774FC" w:rsidRPr="00147B23" w:rsidRDefault="000774FC" w:rsidP="007109D4">
            <w:pPr>
              <w:spacing w:after="0" w:line="240" w:lineRule="auto"/>
              <w:rPr>
                <w:rFonts w:ascii="Times New Roman" w:hAnsi="Times New Roman" w:cs="Times New Roman"/>
                <w:b/>
                <w:color w:val="000000" w:themeColor="text1"/>
                <w:sz w:val="18"/>
                <w:szCs w:val="18"/>
              </w:rPr>
            </w:pPr>
          </w:p>
          <w:p w:rsidR="00000A7B" w:rsidRPr="007109D4"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On 31 January 2024, ALPEX JSC commenced operations in the Kosovo trading zone, and on the same day, the Kosovo-Albania Market Coupling also commenced. </w:t>
            </w:r>
          </w:p>
        </w:tc>
      </w:tr>
      <w:tr w:rsidR="00001E51" w:rsidTr="007D73EC">
        <w:trPr>
          <w:trHeight w:val="2760"/>
        </w:trPr>
        <w:tc>
          <w:tcPr>
            <w:tcW w:w="240" w:type="pct"/>
            <w:tcBorders>
              <w:top w:val="nil"/>
              <w:left w:val="single" w:sz="8" w:space="0" w:color="auto"/>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IV.1.2</w:t>
            </w:r>
          </w:p>
        </w:tc>
        <w:tc>
          <w:tcPr>
            <w:tcW w:w="626"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The day-ahead market coupling with Albania through ALPEX Power Exchange.</w:t>
            </w:r>
          </w:p>
        </w:tc>
        <w:tc>
          <w:tcPr>
            <w:tcW w:w="244"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06"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vMerge/>
            <w:tcBorders>
              <w:top w:val="nil"/>
              <w:left w:val="single" w:sz="8" w:space="0" w:color="auto"/>
              <w:bottom w:val="single" w:sz="8" w:space="0" w:color="000000"/>
              <w:right w:val="single" w:sz="8" w:space="0" w:color="auto"/>
            </w:tcBorders>
            <w:vAlign w:val="center"/>
            <w:hideMark/>
          </w:tcPr>
          <w:p w:rsidR="00000A7B" w:rsidRPr="00682BBE" w:rsidRDefault="00000A7B" w:rsidP="00000A7B">
            <w:pPr>
              <w:spacing w:after="0" w:line="240" w:lineRule="auto"/>
              <w:rPr>
                <w:rFonts w:ascii="Times New Roman" w:eastAsia="Times New Roman" w:hAnsi="Times New Roman" w:cs="Times New Roman"/>
                <w:sz w:val="18"/>
                <w:szCs w:val="18"/>
              </w:rPr>
            </w:pPr>
          </w:p>
        </w:tc>
        <w:tc>
          <w:tcPr>
            <w:tcW w:w="406"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1,350,000.00 </w:t>
            </w:r>
          </w:p>
        </w:tc>
        <w:tc>
          <w:tcPr>
            <w:tcW w:w="360"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ALPEX</w:t>
            </w:r>
          </w:p>
        </w:tc>
        <w:tc>
          <w:tcPr>
            <w:tcW w:w="311" w:type="pct"/>
            <w:vMerge/>
            <w:tcBorders>
              <w:top w:val="nil"/>
              <w:left w:val="single" w:sz="8" w:space="0" w:color="auto"/>
              <w:bottom w:val="single" w:sz="8" w:space="0" w:color="000000"/>
              <w:right w:val="single" w:sz="8" w:space="0" w:color="auto"/>
            </w:tcBorders>
            <w:vAlign w:val="center"/>
            <w:hideMark/>
          </w:tcPr>
          <w:p w:rsidR="00000A7B" w:rsidRPr="00682BBE" w:rsidRDefault="00000A7B" w:rsidP="00000A7B">
            <w:pPr>
              <w:spacing w:after="0" w:line="240" w:lineRule="auto"/>
              <w:rPr>
                <w:rFonts w:ascii="Times New Roman" w:eastAsia="Times New Roman" w:hAnsi="Times New Roman" w:cs="Times New Roman"/>
                <w:sz w:val="18"/>
                <w:szCs w:val="18"/>
              </w:rPr>
            </w:pPr>
          </w:p>
        </w:tc>
        <w:tc>
          <w:tcPr>
            <w:tcW w:w="347"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Integration of wholesale energy markets</w:t>
            </w:r>
          </w:p>
        </w:tc>
        <w:tc>
          <w:tcPr>
            <w:tcW w:w="278" w:type="pct"/>
            <w:tcBorders>
              <w:top w:val="nil"/>
              <w:left w:val="nil"/>
              <w:bottom w:val="single" w:sz="8" w:space="0" w:color="auto"/>
              <w:right w:val="single" w:sz="8" w:space="0" w:color="auto"/>
            </w:tcBorders>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ALPEX rules </w:t>
            </w:r>
          </w:p>
        </w:tc>
        <w:tc>
          <w:tcPr>
            <w:tcW w:w="1111" w:type="pct"/>
            <w:tcBorders>
              <w:top w:val="nil"/>
              <w:left w:val="single" w:sz="8" w:space="0" w:color="auto"/>
              <w:bottom w:val="single" w:sz="8" w:space="0" w:color="auto"/>
              <w:right w:val="nil"/>
            </w:tcBorders>
            <w:vAlign w:val="center"/>
            <w:hideMark/>
          </w:tcPr>
          <w:p w:rsidR="008710D3" w:rsidRDefault="001E0569" w:rsidP="007109D4">
            <w:p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r>
              <w:rPr>
                <w:rFonts w:ascii="Times New Roman" w:hAnsi="Times New Roman"/>
                <w:color w:val="000000" w:themeColor="text1"/>
                <w:sz w:val="18"/>
                <w:szCs w:val="18"/>
              </w:rPr>
              <w:t xml:space="preserve"> </w:t>
            </w:r>
          </w:p>
          <w:p w:rsidR="00147B23" w:rsidRPr="00147B23" w:rsidRDefault="001E0569" w:rsidP="007109D4">
            <w:pPr>
              <w:spacing w:after="0" w:line="240" w:lineRule="auto"/>
              <w:rPr>
                <w:rFonts w:ascii="Times New Roman" w:hAnsi="Times New Roman" w:cs="Times New Roman"/>
                <w:b/>
                <w:color w:val="000000" w:themeColor="text1"/>
                <w:sz w:val="18"/>
                <w:szCs w:val="18"/>
              </w:rPr>
            </w:pPr>
            <w:r>
              <w:rPr>
                <w:rFonts w:ascii="Times New Roman" w:hAnsi="Times New Roman"/>
                <w:color w:val="000000" w:themeColor="text1"/>
                <w:sz w:val="18"/>
                <w:szCs w:val="18"/>
              </w:rPr>
              <w:t xml:space="preserve">          </w:t>
            </w:r>
          </w:p>
          <w:p w:rsidR="00000A7B" w:rsidRPr="007109D4"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“The day-ahead market coupling with Albania through ALPEX Power Exchange” was completed on 12 December 2024.  </w:t>
            </w:r>
          </w:p>
        </w:tc>
      </w:tr>
      <w:tr w:rsidR="00001E51" w:rsidTr="007D73EC">
        <w:trPr>
          <w:trHeight w:val="1620"/>
        </w:trPr>
        <w:tc>
          <w:tcPr>
            <w:tcW w:w="240" w:type="pct"/>
            <w:tcBorders>
              <w:top w:val="nil"/>
              <w:left w:val="single" w:sz="8" w:space="0" w:color="auto"/>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IV.1.3</w:t>
            </w:r>
          </w:p>
        </w:tc>
        <w:tc>
          <w:tcPr>
            <w:tcW w:w="626"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rPr>
                <w:rFonts w:ascii="Times New Roman" w:eastAsia="Times New Roman" w:hAnsi="Times New Roman" w:cs="Times New Roman"/>
                <w:sz w:val="18"/>
                <w:szCs w:val="18"/>
              </w:rPr>
            </w:pPr>
            <w:r>
              <w:rPr>
                <w:rFonts w:ascii="Times New Roman" w:hAnsi="Times New Roman"/>
                <w:sz w:val="18"/>
                <w:szCs w:val="18"/>
              </w:rPr>
              <w:t>Feasibility study on regional/European market coupling (SDAC, SIDC)</w:t>
            </w:r>
          </w:p>
        </w:tc>
        <w:tc>
          <w:tcPr>
            <w:tcW w:w="244"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06"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250,000.00 </w:t>
            </w:r>
          </w:p>
        </w:tc>
        <w:tc>
          <w:tcPr>
            <w:tcW w:w="360"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 Kosovo Budget (KB)</w:t>
            </w:r>
          </w:p>
        </w:tc>
        <w:tc>
          <w:tcPr>
            <w:tcW w:w="311"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KOSTT, ERO, ME</w:t>
            </w:r>
          </w:p>
        </w:tc>
        <w:tc>
          <w:tcPr>
            <w:tcW w:w="347"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Integration of wholesale energy markets</w:t>
            </w:r>
          </w:p>
        </w:tc>
        <w:tc>
          <w:tcPr>
            <w:tcW w:w="278" w:type="pct"/>
            <w:tcBorders>
              <w:top w:val="nil"/>
              <w:left w:val="nil"/>
              <w:bottom w:val="single" w:sz="8" w:space="0" w:color="auto"/>
              <w:right w:val="single" w:sz="8" w:space="0" w:color="auto"/>
            </w:tcBorders>
            <w:shd w:val="clear" w:color="000000" w:fill="FFFFFF"/>
            <w:vAlign w:val="center"/>
            <w:hideMark/>
          </w:tcPr>
          <w:p w:rsidR="00000A7B" w:rsidRPr="00682BBE" w:rsidRDefault="001E0569" w:rsidP="00000A7B">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111" w:type="pct"/>
            <w:tcBorders>
              <w:top w:val="nil"/>
              <w:left w:val="single" w:sz="8" w:space="0" w:color="auto"/>
              <w:bottom w:val="single" w:sz="8" w:space="0" w:color="auto"/>
              <w:right w:val="nil"/>
            </w:tcBorders>
            <w:vAlign w:val="center"/>
            <w:hideMark/>
          </w:tcPr>
          <w:p w:rsidR="00147B23" w:rsidRPr="00A71439" w:rsidRDefault="001E0569" w:rsidP="007109D4">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A71439" w:rsidRPr="00147B23" w:rsidRDefault="00A71439" w:rsidP="007109D4">
            <w:pPr>
              <w:spacing w:after="0" w:line="240" w:lineRule="auto"/>
              <w:rPr>
                <w:rFonts w:ascii="Times New Roman" w:hAnsi="Times New Roman" w:cs="Times New Roman"/>
                <w:b/>
                <w:color w:val="000000" w:themeColor="text1"/>
                <w:sz w:val="18"/>
                <w:szCs w:val="18"/>
              </w:rPr>
            </w:pPr>
          </w:p>
          <w:p w:rsidR="00000A7B"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In Athens, in November 2023, a memorandum was signed for market coupling by the exchanges, TSOs and regulators of Kosovo, Albania, North Macedonia and Greece. An analysis of the differences/gaps existing among the three regional TSOs has been prepared. The engaged experts are presenting </w:t>
            </w:r>
            <w:r>
              <w:rPr>
                <w:rFonts w:ascii="Times New Roman" w:hAnsi="Times New Roman"/>
                <w:color w:val="000000" w:themeColor="text1"/>
                <w:sz w:val="18"/>
                <w:szCs w:val="18"/>
              </w:rPr>
              <w:lastRenderedPageBreak/>
              <w:t xml:space="preserve">models of various methodologies that could/may be applied in our cases. </w:t>
            </w:r>
          </w:p>
        </w:tc>
      </w:tr>
      <w:tr w:rsidR="00001E51" w:rsidTr="007D73EC">
        <w:trPr>
          <w:trHeight w:val="330"/>
        </w:trPr>
        <w:tc>
          <w:tcPr>
            <w:tcW w:w="240" w:type="pct"/>
            <w:tcBorders>
              <w:top w:val="nil"/>
              <w:left w:val="single" w:sz="8" w:space="0" w:color="auto"/>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lastRenderedPageBreak/>
              <w:t>IV.2</w:t>
            </w:r>
          </w:p>
        </w:tc>
        <w:tc>
          <w:tcPr>
            <w:tcW w:w="3649"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682BBE" w:rsidRDefault="001E0569" w:rsidP="00571EAF">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Removal of barriers for the effective functioning of the market</w:t>
            </w:r>
          </w:p>
        </w:tc>
        <w:tc>
          <w:tcPr>
            <w:tcW w:w="1111" w:type="pct"/>
            <w:tcBorders>
              <w:top w:val="nil"/>
              <w:left w:val="nil"/>
              <w:bottom w:val="nil"/>
              <w:right w:val="nil"/>
            </w:tcBorders>
            <w:noWrap/>
            <w:vAlign w:val="bottom"/>
            <w:hideMark/>
          </w:tcPr>
          <w:p w:rsidR="00571EAF" w:rsidRPr="00147B23" w:rsidRDefault="00571EAF" w:rsidP="00571EAF">
            <w:pPr>
              <w:spacing w:after="0" w:line="240" w:lineRule="auto"/>
              <w:rPr>
                <w:rFonts w:ascii="Times New Roman" w:eastAsia="Times New Roman" w:hAnsi="Times New Roman" w:cs="Times New Roman"/>
                <w:b/>
                <w:bCs/>
                <w:color w:val="000000" w:themeColor="text1"/>
                <w:sz w:val="18"/>
                <w:szCs w:val="18"/>
              </w:rPr>
            </w:pPr>
          </w:p>
        </w:tc>
      </w:tr>
      <w:tr w:rsidR="00001E51" w:rsidTr="007D73EC">
        <w:trPr>
          <w:trHeight w:val="960"/>
        </w:trPr>
        <w:tc>
          <w:tcPr>
            <w:tcW w:w="240" w:type="pct"/>
            <w:tcBorders>
              <w:top w:val="nil"/>
              <w:left w:val="single" w:sz="8" w:space="0" w:color="auto"/>
              <w:bottom w:val="single" w:sz="8" w:space="0" w:color="auto"/>
              <w:right w:val="single" w:sz="8" w:space="0" w:color="auto"/>
            </w:tcBorders>
            <w:shd w:val="clear" w:color="000000" w:fill="D0CEC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626" w:type="pct"/>
            <w:tcBorders>
              <w:top w:val="nil"/>
              <w:left w:val="nil"/>
              <w:bottom w:val="single" w:sz="8" w:space="0" w:color="auto"/>
              <w:right w:val="single" w:sz="8" w:space="0" w:color="auto"/>
            </w:tcBorders>
            <w:shd w:val="clear" w:color="000000" w:fill="D0CECE"/>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856" w:type="pct"/>
            <w:gridSpan w:val="3"/>
            <w:tcBorders>
              <w:top w:val="single" w:sz="8" w:space="0" w:color="auto"/>
              <w:left w:val="nil"/>
              <w:bottom w:val="single" w:sz="8" w:space="0" w:color="auto"/>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766"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65" w:type="pct"/>
            <w:tcBorders>
              <w:top w:val="nil"/>
              <w:left w:val="single" w:sz="8" w:space="0" w:color="auto"/>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36"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7D73EC">
        <w:trPr>
          <w:trHeight w:val="645"/>
        </w:trPr>
        <w:tc>
          <w:tcPr>
            <w:tcW w:w="240" w:type="pct"/>
            <w:tcBorders>
              <w:top w:val="nil"/>
              <w:left w:val="single" w:sz="8" w:space="0" w:color="auto"/>
              <w:bottom w:val="single" w:sz="8" w:space="0" w:color="auto"/>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626" w:type="pct"/>
            <w:tcBorders>
              <w:top w:val="nil"/>
              <w:left w:val="nil"/>
              <w:bottom w:val="single" w:sz="8" w:space="0" w:color="auto"/>
              <w:right w:val="single" w:sz="8" w:space="0" w:color="auto"/>
            </w:tcBorders>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BSA withdrawal status</w:t>
            </w:r>
          </w:p>
        </w:tc>
        <w:tc>
          <w:tcPr>
            <w:tcW w:w="856" w:type="pct"/>
            <w:gridSpan w:val="3"/>
            <w:tcBorders>
              <w:top w:val="single" w:sz="8" w:space="0" w:color="auto"/>
              <w:left w:val="nil"/>
              <w:bottom w:val="single" w:sz="8" w:space="0" w:color="auto"/>
              <w:right w:val="single" w:sz="8" w:space="0" w:color="000000"/>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BSA available</w:t>
            </w:r>
          </w:p>
        </w:tc>
        <w:tc>
          <w:tcPr>
            <w:tcW w:w="766" w:type="pct"/>
            <w:gridSpan w:val="2"/>
            <w:tcBorders>
              <w:top w:val="single" w:sz="8" w:space="0" w:color="auto"/>
              <w:left w:val="nil"/>
              <w:bottom w:val="single" w:sz="8" w:space="0" w:color="auto"/>
              <w:right w:val="single" w:sz="8" w:space="0" w:color="000000"/>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removal of the</w:t>
            </w: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BSA begins</w:t>
            </w:r>
          </w:p>
        </w:tc>
        <w:tc>
          <w:tcPr>
            <w:tcW w:w="465" w:type="pct"/>
            <w:tcBorders>
              <w:top w:val="nil"/>
              <w:left w:val="nil"/>
              <w:bottom w:val="single" w:sz="8" w:space="0" w:color="auto"/>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BSA not</w:t>
            </w:r>
          </w:p>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available</w:t>
            </w:r>
          </w:p>
        </w:tc>
        <w:tc>
          <w:tcPr>
            <w:tcW w:w="936" w:type="pct"/>
            <w:gridSpan w:val="3"/>
            <w:tcBorders>
              <w:top w:val="single" w:sz="8" w:space="0" w:color="auto"/>
              <w:left w:val="nil"/>
              <w:bottom w:val="single" w:sz="8" w:space="0" w:color="auto"/>
              <w:right w:val="single" w:sz="8" w:space="0" w:color="000000"/>
            </w:tcBorders>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rPr>
                <w:rFonts w:ascii="Times New Roman" w:eastAsia="Times New Roman" w:hAnsi="Times New Roman" w:cs="Times New Roman"/>
                <w:sz w:val="18"/>
                <w:szCs w:val="18"/>
              </w:rPr>
            </w:pPr>
          </w:p>
        </w:tc>
      </w:tr>
      <w:tr w:rsidR="00001E51" w:rsidTr="007D73EC">
        <w:trPr>
          <w:trHeight w:val="1590"/>
        </w:trPr>
        <w:tc>
          <w:tcPr>
            <w:tcW w:w="240" w:type="pct"/>
            <w:tcBorders>
              <w:top w:val="nil"/>
              <w:left w:val="single" w:sz="8" w:space="0" w:color="auto"/>
              <w:bottom w:val="nil"/>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626" w:type="pct"/>
            <w:tcBorders>
              <w:top w:val="nil"/>
              <w:left w:val="nil"/>
              <w:bottom w:val="nil"/>
              <w:right w:val="single" w:sz="8" w:space="0" w:color="auto"/>
            </w:tcBorders>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Number of bids available to non-household customers</w:t>
            </w:r>
          </w:p>
        </w:tc>
        <w:tc>
          <w:tcPr>
            <w:tcW w:w="856" w:type="pct"/>
            <w:gridSpan w:val="3"/>
            <w:tcBorders>
              <w:top w:val="single" w:sz="8" w:space="0" w:color="auto"/>
              <w:left w:val="nil"/>
              <w:bottom w:val="nil"/>
              <w:right w:val="single" w:sz="8" w:space="0" w:color="000000"/>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766" w:type="pct"/>
            <w:gridSpan w:val="2"/>
            <w:tcBorders>
              <w:top w:val="single" w:sz="8" w:space="0" w:color="auto"/>
              <w:left w:val="nil"/>
              <w:bottom w:val="nil"/>
              <w:right w:val="single" w:sz="8" w:space="0" w:color="000000"/>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6</w:t>
            </w:r>
          </w:p>
        </w:tc>
        <w:tc>
          <w:tcPr>
            <w:tcW w:w="465" w:type="pct"/>
            <w:tcBorders>
              <w:top w:val="nil"/>
              <w:left w:val="nil"/>
              <w:bottom w:val="nil"/>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&gt; 6</w:t>
            </w:r>
          </w:p>
        </w:tc>
        <w:tc>
          <w:tcPr>
            <w:tcW w:w="936" w:type="pct"/>
            <w:gridSpan w:val="3"/>
            <w:tcBorders>
              <w:top w:val="single" w:sz="8" w:space="0" w:color="auto"/>
              <w:left w:val="nil"/>
              <w:bottom w:val="single" w:sz="8" w:space="0" w:color="auto"/>
              <w:right w:val="single" w:sz="8" w:space="0" w:color="000000"/>
            </w:tcBorders>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111" w:type="pct"/>
            <w:tcBorders>
              <w:top w:val="nil"/>
              <w:left w:val="nil"/>
              <w:bottom w:val="nil"/>
              <w:right w:val="nil"/>
            </w:tcBorders>
            <w:noWrap/>
            <w:vAlign w:val="bottom"/>
            <w:hideMark/>
          </w:tcPr>
          <w:p w:rsidR="00571EAF" w:rsidRPr="00682BBE" w:rsidRDefault="00571EAF" w:rsidP="00571EAF">
            <w:pPr>
              <w:spacing w:after="0" w:line="240" w:lineRule="auto"/>
              <w:rPr>
                <w:rFonts w:ascii="Times New Roman" w:eastAsia="Times New Roman" w:hAnsi="Times New Roman" w:cs="Times New Roman"/>
                <w:sz w:val="18"/>
                <w:szCs w:val="18"/>
              </w:rPr>
            </w:pPr>
          </w:p>
        </w:tc>
      </w:tr>
      <w:tr w:rsidR="00001E51" w:rsidTr="007D73EC">
        <w:trPr>
          <w:trHeight w:val="315"/>
        </w:trPr>
        <w:tc>
          <w:tcPr>
            <w:tcW w:w="24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62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4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378" w:type="pct"/>
            <w:gridSpan w:val="4"/>
            <w:tcBorders>
              <w:top w:val="single" w:sz="8" w:space="0" w:color="auto"/>
              <w:left w:val="nil"/>
              <w:bottom w:val="single" w:sz="8" w:space="0" w:color="auto"/>
              <w:right w:val="nil"/>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1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34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27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1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Implementation progress January - June 2025</w:t>
            </w:r>
          </w:p>
        </w:tc>
      </w:tr>
      <w:tr w:rsidR="00001E51" w:rsidTr="007D73EC">
        <w:trPr>
          <w:trHeight w:val="315"/>
        </w:trPr>
        <w:tc>
          <w:tcPr>
            <w:tcW w:w="240"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44"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06" w:type="pct"/>
            <w:tcBorders>
              <w:top w:val="nil"/>
              <w:left w:val="nil"/>
              <w:bottom w:val="nil"/>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06" w:type="pct"/>
            <w:tcBorders>
              <w:top w:val="nil"/>
              <w:left w:val="nil"/>
              <w:bottom w:val="nil"/>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06" w:type="pct"/>
            <w:tcBorders>
              <w:top w:val="nil"/>
              <w:left w:val="nil"/>
              <w:bottom w:val="nil"/>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60" w:type="pct"/>
            <w:tcBorders>
              <w:top w:val="nil"/>
              <w:left w:val="nil"/>
              <w:bottom w:val="nil"/>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47"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1111"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r>
      <w:tr w:rsidR="00001E51" w:rsidTr="007D73EC">
        <w:trPr>
          <w:trHeight w:val="330"/>
        </w:trPr>
        <w:tc>
          <w:tcPr>
            <w:tcW w:w="240"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44"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06" w:type="pct"/>
            <w:tcBorders>
              <w:top w:val="nil"/>
              <w:left w:val="nil"/>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406" w:type="pct"/>
            <w:tcBorders>
              <w:top w:val="nil"/>
              <w:left w:val="nil"/>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406" w:type="pct"/>
            <w:tcBorders>
              <w:top w:val="nil"/>
              <w:left w:val="nil"/>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360" w:type="pct"/>
            <w:tcBorders>
              <w:top w:val="nil"/>
              <w:left w:val="nil"/>
              <w:bottom w:val="single" w:sz="8" w:space="0" w:color="auto"/>
              <w:right w:val="single" w:sz="8" w:space="0" w:color="auto"/>
            </w:tcBorders>
            <w:shd w:val="clear" w:color="000000" w:fill="D9D9D9"/>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347"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278" w:type="pct"/>
            <w:vMerge/>
            <w:tcBorders>
              <w:top w:val="nil"/>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c>
          <w:tcPr>
            <w:tcW w:w="1111" w:type="pct"/>
            <w:vMerge/>
            <w:tcBorders>
              <w:top w:val="single" w:sz="8" w:space="0" w:color="auto"/>
              <w:left w:val="single" w:sz="8" w:space="0" w:color="auto"/>
              <w:bottom w:val="single" w:sz="8" w:space="0" w:color="000000"/>
              <w:right w:val="single" w:sz="8" w:space="0" w:color="auto"/>
            </w:tcBorders>
            <w:vAlign w:val="center"/>
            <w:hideMark/>
          </w:tcPr>
          <w:p w:rsidR="00571EAF" w:rsidRPr="00682BBE" w:rsidRDefault="00571EAF" w:rsidP="00571EAF">
            <w:pPr>
              <w:spacing w:after="0" w:line="240" w:lineRule="auto"/>
              <w:rPr>
                <w:rFonts w:ascii="Times New Roman" w:eastAsia="Times New Roman" w:hAnsi="Times New Roman" w:cs="Times New Roman"/>
                <w:b/>
                <w:bCs/>
                <w:sz w:val="18"/>
                <w:szCs w:val="18"/>
              </w:rPr>
            </w:pPr>
          </w:p>
        </w:tc>
      </w:tr>
      <w:tr w:rsidR="00001E51" w:rsidTr="007D73EC">
        <w:trPr>
          <w:trHeight w:val="1060"/>
        </w:trPr>
        <w:tc>
          <w:tcPr>
            <w:tcW w:w="240" w:type="pct"/>
            <w:tcBorders>
              <w:top w:val="nil"/>
              <w:left w:val="single" w:sz="8" w:space="0" w:color="auto"/>
              <w:bottom w:val="single" w:sz="8" w:space="0" w:color="auto"/>
              <w:right w:val="single" w:sz="8" w:space="0" w:color="auto"/>
            </w:tcBorders>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IV.2.1</w:t>
            </w:r>
          </w:p>
        </w:tc>
        <w:tc>
          <w:tcPr>
            <w:tcW w:w="626" w:type="pct"/>
            <w:tcBorders>
              <w:top w:val="nil"/>
              <w:left w:val="nil"/>
              <w:bottom w:val="single" w:sz="8" w:space="0" w:color="auto"/>
              <w:right w:val="single" w:sz="8" w:space="0" w:color="auto"/>
            </w:tcBorders>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adoption of Law on Energy.</w:t>
            </w:r>
          </w:p>
        </w:tc>
        <w:tc>
          <w:tcPr>
            <w:tcW w:w="244"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06"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13,500.00 </w:t>
            </w:r>
          </w:p>
        </w:tc>
        <w:tc>
          <w:tcPr>
            <w:tcW w:w="406"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60"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11"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 KOSTT, KEK</w:t>
            </w:r>
          </w:p>
        </w:tc>
        <w:tc>
          <w:tcPr>
            <w:tcW w:w="347"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adopted and aligned with EU directives</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2022 - 2031 </w:t>
            </w:r>
          </w:p>
        </w:tc>
        <w:tc>
          <w:tcPr>
            <w:tcW w:w="1111" w:type="pct"/>
            <w:tcBorders>
              <w:top w:val="nil"/>
              <w:left w:val="nil"/>
              <w:bottom w:val="single" w:sz="8" w:space="0" w:color="auto"/>
              <w:right w:val="single" w:sz="8" w:space="0" w:color="auto"/>
            </w:tcBorders>
            <w:vAlign w:val="center"/>
            <w:hideMark/>
          </w:tcPr>
          <w:p w:rsidR="00147B23" w:rsidRPr="00C975B8" w:rsidRDefault="001E0569" w:rsidP="00C91F78">
            <w:pPr>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 xml:space="preserve">Eighty-five percent (85%) </w:t>
            </w:r>
          </w:p>
          <w:p w:rsidR="00C156C8" w:rsidRPr="00C41D4F" w:rsidRDefault="001E0569" w:rsidP="00C91F78">
            <w:pPr>
              <w:rPr>
                <w:rFonts w:ascii="Times New Roman" w:hAnsi="Times New Roman" w:cs="Times New Roman"/>
                <w:color w:val="000000" w:themeColor="text1"/>
                <w:sz w:val="18"/>
                <w:szCs w:val="18"/>
              </w:rPr>
            </w:pPr>
            <w:r>
              <w:rPr>
                <w:rFonts w:ascii="Times New Roman" w:hAnsi="Times New Roman"/>
                <w:color w:val="000000" w:themeColor="text1"/>
                <w:sz w:val="18"/>
                <w:szCs w:val="18"/>
              </w:rPr>
              <w:t>There are no developments.</w:t>
            </w:r>
          </w:p>
          <w:p w:rsidR="00571EAF" w:rsidRPr="00C41D4F" w:rsidRDefault="001E0569" w:rsidP="00C91F78">
            <w:pPr>
              <w:spacing w:after="0" w:line="240" w:lineRule="auto"/>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 </w:t>
            </w:r>
          </w:p>
        </w:tc>
      </w:tr>
      <w:tr w:rsidR="00001E51" w:rsidTr="007D73EC">
        <w:trPr>
          <w:trHeight w:val="1605"/>
        </w:trPr>
        <w:tc>
          <w:tcPr>
            <w:tcW w:w="240" w:type="pct"/>
            <w:tcBorders>
              <w:top w:val="nil"/>
              <w:left w:val="single" w:sz="8" w:space="0" w:color="auto"/>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IV.2.2</w:t>
            </w:r>
          </w:p>
        </w:tc>
        <w:tc>
          <w:tcPr>
            <w:tcW w:w="626"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adopting bylaws based on the Law on Energy</w:t>
            </w:r>
          </w:p>
        </w:tc>
        <w:tc>
          <w:tcPr>
            <w:tcW w:w="244"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06"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30,800.00 </w:t>
            </w:r>
          </w:p>
        </w:tc>
        <w:tc>
          <w:tcPr>
            <w:tcW w:w="360"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11"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ME, ERO, KOSTT </w:t>
            </w:r>
          </w:p>
        </w:tc>
        <w:tc>
          <w:tcPr>
            <w:tcW w:w="347"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Secondary legislation adopted </w:t>
            </w:r>
          </w:p>
        </w:tc>
        <w:tc>
          <w:tcPr>
            <w:tcW w:w="278"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111" w:type="pct"/>
            <w:tcBorders>
              <w:top w:val="nil"/>
              <w:left w:val="nil"/>
              <w:bottom w:val="single" w:sz="8" w:space="0" w:color="auto"/>
              <w:right w:val="single" w:sz="8" w:space="0" w:color="auto"/>
            </w:tcBorders>
            <w:shd w:val="clear" w:color="000000" w:fill="FFFFFF"/>
            <w:vAlign w:val="center"/>
            <w:hideMark/>
          </w:tcPr>
          <w:p w:rsidR="00147B23" w:rsidRDefault="001E0569" w:rsidP="00C91F78">
            <w:pPr>
              <w:spacing w:after="0" w:line="240" w:lineRule="auto"/>
              <w:rPr>
                <w:rFonts w:ascii="Times New Roman" w:eastAsia="Times New Roman" w:hAnsi="Times New Roman" w:cs="Times New Roman"/>
                <w:b/>
                <w:color w:val="000000" w:themeColor="text1"/>
                <w:sz w:val="18"/>
                <w:szCs w:val="18"/>
              </w:rPr>
            </w:pPr>
            <w:r>
              <w:rPr>
                <w:rFonts w:ascii="Times New Roman" w:hAnsi="Times New Roman"/>
                <w:b/>
                <w:color w:val="000000" w:themeColor="text1"/>
                <w:sz w:val="18"/>
                <w:szCs w:val="18"/>
              </w:rPr>
              <w:t xml:space="preserve">              Zero percent (0%)</w:t>
            </w:r>
          </w:p>
          <w:p w:rsidR="00944C93" w:rsidRPr="00DA3784" w:rsidRDefault="00944C93" w:rsidP="00C91F78">
            <w:pPr>
              <w:spacing w:after="0" w:line="240" w:lineRule="auto"/>
              <w:rPr>
                <w:rFonts w:ascii="Times New Roman" w:eastAsia="Times New Roman" w:hAnsi="Times New Roman" w:cs="Times New Roman"/>
                <w:b/>
                <w:color w:val="000000" w:themeColor="text1"/>
                <w:sz w:val="18"/>
                <w:szCs w:val="18"/>
              </w:rPr>
            </w:pPr>
          </w:p>
          <w:p w:rsidR="00571EAF" w:rsidRPr="00682BBE"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After the adoption of the Law on Energy, the drafting and adoption of the bylaws arising from the Law will continue.</w:t>
            </w:r>
          </w:p>
        </w:tc>
      </w:tr>
      <w:tr w:rsidR="00001E51" w:rsidTr="007D73EC">
        <w:trPr>
          <w:trHeight w:val="1690"/>
        </w:trPr>
        <w:tc>
          <w:tcPr>
            <w:tcW w:w="240" w:type="pct"/>
            <w:tcBorders>
              <w:top w:val="nil"/>
              <w:left w:val="single" w:sz="8" w:space="0" w:color="auto"/>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IV.2.3</w:t>
            </w:r>
          </w:p>
        </w:tc>
        <w:tc>
          <w:tcPr>
            <w:tcW w:w="62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adopting the Law on Energy.</w:t>
            </w:r>
          </w:p>
        </w:tc>
        <w:tc>
          <w:tcPr>
            <w:tcW w:w="244"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0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10,800.00 </w:t>
            </w:r>
          </w:p>
        </w:tc>
        <w:tc>
          <w:tcPr>
            <w:tcW w:w="40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60"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11"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KOSTT </w:t>
            </w:r>
          </w:p>
        </w:tc>
        <w:tc>
          <w:tcPr>
            <w:tcW w:w="347"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adopted and aligned with EU directives</w:t>
            </w:r>
          </w:p>
        </w:tc>
        <w:tc>
          <w:tcPr>
            <w:tcW w:w="278"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r>
              <w:rPr>
                <w:rFonts w:ascii="Times New Roman" w:hAnsi="Times New Roman"/>
                <w:sz w:val="18"/>
                <w:szCs w:val="18"/>
              </w:rPr>
              <w:br w:type="page"/>
            </w:r>
          </w:p>
        </w:tc>
        <w:tc>
          <w:tcPr>
            <w:tcW w:w="1111" w:type="pct"/>
            <w:tcBorders>
              <w:top w:val="nil"/>
              <w:left w:val="nil"/>
              <w:bottom w:val="single" w:sz="8" w:space="0" w:color="auto"/>
              <w:right w:val="single" w:sz="8" w:space="0" w:color="auto"/>
            </w:tcBorders>
            <w:vAlign w:val="center"/>
            <w:hideMark/>
          </w:tcPr>
          <w:p w:rsidR="00147B23" w:rsidRPr="00542FAE" w:rsidRDefault="001E0569" w:rsidP="00C91F78">
            <w:pPr>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Eighty-five percent (85%)</w:t>
            </w:r>
          </w:p>
          <w:p w:rsidR="00C156C8" w:rsidRPr="00147B23" w:rsidRDefault="001E0569" w:rsidP="00C91F78">
            <w:pPr>
              <w:rPr>
                <w:rFonts w:ascii="Times New Roman" w:hAnsi="Times New Roman" w:cs="Times New Roman"/>
                <w:color w:val="000000" w:themeColor="text1"/>
                <w:sz w:val="18"/>
                <w:szCs w:val="18"/>
              </w:rPr>
            </w:pPr>
            <w:r>
              <w:rPr>
                <w:rFonts w:ascii="Times New Roman" w:hAnsi="Times New Roman"/>
                <w:color w:val="000000" w:themeColor="text1"/>
                <w:sz w:val="18"/>
                <w:szCs w:val="18"/>
              </w:rPr>
              <w:t>There are no developments.</w:t>
            </w:r>
          </w:p>
          <w:p w:rsidR="00C156C8" w:rsidRPr="00C91F78" w:rsidRDefault="001E0569" w:rsidP="00C91F78">
            <w:pPr>
              <w:spacing w:after="0" w:line="240" w:lineRule="auto"/>
              <w:rPr>
                <w:rFonts w:ascii="Times New Roman" w:eastAsia="Times New Roman" w:hAnsi="Times New Roman" w:cs="Times New Roman"/>
                <w:sz w:val="18"/>
                <w:szCs w:val="18"/>
              </w:rPr>
            </w:pPr>
            <w:r>
              <w:rPr>
                <w:rFonts w:ascii="Times New Roman" w:hAnsi="Times New Roman"/>
                <w:sz w:val="18"/>
                <w:szCs w:val="18"/>
              </w:rPr>
              <w:t xml:space="preserve"> </w:t>
            </w:r>
          </w:p>
        </w:tc>
      </w:tr>
      <w:tr w:rsidR="00001E51" w:rsidTr="007D73EC">
        <w:trPr>
          <w:trHeight w:val="1830"/>
        </w:trPr>
        <w:tc>
          <w:tcPr>
            <w:tcW w:w="240" w:type="pct"/>
            <w:tcBorders>
              <w:top w:val="nil"/>
              <w:left w:val="single" w:sz="8" w:space="0" w:color="auto"/>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IV.2.4</w:t>
            </w:r>
          </w:p>
        </w:tc>
        <w:tc>
          <w:tcPr>
            <w:tcW w:w="62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adopting bylaws based on the Law on Electricity.</w:t>
            </w:r>
          </w:p>
        </w:tc>
        <w:tc>
          <w:tcPr>
            <w:tcW w:w="244"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30,800.00 </w:t>
            </w:r>
          </w:p>
        </w:tc>
        <w:tc>
          <w:tcPr>
            <w:tcW w:w="360"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11"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 KOSTT, KEK</w:t>
            </w:r>
          </w:p>
        </w:tc>
        <w:tc>
          <w:tcPr>
            <w:tcW w:w="347"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Secondary legislation adopted </w:t>
            </w:r>
          </w:p>
        </w:tc>
        <w:tc>
          <w:tcPr>
            <w:tcW w:w="278"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111" w:type="pct"/>
            <w:tcBorders>
              <w:top w:val="nil"/>
              <w:left w:val="nil"/>
              <w:bottom w:val="single" w:sz="8" w:space="0" w:color="auto"/>
              <w:right w:val="single" w:sz="8" w:space="0" w:color="auto"/>
            </w:tcBorders>
            <w:shd w:val="clear" w:color="000000" w:fill="FFFFFF"/>
            <w:vAlign w:val="center"/>
            <w:hideMark/>
          </w:tcPr>
          <w:p w:rsidR="00147B23" w:rsidRPr="00591143" w:rsidRDefault="001E0569" w:rsidP="00147B23">
            <w:pPr>
              <w:spacing w:after="0" w:line="360" w:lineRule="auto"/>
              <w:rPr>
                <w:rFonts w:ascii="Times New Roman" w:eastAsia="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Zero percent (0%)</w:t>
            </w:r>
          </w:p>
          <w:p w:rsidR="00C156C8" w:rsidRPr="00C91F78"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After the adoption of the Law on Electricity, the drafting and adoption of the bylaws arising from the Law will continue.</w:t>
            </w:r>
          </w:p>
        </w:tc>
      </w:tr>
      <w:tr w:rsidR="00001E51" w:rsidTr="007D73EC">
        <w:trPr>
          <w:trHeight w:val="3735"/>
        </w:trPr>
        <w:tc>
          <w:tcPr>
            <w:tcW w:w="240" w:type="pct"/>
            <w:tcBorders>
              <w:top w:val="nil"/>
              <w:left w:val="single" w:sz="8" w:space="0" w:color="auto"/>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IV.2.5</w:t>
            </w:r>
          </w:p>
        </w:tc>
        <w:tc>
          <w:tcPr>
            <w:tcW w:w="62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adopting the Law on Energy Regulator</w:t>
            </w:r>
          </w:p>
        </w:tc>
        <w:tc>
          <w:tcPr>
            <w:tcW w:w="244"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0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13,500.00 </w:t>
            </w:r>
          </w:p>
        </w:tc>
        <w:tc>
          <w:tcPr>
            <w:tcW w:w="406"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60"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11"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tc>
        <w:tc>
          <w:tcPr>
            <w:tcW w:w="347"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Law adopted and aligned with EU directives</w:t>
            </w:r>
          </w:p>
        </w:tc>
        <w:tc>
          <w:tcPr>
            <w:tcW w:w="278" w:type="pct"/>
            <w:tcBorders>
              <w:top w:val="nil"/>
              <w:left w:val="nil"/>
              <w:bottom w:val="single" w:sz="8" w:space="0" w:color="auto"/>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111" w:type="pct"/>
            <w:tcBorders>
              <w:top w:val="nil"/>
              <w:left w:val="nil"/>
              <w:bottom w:val="single" w:sz="8" w:space="0" w:color="auto"/>
              <w:right w:val="single" w:sz="8" w:space="0" w:color="auto"/>
            </w:tcBorders>
            <w:vAlign w:val="center"/>
            <w:hideMark/>
          </w:tcPr>
          <w:p w:rsidR="00147B23" w:rsidRPr="00731058" w:rsidRDefault="001E0569" w:rsidP="00C91F78">
            <w:pPr>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Forty percent (40%)</w:t>
            </w:r>
          </w:p>
          <w:p w:rsidR="00C156C8" w:rsidRPr="00147B23" w:rsidRDefault="001E0569" w:rsidP="00C91F78">
            <w:pPr>
              <w:rPr>
                <w:rFonts w:ascii="Times New Roman" w:hAnsi="Times New Roman" w:cs="Times New Roman"/>
                <w:color w:val="000000" w:themeColor="text1"/>
                <w:sz w:val="18"/>
                <w:szCs w:val="18"/>
              </w:rPr>
            </w:pPr>
            <w:r>
              <w:rPr>
                <w:rFonts w:ascii="Times New Roman" w:hAnsi="Times New Roman"/>
                <w:color w:val="000000" w:themeColor="text1"/>
                <w:sz w:val="18"/>
                <w:szCs w:val="18"/>
              </w:rPr>
              <w:t>There are no developments.</w:t>
            </w:r>
          </w:p>
          <w:p w:rsidR="00C156C8" w:rsidRPr="00C91F78" w:rsidRDefault="00C156C8" w:rsidP="00C91F78">
            <w:pPr>
              <w:spacing w:after="0" w:line="240" w:lineRule="auto"/>
              <w:rPr>
                <w:rFonts w:ascii="Times New Roman" w:eastAsia="Times New Roman" w:hAnsi="Times New Roman" w:cs="Times New Roman"/>
                <w:sz w:val="18"/>
                <w:szCs w:val="18"/>
              </w:rPr>
            </w:pPr>
          </w:p>
        </w:tc>
      </w:tr>
      <w:tr w:rsidR="00001E51" w:rsidTr="007D73EC">
        <w:trPr>
          <w:trHeight w:val="1860"/>
        </w:trPr>
        <w:tc>
          <w:tcPr>
            <w:tcW w:w="240" w:type="pct"/>
            <w:tcBorders>
              <w:top w:val="nil"/>
              <w:left w:val="single" w:sz="8" w:space="0" w:color="auto"/>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IV.2.6</w:t>
            </w:r>
          </w:p>
        </w:tc>
        <w:tc>
          <w:tcPr>
            <w:tcW w:w="62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and adopting bylaws based on the Law on Energy Regulator.</w:t>
            </w:r>
          </w:p>
        </w:tc>
        <w:tc>
          <w:tcPr>
            <w:tcW w:w="244"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30,800.00 </w:t>
            </w:r>
          </w:p>
        </w:tc>
        <w:tc>
          <w:tcPr>
            <w:tcW w:w="360"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11"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tc>
        <w:tc>
          <w:tcPr>
            <w:tcW w:w="347"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Secondary legislation adopted</w:t>
            </w:r>
          </w:p>
        </w:tc>
        <w:tc>
          <w:tcPr>
            <w:tcW w:w="278"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111" w:type="pct"/>
            <w:tcBorders>
              <w:top w:val="nil"/>
              <w:left w:val="nil"/>
              <w:bottom w:val="single" w:sz="8" w:space="0" w:color="auto"/>
              <w:right w:val="single" w:sz="8" w:space="0" w:color="auto"/>
            </w:tcBorders>
            <w:shd w:val="clear" w:color="000000" w:fill="FFFFFF"/>
            <w:vAlign w:val="center"/>
            <w:hideMark/>
          </w:tcPr>
          <w:p w:rsidR="00147B23" w:rsidRPr="000C4F73" w:rsidRDefault="001E0569" w:rsidP="00C91F78">
            <w:pPr>
              <w:spacing w:after="0" w:line="240" w:lineRule="auto"/>
              <w:rPr>
                <w:rFonts w:ascii="Times New Roman" w:eastAsia="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Zero percent (0%)</w:t>
            </w:r>
          </w:p>
          <w:p w:rsidR="000C4F73" w:rsidRPr="00147B23" w:rsidRDefault="000C4F73" w:rsidP="00C91F78">
            <w:pPr>
              <w:spacing w:after="0" w:line="240" w:lineRule="auto"/>
              <w:rPr>
                <w:rFonts w:ascii="Times New Roman" w:eastAsia="Times New Roman" w:hAnsi="Times New Roman" w:cs="Times New Roman"/>
                <w:b/>
                <w:color w:val="000000" w:themeColor="text1"/>
                <w:sz w:val="18"/>
                <w:szCs w:val="18"/>
              </w:rPr>
            </w:pPr>
          </w:p>
          <w:p w:rsidR="00C156C8"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After the adoption of the Law on Energy Regulatory, the drafting and adoption of the bylaws arising from the Law will continue.</w:t>
            </w:r>
          </w:p>
        </w:tc>
      </w:tr>
      <w:tr w:rsidR="00001E51" w:rsidTr="007D73EC">
        <w:trPr>
          <w:trHeight w:val="1860"/>
        </w:trPr>
        <w:tc>
          <w:tcPr>
            <w:tcW w:w="240" w:type="pct"/>
            <w:tcBorders>
              <w:top w:val="nil"/>
              <w:left w:val="single" w:sz="8" w:space="0" w:color="auto"/>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IV.2.7</w:t>
            </w:r>
          </w:p>
        </w:tc>
        <w:tc>
          <w:tcPr>
            <w:tcW w:w="626"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Initiation of studies on the barriers of the competitive electricity market and on the most appropriate method of phasing out the BSA.</w:t>
            </w:r>
          </w:p>
        </w:tc>
        <w:tc>
          <w:tcPr>
            <w:tcW w:w="244"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206" w:type="pct"/>
            <w:tcBorders>
              <w:top w:val="nil"/>
              <w:left w:val="nil"/>
              <w:bottom w:val="single" w:sz="8" w:space="0" w:color="auto"/>
              <w:right w:val="nil"/>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single" w:sz="8" w:space="0" w:color="auto"/>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60"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 </w:t>
            </w:r>
          </w:p>
        </w:tc>
        <w:tc>
          <w:tcPr>
            <w:tcW w:w="465"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 donors</w:t>
            </w:r>
          </w:p>
        </w:tc>
        <w:tc>
          <w:tcPr>
            <w:tcW w:w="311"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 ERO</w:t>
            </w:r>
          </w:p>
        </w:tc>
        <w:tc>
          <w:tcPr>
            <w:tcW w:w="347"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Increased competition in the market</w:t>
            </w:r>
          </w:p>
        </w:tc>
        <w:tc>
          <w:tcPr>
            <w:tcW w:w="278" w:type="pct"/>
            <w:tcBorders>
              <w:top w:val="nil"/>
              <w:left w:val="nil"/>
              <w:bottom w:val="single" w:sz="8" w:space="0" w:color="auto"/>
              <w:right w:val="single" w:sz="8" w:space="0" w:color="auto"/>
            </w:tcBorders>
            <w:shd w:val="clear" w:color="000000" w:fill="FFFFFF"/>
            <w:vAlign w:val="center"/>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Energy Strategy for the period 2022 - 2031 </w:t>
            </w:r>
          </w:p>
        </w:tc>
        <w:tc>
          <w:tcPr>
            <w:tcW w:w="1111" w:type="pct"/>
            <w:tcBorders>
              <w:top w:val="nil"/>
              <w:left w:val="nil"/>
              <w:bottom w:val="single" w:sz="8" w:space="0" w:color="auto"/>
              <w:right w:val="single" w:sz="8" w:space="0" w:color="auto"/>
            </w:tcBorders>
            <w:shd w:val="clear" w:color="000000" w:fill="FFFFFF"/>
            <w:vAlign w:val="center"/>
          </w:tcPr>
          <w:p w:rsidR="00147B23" w:rsidRDefault="001E0569" w:rsidP="00C156C8">
            <w:pPr>
              <w:spacing w:after="0" w:line="240" w:lineRule="auto"/>
              <w:jc w:val="center"/>
              <w:rPr>
                <w:rFonts w:ascii="Times New Roman" w:eastAsia="Times New Roman" w:hAnsi="Times New Roman" w:cs="Times New Roman"/>
                <w:b/>
                <w:color w:val="000000" w:themeColor="text1"/>
                <w:sz w:val="18"/>
                <w:szCs w:val="18"/>
              </w:rPr>
            </w:pPr>
            <w:r>
              <w:rPr>
                <w:rFonts w:ascii="Times New Roman" w:hAnsi="Times New Roman"/>
                <w:b/>
                <w:color w:val="000000" w:themeColor="text1"/>
                <w:sz w:val="18"/>
                <w:szCs w:val="18"/>
              </w:rPr>
              <w:t>Zero percent (0%)</w:t>
            </w:r>
          </w:p>
          <w:p w:rsidR="00D63111" w:rsidRPr="00147B23" w:rsidRDefault="00D63111" w:rsidP="00C156C8">
            <w:pPr>
              <w:spacing w:after="0" w:line="240" w:lineRule="auto"/>
              <w:jc w:val="center"/>
              <w:rPr>
                <w:rFonts w:ascii="Times New Roman" w:eastAsia="Times New Roman" w:hAnsi="Times New Roman" w:cs="Times New Roman"/>
                <w:b/>
                <w:color w:val="000000" w:themeColor="text1"/>
                <w:sz w:val="18"/>
                <w:szCs w:val="18"/>
              </w:rPr>
            </w:pPr>
          </w:p>
          <w:p w:rsidR="00C156C8" w:rsidRPr="00147B23"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There are no developments. According to the NDP 2025-2027, it is planned to start in Q3 2026 and be completed in Q4 2027.</w:t>
            </w:r>
          </w:p>
        </w:tc>
      </w:tr>
      <w:tr w:rsidR="00001E51" w:rsidTr="007D73EC">
        <w:trPr>
          <w:trHeight w:val="330"/>
        </w:trPr>
        <w:tc>
          <w:tcPr>
            <w:tcW w:w="240" w:type="pct"/>
            <w:tcBorders>
              <w:top w:val="nil"/>
              <w:left w:val="single" w:sz="8" w:space="0" w:color="auto"/>
              <w:bottom w:val="single" w:sz="8" w:space="0" w:color="auto"/>
              <w:right w:val="single" w:sz="8" w:space="0" w:color="auto"/>
            </w:tcBorders>
            <w:shd w:val="clear" w:color="000000" w:fill="D9D9D9"/>
            <w:vAlign w:val="center"/>
            <w:hideMark/>
          </w:tcPr>
          <w:p w:rsidR="00C156C8" w:rsidRPr="00682BBE" w:rsidRDefault="001E0569" w:rsidP="00C156C8">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IV.3</w:t>
            </w:r>
          </w:p>
        </w:tc>
        <w:tc>
          <w:tcPr>
            <w:tcW w:w="3649" w:type="pct"/>
            <w:gridSpan w:val="10"/>
            <w:tcBorders>
              <w:top w:val="single" w:sz="8" w:space="0" w:color="auto"/>
              <w:left w:val="nil"/>
              <w:bottom w:val="single" w:sz="8" w:space="0" w:color="auto"/>
              <w:right w:val="single" w:sz="8" w:space="0" w:color="000000"/>
            </w:tcBorders>
            <w:shd w:val="clear" w:color="000000" w:fill="D9D9D9"/>
            <w:vAlign w:val="center"/>
            <w:hideMark/>
          </w:tcPr>
          <w:p w:rsidR="00C156C8" w:rsidRPr="00682BBE" w:rsidRDefault="001E0569" w:rsidP="00C156C8">
            <w:pPr>
              <w:spacing w:after="0" w:line="240" w:lineRule="auto"/>
              <w:rPr>
                <w:rFonts w:ascii="Times New Roman" w:eastAsia="Times New Roman" w:hAnsi="Times New Roman" w:cs="Times New Roman"/>
                <w:b/>
                <w:bCs/>
                <w:sz w:val="18"/>
                <w:szCs w:val="18"/>
              </w:rPr>
            </w:pPr>
            <w:r>
              <w:rPr>
                <w:rFonts w:ascii="Times New Roman" w:hAnsi="Times New Roman"/>
                <w:b/>
                <w:bCs/>
                <w:sz w:val="18"/>
                <w:szCs w:val="18"/>
              </w:rPr>
              <w:t>Specific Objective: Capacity building in energy-related fields and the inclusion of women</w:t>
            </w:r>
          </w:p>
        </w:tc>
        <w:tc>
          <w:tcPr>
            <w:tcW w:w="1111" w:type="pct"/>
            <w:tcBorders>
              <w:top w:val="nil"/>
              <w:left w:val="nil"/>
              <w:bottom w:val="nil"/>
              <w:right w:val="nil"/>
            </w:tcBorders>
            <w:noWrap/>
            <w:vAlign w:val="bottom"/>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r>
      <w:tr w:rsidR="00001E51" w:rsidTr="007D73EC">
        <w:trPr>
          <w:trHeight w:val="960"/>
        </w:trPr>
        <w:tc>
          <w:tcPr>
            <w:tcW w:w="240" w:type="pct"/>
            <w:tcBorders>
              <w:top w:val="nil"/>
              <w:left w:val="single" w:sz="8" w:space="0" w:color="auto"/>
              <w:bottom w:val="single" w:sz="8" w:space="0" w:color="auto"/>
              <w:right w:val="single" w:sz="8" w:space="0" w:color="auto"/>
            </w:tcBorders>
            <w:shd w:val="clear" w:color="000000" w:fill="D0CECE"/>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626" w:type="pct"/>
            <w:tcBorders>
              <w:top w:val="nil"/>
              <w:left w:val="nil"/>
              <w:bottom w:val="nil"/>
              <w:right w:val="single" w:sz="8" w:space="0" w:color="auto"/>
            </w:tcBorders>
            <w:shd w:val="clear" w:color="000000" w:fill="D0CECE"/>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856" w:type="pct"/>
            <w:gridSpan w:val="3"/>
            <w:tcBorders>
              <w:top w:val="single" w:sz="8" w:space="0" w:color="auto"/>
              <w:left w:val="nil"/>
              <w:bottom w:val="single" w:sz="8" w:space="0" w:color="auto"/>
              <w:right w:val="nil"/>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766" w:type="pct"/>
            <w:gridSpan w:val="2"/>
            <w:tcBorders>
              <w:top w:val="single" w:sz="8" w:space="0" w:color="auto"/>
              <w:left w:val="single" w:sz="8" w:space="0" w:color="auto"/>
              <w:bottom w:val="single" w:sz="8" w:space="0" w:color="auto"/>
              <w:right w:val="nil"/>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465" w:type="pct"/>
            <w:tcBorders>
              <w:top w:val="nil"/>
              <w:left w:val="single" w:sz="8" w:space="0" w:color="auto"/>
              <w:bottom w:val="single" w:sz="8" w:space="0" w:color="auto"/>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36" w:type="pct"/>
            <w:gridSpan w:val="3"/>
            <w:tcBorders>
              <w:top w:val="single" w:sz="8" w:space="0" w:color="auto"/>
              <w:left w:val="nil"/>
              <w:bottom w:val="single" w:sz="8" w:space="0" w:color="auto"/>
              <w:right w:val="single" w:sz="8" w:space="0" w:color="000000"/>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111" w:type="pct"/>
            <w:tcBorders>
              <w:top w:val="nil"/>
              <w:left w:val="nil"/>
              <w:bottom w:val="nil"/>
              <w:right w:val="nil"/>
            </w:tcBorders>
            <w:noWrap/>
            <w:vAlign w:val="bottom"/>
            <w:hideMark/>
          </w:tcPr>
          <w:p w:rsidR="00C156C8" w:rsidRPr="00682BBE" w:rsidRDefault="00C156C8" w:rsidP="00C156C8">
            <w:pPr>
              <w:spacing w:after="0" w:line="240" w:lineRule="auto"/>
              <w:jc w:val="center"/>
              <w:rPr>
                <w:rFonts w:ascii="Times New Roman" w:eastAsia="Times New Roman" w:hAnsi="Times New Roman" w:cs="Times New Roman"/>
                <w:b/>
                <w:bCs/>
                <w:sz w:val="18"/>
                <w:szCs w:val="18"/>
              </w:rPr>
            </w:pPr>
          </w:p>
        </w:tc>
      </w:tr>
      <w:tr w:rsidR="00001E51" w:rsidTr="007D73EC">
        <w:trPr>
          <w:trHeight w:val="2850"/>
        </w:trPr>
        <w:tc>
          <w:tcPr>
            <w:tcW w:w="240" w:type="pct"/>
            <w:tcBorders>
              <w:top w:val="nil"/>
              <w:left w:val="single" w:sz="8" w:space="0" w:color="auto"/>
              <w:bottom w:val="nil"/>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626" w:type="pct"/>
            <w:tcBorders>
              <w:top w:val="single" w:sz="8" w:space="0" w:color="auto"/>
              <w:left w:val="nil"/>
              <w:bottom w:val="nil"/>
              <w:right w:val="single" w:sz="8" w:space="0" w:color="auto"/>
            </w:tcBorders>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The number of new graduates per year receiving an academic degree or professional qualification in new programs in the field of energy and related fields</w:t>
            </w:r>
          </w:p>
        </w:tc>
        <w:tc>
          <w:tcPr>
            <w:tcW w:w="856" w:type="pct"/>
            <w:gridSpan w:val="3"/>
            <w:tcBorders>
              <w:top w:val="single" w:sz="8" w:space="0" w:color="auto"/>
              <w:left w:val="nil"/>
              <w:bottom w:val="single" w:sz="8" w:space="0" w:color="auto"/>
              <w:right w:val="single" w:sz="8" w:space="0" w:color="000000"/>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N/A</w:t>
            </w:r>
          </w:p>
        </w:tc>
        <w:tc>
          <w:tcPr>
            <w:tcW w:w="766" w:type="pct"/>
            <w:gridSpan w:val="2"/>
            <w:tcBorders>
              <w:top w:val="single" w:sz="8" w:space="0" w:color="auto"/>
              <w:left w:val="nil"/>
              <w:bottom w:val="single" w:sz="8" w:space="0" w:color="auto"/>
              <w:right w:val="nil"/>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To be determined.</w:t>
            </w:r>
          </w:p>
        </w:tc>
        <w:tc>
          <w:tcPr>
            <w:tcW w:w="465" w:type="pct"/>
            <w:tcBorders>
              <w:top w:val="nil"/>
              <w:left w:val="single" w:sz="8" w:space="0" w:color="auto"/>
              <w:bottom w:val="single" w:sz="8" w:space="0" w:color="auto"/>
              <w:right w:val="single" w:sz="8" w:space="0" w:color="auto"/>
            </w:tcBorders>
            <w:noWrap/>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To be determined.</w:t>
            </w:r>
          </w:p>
        </w:tc>
        <w:tc>
          <w:tcPr>
            <w:tcW w:w="936" w:type="pct"/>
            <w:gridSpan w:val="3"/>
            <w:tcBorders>
              <w:top w:val="single" w:sz="8" w:space="0" w:color="auto"/>
              <w:left w:val="nil"/>
              <w:bottom w:val="nil"/>
              <w:right w:val="single" w:sz="8" w:space="0" w:color="000000"/>
            </w:tcBorders>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111" w:type="pct"/>
            <w:tcBorders>
              <w:top w:val="nil"/>
              <w:left w:val="nil"/>
              <w:bottom w:val="nil"/>
              <w:right w:val="nil"/>
            </w:tcBorders>
            <w:noWrap/>
            <w:vAlign w:val="bottom"/>
            <w:hideMark/>
          </w:tcPr>
          <w:p w:rsidR="00C156C8" w:rsidRPr="00682BBE" w:rsidRDefault="00C156C8" w:rsidP="00C156C8">
            <w:pPr>
              <w:spacing w:after="0" w:line="240" w:lineRule="auto"/>
              <w:rPr>
                <w:rFonts w:ascii="Times New Roman" w:eastAsia="Times New Roman" w:hAnsi="Times New Roman" w:cs="Times New Roman"/>
                <w:sz w:val="18"/>
                <w:szCs w:val="18"/>
              </w:rPr>
            </w:pPr>
          </w:p>
        </w:tc>
      </w:tr>
      <w:tr w:rsidR="00001E51" w:rsidTr="007D73EC">
        <w:trPr>
          <w:trHeight w:val="960"/>
        </w:trPr>
        <w:tc>
          <w:tcPr>
            <w:tcW w:w="240" w:type="pct"/>
            <w:tcBorders>
              <w:top w:val="single" w:sz="8" w:space="0" w:color="auto"/>
              <w:left w:val="single" w:sz="8" w:space="0" w:color="auto"/>
              <w:bottom w:val="nil"/>
              <w:right w:val="single" w:sz="8" w:space="0" w:color="auto"/>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626" w:type="pct"/>
            <w:tcBorders>
              <w:top w:val="single" w:sz="8" w:space="0" w:color="auto"/>
              <w:left w:val="nil"/>
              <w:bottom w:val="nil"/>
              <w:right w:val="single" w:sz="8" w:space="0" w:color="auto"/>
            </w:tcBorders>
            <w:vAlign w:val="center"/>
            <w:hideMark/>
          </w:tcPr>
          <w:p w:rsidR="00C156C8"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Percentage of women employed in the energy sector.</w:t>
            </w:r>
          </w:p>
          <w:p w:rsidR="00013F4C" w:rsidRPr="00682BBE" w:rsidRDefault="00013F4C" w:rsidP="00C156C8">
            <w:pPr>
              <w:spacing w:after="0" w:line="240" w:lineRule="auto"/>
              <w:rPr>
                <w:rFonts w:ascii="Times New Roman" w:eastAsia="Times New Roman" w:hAnsi="Times New Roman" w:cs="Times New Roman"/>
                <w:sz w:val="18"/>
                <w:szCs w:val="18"/>
              </w:rPr>
            </w:pPr>
          </w:p>
        </w:tc>
        <w:tc>
          <w:tcPr>
            <w:tcW w:w="856" w:type="pct"/>
            <w:gridSpan w:val="3"/>
            <w:tcBorders>
              <w:top w:val="single" w:sz="8" w:space="0" w:color="auto"/>
              <w:left w:val="nil"/>
              <w:bottom w:val="nil"/>
              <w:right w:val="single" w:sz="8" w:space="0" w:color="000000"/>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9% [2021]</w:t>
            </w:r>
          </w:p>
        </w:tc>
        <w:tc>
          <w:tcPr>
            <w:tcW w:w="766" w:type="pct"/>
            <w:gridSpan w:val="2"/>
            <w:tcBorders>
              <w:top w:val="single" w:sz="8" w:space="0" w:color="auto"/>
              <w:left w:val="nil"/>
              <w:bottom w:val="nil"/>
              <w:right w:val="single" w:sz="8" w:space="0" w:color="000000"/>
            </w:tcBorders>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11%</w:t>
            </w:r>
          </w:p>
        </w:tc>
        <w:tc>
          <w:tcPr>
            <w:tcW w:w="465"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25%</w:t>
            </w:r>
          </w:p>
        </w:tc>
        <w:tc>
          <w:tcPr>
            <w:tcW w:w="936" w:type="pct"/>
            <w:gridSpan w:val="3"/>
            <w:tcBorders>
              <w:top w:val="single" w:sz="8" w:space="0" w:color="auto"/>
              <w:left w:val="nil"/>
              <w:bottom w:val="single" w:sz="8" w:space="0" w:color="auto"/>
              <w:right w:val="single" w:sz="8" w:space="0" w:color="000000"/>
            </w:tcBorders>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 </w:t>
            </w:r>
          </w:p>
        </w:tc>
        <w:tc>
          <w:tcPr>
            <w:tcW w:w="1111" w:type="pct"/>
            <w:tcBorders>
              <w:top w:val="nil"/>
              <w:left w:val="nil"/>
              <w:bottom w:val="nil"/>
              <w:right w:val="nil"/>
            </w:tcBorders>
            <w:noWrap/>
            <w:vAlign w:val="bottom"/>
            <w:hideMark/>
          </w:tcPr>
          <w:p w:rsidR="00C156C8" w:rsidRPr="00682BBE" w:rsidRDefault="00C156C8" w:rsidP="00C156C8">
            <w:pPr>
              <w:spacing w:after="0" w:line="240" w:lineRule="auto"/>
              <w:rPr>
                <w:rFonts w:ascii="Times New Roman" w:eastAsia="Times New Roman" w:hAnsi="Times New Roman" w:cs="Times New Roman"/>
                <w:sz w:val="18"/>
                <w:szCs w:val="18"/>
              </w:rPr>
            </w:pPr>
          </w:p>
        </w:tc>
      </w:tr>
      <w:tr w:rsidR="00001E51" w:rsidTr="007D73EC">
        <w:trPr>
          <w:trHeight w:val="330"/>
        </w:trPr>
        <w:tc>
          <w:tcPr>
            <w:tcW w:w="24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lastRenderedPageBreak/>
              <w:t>No.</w:t>
            </w:r>
          </w:p>
        </w:tc>
        <w:tc>
          <w:tcPr>
            <w:tcW w:w="62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4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378" w:type="pct"/>
            <w:gridSpan w:val="4"/>
            <w:tcBorders>
              <w:top w:val="single" w:sz="8" w:space="0" w:color="auto"/>
              <w:left w:val="nil"/>
              <w:bottom w:val="single" w:sz="8" w:space="0" w:color="auto"/>
              <w:right w:val="nil"/>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46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1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34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27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11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Implementation progress January - June 2025</w:t>
            </w:r>
          </w:p>
        </w:tc>
      </w:tr>
      <w:tr w:rsidR="00001E51" w:rsidTr="007D73EC">
        <w:trPr>
          <w:trHeight w:val="315"/>
        </w:trPr>
        <w:tc>
          <w:tcPr>
            <w:tcW w:w="240"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244"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206" w:type="pct"/>
            <w:tcBorders>
              <w:top w:val="nil"/>
              <w:left w:val="nil"/>
              <w:bottom w:val="nil"/>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w:t>
            </w:r>
          </w:p>
        </w:tc>
        <w:tc>
          <w:tcPr>
            <w:tcW w:w="406" w:type="pct"/>
            <w:tcBorders>
              <w:top w:val="nil"/>
              <w:left w:val="nil"/>
              <w:bottom w:val="nil"/>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w:t>
            </w:r>
          </w:p>
        </w:tc>
        <w:tc>
          <w:tcPr>
            <w:tcW w:w="406" w:type="pct"/>
            <w:tcBorders>
              <w:top w:val="nil"/>
              <w:left w:val="nil"/>
              <w:bottom w:val="nil"/>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w:t>
            </w:r>
          </w:p>
        </w:tc>
        <w:tc>
          <w:tcPr>
            <w:tcW w:w="360" w:type="pct"/>
            <w:tcBorders>
              <w:top w:val="nil"/>
              <w:left w:val="nil"/>
              <w:bottom w:val="nil"/>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347" w:type="pct"/>
            <w:vMerge/>
            <w:tcBorders>
              <w:top w:val="nil"/>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278" w:type="pct"/>
            <w:vMerge/>
            <w:tcBorders>
              <w:top w:val="nil"/>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1111"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Calibri" w:eastAsia="Times New Roman" w:hAnsi="Calibri" w:cs="Calibri"/>
                <w:b/>
                <w:bCs/>
                <w:sz w:val="18"/>
                <w:szCs w:val="18"/>
              </w:rPr>
            </w:pPr>
          </w:p>
        </w:tc>
      </w:tr>
      <w:tr w:rsidR="00001E51" w:rsidTr="007D73EC">
        <w:trPr>
          <w:trHeight w:val="330"/>
        </w:trPr>
        <w:tc>
          <w:tcPr>
            <w:tcW w:w="240"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626"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244"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206" w:type="pct"/>
            <w:tcBorders>
              <w:top w:val="nil"/>
              <w:left w:val="nil"/>
              <w:bottom w:val="single" w:sz="8" w:space="0" w:color="auto"/>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406" w:type="pct"/>
            <w:tcBorders>
              <w:top w:val="nil"/>
              <w:left w:val="nil"/>
              <w:bottom w:val="single" w:sz="8" w:space="0" w:color="auto"/>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406" w:type="pct"/>
            <w:tcBorders>
              <w:top w:val="nil"/>
              <w:left w:val="nil"/>
              <w:bottom w:val="single" w:sz="8" w:space="0" w:color="auto"/>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360" w:type="pct"/>
            <w:tcBorders>
              <w:top w:val="nil"/>
              <w:left w:val="nil"/>
              <w:bottom w:val="single" w:sz="8" w:space="0" w:color="auto"/>
              <w:right w:val="single" w:sz="8" w:space="0" w:color="auto"/>
            </w:tcBorders>
            <w:shd w:val="clear" w:color="000000" w:fill="D9D9D9"/>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311" w:type="pct"/>
            <w:vMerge/>
            <w:tcBorders>
              <w:top w:val="nil"/>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347" w:type="pct"/>
            <w:vMerge/>
            <w:tcBorders>
              <w:top w:val="nil"/>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278" w:type="pct"/>
            <w:vMerge/>
            <w:tcBorders>
              <w:top w:val="nil"/>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Times New Roman" w:eastAsia="Times New Roman" w:hAnsi="Times New Roman" w:cs="Times New Roman"/>
                <w:b/>
                <w:bCs/>
                <w:sz w:val="18"/>
                <w:szCs w:val="18"/>
              </w:rPr>
            </w:pPr>
          </w:p>
        </w:tc>
        <w:tc>
          <w:tcPr>
            <w:tcW w:w="1111" w:type="pct"/>
            <w:vMerge/>
            <w:tcBorders>
              <w:top w:val="single" w:sz="8" w:space="0" w:color="auto"/>
              <w:left w:val="single" w:sz="8" w:space="0" w:color="auto"/>
              <w:bottom w:val="single" w:sz="8" w:space="0" w:color="000000"/>
              <w:right w:val="single" w:sz="8" w:space="0" w:color="auto"/>
            </w:tcBorders>
            <w:vAlign w:val="center"/>
            <w:hideMark/>
          </w:tcPr>
          <w:p w:rsidR="00C156C8" w:rsidRPr="00682BBE" w:rsidRDefault="00C156C8" w:rsidP="00C156C8">
            <w:pPr>
              <w:spacing w:after="0" w:line="240" w:lineRule="auto"/>
              <w:rPr>
                <w:rFonts w:ascii="Calibri" w:eastAsia="Times New Roman" w:hAnsi="Calibri" w:cs="Calibri"/>
                <w:b/>
                <w:bCs/>
                <w:sz w:val="18"/>
                <w:szCs w:val="18"/>
              </w:rPr>
            </w:pPr>
          </w:p>
        </w:tc>
      </w:tr>
      <w:tr w:rsidR="00001E51" w:rsidTr="007D73EC">
        <w:trPr>
          <w:trHeight w:val="975"/>
        </w:trPr>
        <w:tc>
          <w:tcPr>
            <w:tcW w:w="240" w:type="pct"/>
            <w:tcBorders>
              <w:top w:val="nil"/>
              <w:left w:val="single" w:sz="8" w:space="0" w:color="auto"/>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IV.3.1</w:t>
            </w:r>
          </w:p>
        </w:tc>
        <w:tc>
          <w:tcPr>
            <w:tcW w:w="62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Development of new technical training programs.</w:t>
            </w:r>
          </w:p>
        </w:tc>
        <w:tc>
          <w:tcPr>
            <w:tcW w:w="244"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2024/2025</w:t>
            </w:r>
          </w:p>
        </w:tc>
        <w:tc>
          <w:tcPr>
            <w:tcW w:w="2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350,000.00 </w:t>
            </w:r>
          </w:p>
        </w:tc>
        <w:tc>
          <w:tcPr>
            <w:tcW w:w="360"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350,000.00 </w:t>
            </w:r>
          </w:p>
        </w:tc>
        <w:tc>
          <w:tcPr>
            <w:tcW w:w="465"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311"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MCAK</w:t>
            </w:r>
          </w:p>
        </w:tc>
        <w:tc>
          <w:tcPr>
            <w:tcW w:w="347"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A skilled workforce for the future of Renewable Energy Sources (RES). </w:t>
            </w:r>
          </w:p>
        </w:tc>
        <w:tc>
          <w:tcPr>
            <w:tcW w:w="278"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111" w:type="pct"/>
            <w:tcBorders>
              <w:top w:val="single" w:sz="8" w:space="0" w:color="auto"/>
              <w:left w:val="single" w:sz="8" w:space="0" w:color="auto"/>
              <w:bottom w:val="single" w:sz="8" w:space="0" w:color="auto"/>
              <w:right w:val="nil"/>
            </w:tcBorders>
            <w:shd w:val="clear" w:color="000000" w:fill="FFFFFF"/>
            <w:vAlign w:val="center"/>
            <w:hideMark/>
          </w:tcPr>
          <w:p w:rsidR="00BA03D5" w:rsidRPr="00312801" w:rsidRDefault="001E0569" w:rsidP="00702F96">
            <w:pPr>
              <w:spacing w:after="0" w:line="240" w:lineRule="auto"/>
              <w:jc w:val="both"/>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Zero percent (0%)</w:t>
            </w:r>
          </w:p>
          <w:p w:rsidR="00312801" w:rsidRPr="00BA03D5" w:rsidRDefault="00312801" w:rsidP="00702F96">
            <w:pPr>
              <w:spacing w:after="0" w:line="240" w:lineRule="auto"/>
              <w:jc w:val="both"/>
              <w:rPr>
                <w:rFonts w:ascii="Times New Roman" w:hAnsi="Times New Roman" w:cs="Times New Roman"/>
                <w:b/>
                <w:color w:val="000000" w:themeColor="text1"/>
                <w:sz w:val="18"/>
                <w:szCs w:val="18"/>
              </w:rPr>
            </w:pPr>
          </w:p>
          <w:p w:rsidR="00C156C8" w:rsidRPr="00BA03D5"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sz w:val="18"/>
                <w:szCs w:val="18"/>
              </w:rPr>
              <w:t>During 2024, MCA-K and the University of Prishtina (UP) signed a Memorandum of Understanding for the implementation of the Energy Skills for the Future Activity. As part of this cooperation, UP established the Center for Energy Skills and Innovation (CESI) and allocated space within the Faculty of Engineering for its operation.</w:t>
            </w:r>
          </w:p>
          <w:p w:rsidR="00C156C8" w:rsidRPr="00BA03D5"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sz w:val="18"/>
                <w:szCs w:val="18"/>
              </w:rPr>
              <w:t>MCA-K and UP established a joint working group to prepare the legal and regulatory framework for this center.</w:t>
            </w:r>
            <w:r>
              <w:rPr>
                <w:rFonts w:ascii="Times New Roman" w:hAnsi="Times New Roman"/>
                <w:color w:val="000000" w:themeColor="text1"/>
                <w:sz w:val="18"/>
                <w:szCs w:val="18"/>
              </w:rPr>
              <w:t xml:space="preserve"> In this regard, during 2024, the first draft of the internal regulations for the operation of CESI was prepared. Additionally, the Working Group (WG) worked on preparing the Agreement for the Implementing Entity, which will be signed between MCA-K and UP. This agreement will enable the effective implementation of the Energy Skills for the Future Activity.</w:t>
            </w:r>
          </w:p>
          <w:p w:rsidR="00C156C8" w:rsidRPr="00BA03D5"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During 2024, MCA-K announced the tender and completed the evaluation and selection process of the consulting company, which will provide technical assistance for the implementation of the Energy Skills for the Future Activity.</w:t>
            </w:r>
          </w:p>
          <w:p w:rsidR="00C156C8" w:rsidRPr="00BA03D5" w:rsidRDefault="00C156C8" w:rsidP="00702F96">
            <w:pPr>
              <w:spacing w:after="0" w:line="240" w:lineRule="auto"/>
              <w:jc w:val="both"/>
              <w:rPr>
                <w:rFonts w:ascii="Times New Roman" w:eastAsia="Times New Roman" w:hAnsi="Times New Roman" w:cs="Times New Roman"/>
                <w:color w:val="000000" w:themeColor="text1"/>
                <w:sz w:val="18"/>
                <w:szCs w:val="18"/>
              </w:rPr>
            </w:pPr>
          </w:p>
          <w:p w:rsidR="00C156C8" w:rsidRPr="00BA03D5"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 xml:space="preserve">However, with the signing of Executive Order 14169 by the President of the United States on 20 January 2025, this activity was </w:t>
            </w:r>
            <w:r>
              <w:rPr>
                <w:rFonts w:ascii="Times New Roman" w:hAnsi="Times New Roman"/>
                <w:color w:val="000000" w:themeColor="text1"/>
                <w:sz w:val="18"/>
                <w:szCs w:val="18"/>
              </w:rPr>
              <w:lastRenderedPageBreak/>
              <w:t xml:space="preserve">temporarily suspended until further notice. </w:t>
            </w:r>
          </w:p>
        </w:tc>
      </w:tr>
      <w:tr w:rsidR="00001E51" w:rsidTr="007D73EC">
        <w:trPr>
          <w:trHeight w:val="1905"/>
        </w:trPr>
        <w:tc>
          <w:tcPr>
            <w:tcW w:w="240" w:type="pct"/>
            <w:tcBorders>
              <w:top w:val="nil"/>
              <w:left w:val="single" w:sz="8" w:space="0" w:color="auto"/>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IV.3.2</w:t>
            </w:r>
          </w:p>
        </w:tc>
        <w:tc>
          <w:tcPr>
            <w:tcW w:w="62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Preparing gender-inclusive infrastructure and policy planning.</w:t>
            </w:r>
          </w:p>
        </w:tc>
        <w:tc>
          <w:tcPr>
            <w:tcW w:w="244"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2024/2025</w:t>
            </w:r>
          </w:p>
        </w:tc>
        <w:tc>
          <w:tcPr>
            <w:tcW w:w="2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06"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300,000.00 </w:t>
            </w:r>
          </w:p>
        </w:tc>
        <w:tc>
          <w:tcPr>
            <w:tcW w:w="360"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300,000.00 </w:t>
            </w:r>
          </w:p>
        </w:tc>
        <w:tc>
          <w:tcPr>
            <w:tcW w:w="465"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311"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MCAK</w:t>
            </w:r>
          </w:p>
        </w:tc>
        <w:tc>
          <w:tcPr>
            <w:tcW w:w="347"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Twenty-five percent (25%) women in the energy sector workforce by 2031</w:t>
            </w:r>
          </w:p>
        </w:tc>
        <w:tc>
          <w:tcPr>
            <w:tcW w:w="278" w:type="pct"/>
            <w:tcBorders>
              <w:top w:val="nil"/>
              <w:left w:val="nil"/>
              <w:bottom w:val="single" w:sz="8" w:space="0" w:color="auto"/>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111" w:type="pct"/>
            <w:tcBorders>
              <w:top w:val="nil"/>
              <w:left w:val="single" w:sz="8" w:space="0" w:color="auto"/>
              <w:bottom w:val="single" w:sz="8" w:space="0" w:color="auto"/>
              <w:right w:val="nil"/>
            </w:tcBorders>
            <w:shd w:val="clear" w:color="000000" w:fill="FFFFFF"/>
            <w:vAlign w:val="center"/>
            <w:hideMark/>
          </w:tcPr>
          <w:p w:rsidR="00BA03D5" w:rsidRDefault="001E0569" w:rsidP="00C91F78">
            <w:pPr>
              <w:spacing w:after="0" w:line="240" w:lineRule="auto"/>
              <w:rPr>
                <w:rFonts w:ascii="Times New Roman" w:hAnsi="Times New Roman" w:cs="Times New Roman"/>
                <w:b/>
                <w:bCs/>
                <w:color w:val="000000" w:themeColor="text1"/>
                <w:sz w:val="18"/>
                <w:szCs w:val="18"/>
              </w:rPr>
            </w:pPr>
            <w:r>
              <w:rPr>
                <w:rFonts w:ascii="Times New Roman" w:hAnsi="Times New Roman"/>
                <w:b/>
                <w:bCs/>
                <w:color w:val="000000" w:themeColor="text1"/>
                <w:sz w:val="18"/>
                <w:szCs w:val="18"/>
              </w:rPr>
              <w:t xml:space="preserve">              Zero percent (0%)</w:t>
            </w:r>
          </w:p>
          <w:p w:rsidR="002D1AF4" w:rsidRPr="001A3428" w:rsidRDefault="002D1AF4" w:rsidP="00C91F78">
            <w:pPr>
              <w:spacing w:after="0" w:line="240" w:lineRule="auto"/>
              <w:rPr>
                <w:rFonts w:ascii="Times New Roman" w:hAnsi="Times New Roman" w:cs="Times New Roman"/>
                <w:b/>
                <w:bCs/>
                <w:color w:val="000000" w:themeColor="text1"/>
                <w:sz w:val="18"/>
                <w:szCs w:val="18"/>
              </w:rPr>
            </w:pPr>
          </w:p>
          <w:p w:rsidR="00C156C8" w:rsidRPr="00BA03D5"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During 2024, under the Inclusive Energy Sector Workforce Activity., MCA-K announced the grant call for companies in the energy sector, as well as for Civil Society Organizations (CSOs). The purpose of these grants is to support enterprises and organizations that promote gender equality and social inclusion in the energy sector through the generation of inclusive jobs and career development for women. Through investments in gender equality policies, the creation of suitable workspaces and professional development initiatives, the grants will contribute to building an inclusive infrastructure and designing policies that ensure equal participation and a safe, fair and supportive work environment for women in the energy sector.</w:t>
            </w:r>
          </w:p>
          <w:p w:rsidR="00C156C8" w:rsidRPr="00BA03D5" w:rsidRDefault="001E0569" w:rsidP="00702F96">
            <w:pPr>
              <w:spacing w:after="0" w:line="240" w:lineRule="auto"/>
              <w:jc w:val="both"/>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t>In January 2025, MCA-K commenced the process of evaluating grant applications; however, this process was suspended following the signing of Executive Order 14169 by the President of the United States on 20 January 2025, which temporarily suspended foreign aid activities until further notice.</w:t>
            </w:r>
          </w:p>
        </w:tc>
      </w:tr>
      <w:tr w:rsidR="00001E51" w:rsidTr="007D73EC">
        <w:trPr>
          <w:trHeight w:val="1987"/>
        </w:trPr>
        <w:tc>
          <w:tcPr>
            <w:tcW w:w="240" w:type="pct"/>
            <w:tcBorders>
              <w:top w:val="nil"/>
              <w:left w:val="single" w:sz="8" w:space="0" w:color="auto"/>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IV.3.3</w:t>
            </w:r>
          </w:p>
        </w:tc>
        <w:tc>
          <w:tcPr>
            <w:tcW w:w="626"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Times New Roman" w:hAnsi="Times New Roman"/>
                <w:sz w:val="18"/>
                <w:szCs w:val="18"/>
              </w:rPr>
              <w:t>Drafting new professional standards and curricula, according to labour market requirements.</w:t>
            </w:r>
          </w:p>
        </w:tc>
        <w:tc>
          <w:tcPr>
            <w:tcW w:w="244"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206"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06"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406"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10,000.00 </w:t>
            </w:r>
          </w:p>
        </w:tc>
        <w:tc>
          <w:tcPr>
            <w:tcW w:w="360"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465"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11"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MEST</w:t>
            </w:r>
          </w:p>
        </w:tc>
        <w:tc>
          <w:tcPr>
            <w:tcW w:w="347"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Professional standards and new curricula developed.</w:t>
            </w:r>
          </w:p>
        </w:tc>
        <w:tc>
          <w:tcPr>
            <w:tcW w:w="278" w:type="pct"/>
            <w:tcBorders>
              <w:top w:val="nil"/>
              <w:left w:val="nil"/>
              <w:bottom w:val="nil"/>
              <w:right w:val="single" w:sz="8" w:space="0" w:color="auto"/>
            </w:tcBorders>
            <w:shd w:val="clear" w:color="000000" w:fill="FFFFFF"/>
            <w:vAlign w:val="center"/>
            <w:hideMark/>
          </w:tcPr>
          <w:p w:rsidR="00C156C8" w:rsidRPr="00682BBE"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111" w:type="pct"/>
            <w:tcBorders>
              <w:top w:val="nil"/>
              <w:left w:val="single" w:sz="8" w:space="0" w:color="auto"/>
              <w:bottom w:val="single" w:sz="8" w:space="0" w:color="auto"/>
              <w:right w:val="nil"/>
            </w:tcBorders>
            <w:shd w:val="clear" w:color="000000" w:fill="FFFFFF"/>
            <w:noWrap/>
            <w:vAlign w:val="bottom"/>
            <w:hideMark/>
          </w:tcPr>
          <w:p w:rsidR="00C156C8" w:rsidRPr="00682BBE" w:rsidRDefault="001E0569" w:rsidP="00C156C8">
            <w:pPr>
              <w:spacing w:after="0" w:line="240" w:lineRule="auto"/>
              <w:rPr>
                <w:rFonts w:ascii="Times New Roman" w:eastAsia="Times New Roman" w:hAnsi="Times New Roman" w:cs="Times New Roman"/>
                <w:sz w:val="18"/>
                <w:szCs w:val="18"/>
              </w:rPr>
            </w:pPr>
            <w:r>
              <w:rPr>
                <w:rFonts w:ascii="Calibri" w:hAnsi="Calibri"/>
                <w:color w:val="000000"/>
              </w:rPr>
              <w:t> </w:t>
            </w:r>
          </w:p>
        </w:tc>
      </w:tr>
      <w:tr w:rsidR="00001E51" w:rsidTr="007D73EC">
        <w:trPr>
          <w:trHeight w:val="80"/>
        </w:trPr>
        <w:tc>
          <w:tcPr>
            <w:tcW w:w="240" w:type="pct"/>
            <w:tcBorders>
              <w:top w:val="nil"/>
              <w:left w:val="single" w:sz="8" w:space="0" w:color="auto"/>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626"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rPr>
                <w:rFonts w:ascii="Times New Roman" w:eastAsia="Times New Roman" w:hAnsi="Times New Roman" w:cs="Times New Roman"/>
                <w:sz w:val="18"/>
                <w:szCs w:val="18"/>
              </w:rPr>
            </w:pPr>
          </w:p>
        </w:tc>
        <w:tc>
          <w:tcPr>
            <w:tcW w:w="244"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206"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406"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b/>
                <w:bCs/>
                <w:sz w:val="18"/>
                <w:szCs w:val="18"/>
              </w:rPr>
            </w:pPr>
          </w:p>
        </w:tc>
        <w:tc>
          <w:tcPr>
            <w:tcW w:w="406"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b/>
                <w:bCs/>
                <w:sz w:val="18"/>
                <w:szCs w:val="18"/>
              </w:rPr>
            </w:pPr>
          </w:p>
        </w:tc>
        <w:tc>
          <w:tcPr>
            <w:tcW w:w="360"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465"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311"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347"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278" w:type="pct"/>
            <w:tcBorders>
              <w:top w:val="nil"/>
              <w:left w:val="nil"/>
              <w:bottom w:val="single" w:sz="8" w:space="0" w:color="auto"/>
              <w:right w:val="single" w:sz="8" w:space="0" w:color="auto"/>
            </w:tcBorders>
            <w:shd w:val="clear" w:color="000000" w:fill="FFFFFF"/>
            <w:vAlign w:val="center"/>
          </w:tcPr>
          <w:p w:rsidR="00C156C8" w:rsidRPr="00682BBE" w:rsidRDefault="00C156C8" w:rsidP="00C156C8">
            <w:pPr>
              <w:spacing w:after="0" w:line="240" w:lineRule="auto"/>
              <w:jc w:val="center"/>
              <w:rPr>
                <w:rFonts w:ascii="Times New Roman" w:eastAsia="Times New Roman" w:hAnsi="Times New Roman" w:cs="Times New Roman"/>
                <w:sz w:val="18"/>
                <w:szCs w:val="18"/>
              </w:rPr>
            </w:pPr>
          </w:p>
        </w:tc>
        <w:tc>
          <w:tcPr>
            <w:tcW w:w="1111" w:type="pct"/>
            <w:tcBorders>
              <w:top w:val="nil"/>
              <w:left w:val="nil"/>
              <w:bottom w:val="single" w:sz="8" w:space="0" w:color="auto"/>
              <w:right w:val="single" w:sz="8" w:space="0" w:color="auto"/>
            </w:tcBorders>
            <w:shd w:val="clear" w:color="000000" w:fill="FFFFFF"/>
            <w:noWrap/>
            <w:vAlign w:val="bottom"/>
          </w:tcPr>
          <w:p w:rsidR="00C156C8" w:rsidRPr="00682BBE" w:rsidRDefault="00C156C8" w:rsidP="00C156C8">
            <w:pPr>
              <w:spacing w:after="0" w:line="240" w:lineRule="auto"/>
              <w:rPr>
                <w:rFonts w:ascii="Times New Roman" w:eastAsia="Times New Roman" w:hAnsi="Times New Roman" w:cs="Times New Roman"/>
                <w:sz w:val="18"/>
                <w:szCs w:val="18"/>
              </w:rPr>
            </w:pPr>
          </w:p>
        </w:tc>
      </w:tr>
    </w:tbl>
    <w:p w:rsidR="00682BBE" w:rsidRDefault="00682BBE"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Default="00E07348" w:rsidP="00C01014">
      <w:pPr>
        <w:rPr>
          <w:rFonts w:ascii="Times New Roman" w:hAnsi="Times New Roman" w:cs="Times New Roman"/>
          <w:b/>
          <w:sz w:val="28"/>
          <w:szCs w:val="24"/>
        </w:rPr>
      </w:pPr>
    </w:p>
    <w:p w:rsidR="00E07348" w:rsidRPr="00C01014" w:rsidRDefault="00E07348" w:rsidP="00C01014">
      <w:pPr>
        <w:rPr>
          <w:rFonts w:ascii="Times New Roman" w:hAnsi="Times New Roman" w:cs="Times New Roman"/>
          <w:b/>
          <w:sz w:val="28"/>
          <w:szCs w:val="24"/>
        </w:rPr>
      </w:pPr>
    </w:p>
    <w:tbl>
      <w:tblPr>
        <w:tblW w:w="5000" w:type="pct"/>
        <w:tblLook w:val="04A0" w:firstRow="1" w:lastRow="0" w:firstColumn="1" w:lastColumn="0" w:noHBand="0" w:noVBand="1"/>
      </w:tblPr>
      <w:tblGrid>
        <w:gridCol w:w="453"/>
        <w:gridCol w:w="892"/>
        <w:gridCol w:w="673"/>
        <w:gridCol w:w="777"/>
        <w:gridCol w:w="830"/>
        <w:gridCol w:w="830"/>
        <w:gridCol w:w="830"/>
        <w:gridCol w:w="696"/>
        <w:gridCol w:w="851"/>
        <w:gridCol w:w="797"/>
        <w:gridCol w:w="857"/>
        <w:gridCol w:w="4469"/>
      </w:tblGrid>
      <w:tr w:rsidR="00001E51" w:rsidTr="001D34F2">
        <w:trPr>
          <w:trHeight w:val="480"/>
        </w:trPr>
        <w:tc>
          <w:tcPr>
            <w:tcW w:w="3277" w:type="pct"/>
            <w:gridSpan w:val="11"/>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571EAF" w:rsidRPr="00571EAF" w:rsidRDefault="001E0569" w:rsidP="00571EAF">
            <w:pPr>
              <w:spacing w:after="0" w:line="240" w:lineRule="auto"/>
              <w:jc w:val="center"/>
              <w:rPr>
                <w:rFonts w:ascii="Calibri" w:eastAsia="Times New Roman" w:hAnsi="Calibri" w:cs="Calibri"/>
                <w:b/>
                <w:bCs/>
                <w:i/>
                <w:iCs/>
                <w:sz w:val="24"/>
                <w:szCs w:val="24"/>
              </w:rPr>
            </w:pPr>
            <w:r>
              <w:rPr>
                <w:rFonts w:ascii="Calibri" w:hAnsi="Calibri"/>
                <w:b/>
                <w:bCs/>
                <w:i/>
                <w:iCs/>
                <w:sz w:val="24"/>
                <w:szCs w:val="24"/>
              </w:rPr>
              <w:lastRenderedPageBreak/>
              <w:t>MONITORING THE IMPLEMENTATION OF THE KESIP FOR THE PERIOD 2022-2025: STRATEGIC OBJECTIVE 5</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Calibri" w:eastAsia="Times New Roman" w:hAnsi="Calibri" w:cs="Calibri"/>
                <w:b/>
                <w:bCs/>
                <w:i/>
                <w:iCs/>
                <w:sz w:val="24"/>
                <w:szCs w:val="24"/>
              </w:rPr>
            </w:pPr>
          </w:p>
        </w:tc>
      </w:tr>
      <w:tr w:rsidR="00001E51" w:rsidTr="001D34F2">
        <w:trPr>
          <w:trHeight w:val="780"/>
        </w:trPr>
        <w:tc>
          <w:tcPr>
            <w:tcW w:w="3277" w:type="pct"/>
            <w:gridSpan w:val="11"/>
            <w:tcBorders>
              <w:top w:val="single" w:sz="8" w:space="0" w:color="auto"/>
              <w:left w:val="nil"/>
              <w:bottom w:val="single" w:sz="8" w:space="0" w:color="auto"/>
              <w:right w:val="nil"/>
            </w:tcBorders>
            <w:noWrap/>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SO5: CONSUMER PROTECTION AND EMPOWERMENT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24"/>
                <w:szCs w:val="24"/>
              </w:rPr>
            </w:pPr>
          </w:p>
        </w:tc>
      </w:tr>
      <w:tr w:rsidR="00001E51" w:rsidTr="001D34F2">
        <w:trPr>
          <w:trHeight w:val="735"/>
        </w:trPr>
        <w:tc>
          <w:tcPr>
            <w:tcW w:w="174" w:type="pct"/>
            <w:tcBorders>
              <w:top w:val="nil"/>
              <w:left w:val="single" w:sz="8" w:space="0" w:color="auto"/>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358" w:type="pct"/>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Strategic and specific objectives, indicators and actions</w:t>
            </w:r>
          </w:p>
        </w:tc>
        <w:tc>
          <w:tcPr>
            <w:tcW w:w="874" w:type="pct"/>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Baseline value</w:t>
            </w:r>
          </w:p>
        </w:tc>
        <w:tc>
          <w:tcPr>
            <w:tcW w:w="636" w:type="pct"/>
            <w:gridSpan w:val="2"/>
            <w:tcBorders>
              <w:top w:val="single" w:sz="8" w:space="0" w:color="auto"/>
              <w:left w:val="nil"/>
              <w:bottom w:val="nil"/>
              <w:right w:val="single" w:sz="8" w:space="0" w:color="000000"/>
            </w:tcBorders>
            <w:shd w:val="clear" w:color="000000" w:fill="BDD6EE"/>
            <w:vAlign w:val="center"/>
            <w:hideMark/>
          </w:tcPr>
          <w:p w:rsidR="00571EAF" w:rsidRPr="003F2384"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Interim Objective</w:t>
            </w:r>
          </w:p>
          <w:p w:rsidR="00571EAF" w:rsidRPr="003F2384"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17" w:type="pct"/>
            <w:tcBorders>
              <w:top w:val="nil"/>
              <w:left w:val="nil"/>
              <w:bottom w:val="nil"/>
              <w:right w:val="single" w:sz="8" w:space="0" w:color="auto"/>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17" w:type="pct"/>
            <w:gridSpan w:val="3"/>
            <w:tcBorders>
              <w:top w:val="single" w:sz="8" w:space="0" w:color="auto"/>
              <w:left w:val="nil"/>
              <w:bottom w:val="nil"/>
              <w:right w:val="single" w:sz="8" w:space="0" w:color="000000"/>
            </w:tcBorders>
            <w:shd w:val="clear" w:color="000000" w:fill="BDD6E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Outcome</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315"/>
        </w:trPr>
        <w:tc>
          <w:tcPr>
            <w:tcW w:w="174" w:type="pct"/>
            <w:tcBorders>
              <w:top w:val="nil"/>
              <w:left w:val="single" w:sz="8" w:space="0" w:color="auto"/>
              <w:bottom w:val="single" w:sz="8" w:space="0" w:color="auto"/>
              <w:right w:val="single" w:sz="8" w:space="0" w:color="auto"/>
            </w:tcBorders>
            <w:shd w:val="clear" w:color="000000" w:fill="BFBFB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V.</w:t>
            </w:r>
          </w:p>
        </w:tc>
        <w:tc>
          <w:tcPr>
            <w:tcW w:w="3102" w:type="pct"/>
            <w:gridSpan w:val="10"/>
            <w:tcBorders>
              <w:top w:val="single" w:sz="8" w:space="0" w:color="auto"/>
              <w:left w:val="nil"/>
              <w:bottom w:val="single" w:sz="8" w:space="0" w:color="auto"/>
              <w:right w:val="single" w:sz="8" w:space="0" w:color="000000"/>
            </w:tcBorders>
            <w:shd w:val="clear" w:color="000000" w:fill="BFBFBF"/>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STRATEGIC OBJECTIVE 5: CONSUMER PROTECTION AND EMPOWERMENT</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735"/>
        </w:trPr>
        <w:tc>
          <w:tcPr>
            <w:tcW w:w="174"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Number of new schemes dedicated to vulnerable customers.</w:t>
            </w:r>
          </w:p>
        </w:tc>
        <w:tc>
          <w:tcPr>
            <w:tcW w:w="874"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N/A</w:t>
            </w:r>
          </w:p>
        </w:tc>
        <w:tc>
          <w:tcPr>
            <w:tcW w:w="636"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317"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4</w:t>
            </w:r>
          </w:p>
        </w:tc>
        <w:tc>
          <w:tcPr>
            <w:tcW w:w="917"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1D34F2">
        <w:trPr>
          <w:trHeight w:val="1215"/>
        </w:trPr>
        <w:tc>
          <w:tcPr>
            <w:tcW w:w="174"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Number of programs supporting energy efficiency and self-consumption community projects</w:t>
            </w:r>
          </w:p>
        </w:tc>
        <w:tc>
          <w:tcPr>
            <w:tcW w:w="874"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636"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&gt; 2</w:t>
            </w:r>
          </w:p>
        </w:tc>
        <w:tc>
          <w:tcPr>
            <w:tcW w:w="317"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&gt; 5</w:t>
            </w:r>
          </w:p>
        </w:tc>
        <w:tc>
          <w:tcPr>
            <w:tcW w:w="917"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1D34F2">
        <w:trPr>
          <w:trHeight w:val="315"/>
        </w:trPr>
        <w:tc>
          <w:tcPr>
            <w:tcW w:w="174"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V.1</w:t>
            </w:r>
          </w:p>
        </w:tc>
        <w:tc>
          <w:tcPr>
            <w:tcW w:w="3102"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Specific Objective:  Protection of vulnerable consumers</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735"/>
        </w:trPr>
        <w:tc>
          <w:tcPr>
            <w:tcW w:w="174" w:type="pct"/>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lastRenderedPageBreak/>
              <w:t> </w:t>
            </w:r>
          </w:p>
        </w:tc>
        <w:tc>
          <w:tcPr>
            <w:tcW w:w="358" w:type="pct"/>
            <w:tcBorders>
              <w:top w:val="nil"/>
              <w:left w:val="nil"/>
              <w:bottom w:val="nil"/>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874" w:type="pct"/>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636"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17"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17"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1455"/>
        </w:trPr>
        <w:tc>
          <w:tcPr>
            <w:tcW w:w="174" w:type="pct"/>
            <w:tcBorders>
              <w:top w:val="nil"/>
              <w:left w:val="single" w:sz="8" w:space="0" w:color="auto"/>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358" w:type="pct"/>
            <w:tcBorders>
              <w:top w:val="single" w:sz="8" w:space="0" w:color="auto"/>
              <w:left w:val="nil"/>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Price support scheme for vulnerable consumers.</w:t>
            </w:r>
          </w:p>
        </w:tc>
        <w:tc>
          <w:tcPr>
            <w:tcW w:w="874" w:type="pct"/>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Existing support scheme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(not properly targeted)</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[2021]</w:t>
            </w:r>
          </w:p>
        </w:tc>
        <w:tc>
          <w:tcPr>
            <w:tcW w:w="636" w:type="pct"/>
            <w:gridSpan w:val="2"/>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Establishment of a new program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for vulnerable consumers.</w:t>
            </w:r>
          </w:p>
        </w:tc>
        <w:tc>
          <w:tcPr>
            <w:tcW w:w="317" w:type="pct"/>
            <w:tcBorders>
              <w:top w:val="nil"/>
              <w:left w:val="nil"/>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Poverty-tested scheme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related to the reformed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social assistance scheme</w:t>
            </w:r>
          </w:p>
        </w:tc>
        <w:tc>
          <w:tcPr>
            <w:tcW w:w="917"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1D34F2">
        <w:trPr>
          <w:trHeight w:val="315"/>
        </w:trPr>
        <w:tc>
          <w:tcPr>
            <w:tcW w:w="17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3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252" w:type="pct"/>
            <w:gridSpan w:val="4"/>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31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8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21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2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72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F60F2E"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Implementation progress January - June 2025</w:t>
            </w:r>
          </w:p>
        </w:tc>
      </w:tr>
      <w:tr w:rsidR="00001E51" w:rsidTr="001D34F2">
        <w:trPr>
          <w:trHeight w:val="300"/>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83"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13"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2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72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1D34F2">
        <w:trPr>
          <w:trHeight w:val="315"/>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1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83"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13"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2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72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1D34F2">
        <w:trPr>
          <w:trHeight w:val="1290"/>
        </w:trPr>
        <w:tc>
          <w:tcPr>
            <w:tcW w:w="174" w:type="pct"/>
            <w:tcBorders>
              <w:top w:val="nil"/>
              <w:left w:val="single" w:sz="8" w:space="0" w:color="auto"/>
              <w:bottom w:val="single" w:sz="8" w:space="0" w:color="auto"/>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V.1.1</w:t>
            </w:r>
          </w:p>
        </w:tc>
        <w:tc>
          <w:tcPr>
            <w:tcW w:w="35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Supporting vulnerable consumers through existing support schemes.</w:t>
            </w:r>
          </w:p>
        </w:tc>
        <w:tc>
          <w:tcPr>
            <w:tcW w:w="25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Yearly</w:t>
            </w:r>
          </w:p>
        </w:tc>
        <w:tc>
          <w:tcPr>
            <w:tcW w:w="29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€ 4,500,000.00 </w:t>
            </w:r>
          </w:p>
        </w:tc>
        <w:tc>
          <w:tcPr>
            <w:tcW w:w="318" w:type="pct"/>
            <w:tcBorders>
              <w:top w:val="nil"/>
              <w:left w:val="nil"/>
              <w:bottom w:val="single" w:sz="8" w:space="0" w:color="auto"/>
              <w:right w:val="single" w:sz="8" w:space="0" w:color="auto"/>
            </w:tcBorders>
            <w:shd w:val="clear" w:color="000000" w:fill="FFFFFF"/>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4,500,000.00 </w:t>
            </w:r>
          </w:p>
        </w:tc>
        <w:tc>
          <w:tcPr>
            <w:tcW w:w="31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1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83" w:type="pct"/>
            <w:vMerge w:val="restart"/>
            <w:tcBorders>
              <w:top w:val="nil"/>
              <w:left w:val="single" w:sz="8" w:space="0" w:color="auto"/>
              <w:bottom w:val="single" w:sz="8" w:space="0" w:color="000000"/>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Ministry of Finance, Labour and Transfers</w:t>
            </w:r>
          </w:p>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(MFLT).</w:t>
            </w:r>
          </w:p>
        </w:tc>
        <w:tc>
          <w:tcPr>
            <w:tcW w:w="213"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Annual support schemes.</w:t>
            </w:r>
          </w:p>
        </w:tc>
        <w:tc>
          <w:tcPr>
            <w:tcW w:w="321"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Medium-Term Expenditure Framework </w:t>
            </w:r>
          </w:p>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2023-2025</w:t>
            </w:r>
          </w:p>
        </w:tc>
        <w:tc>
          <w:tcPr>
            <w:tcW w:w="1723" w:type="pct"/>
            <w:tcBorders>
              <w:top w:val="single" w:sz="8" w:space="0" w:color="auto"/>
              <w:left w:val="single" w:sz="8" w:space="0" w:color="auto"/>
              <w:bottom w:val="single" w:sz="8" w:space="0" w:color="auto"/>
              <w:right w:val="single" w:sz="8" w:space="0" w:color="auto"/>
            </w:tcBorders>
            <w:vAlign w:val="center"/>
            <w:hideMark/>
          </w:tcPr>
          <w:p w:rsidR="00BA03D5" w:rsidRDefault="001E0569" w:rsidP="0031083A">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707868" w:rsidRPr="00BA5858" w:rsidRDefault="00707868" w:rsidP="0031083A">
            <w:pPr>
              <w:spacing w:after="0" w:line="240" w:lineRule="auto"/>
              <w:rPr>
                <w:rFonts w:ascii="Times New Roman" w:hAnsi="Times New Roman" w:cs="Times New Roman"/>
                <w:b/>
                <w:bCs/>
                <w:color w:val="000000" w:themeColor="text1"/>
                <w:sz w:val="18"/>
                <w:szCs w:val="18"/>
              </w:rPr>
            </w:pPr>
          </w:p>
          <w:p w:rsidR="00C156C8" w:rsidRPr="0031083A"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This scheme has been replaced by the Pilot Program for Vulnerable Customers, which is explained in V.1.4.</w:t>
            </w:r>
          </w:p>
        </w:tc>
      </w:tr>
      <w:tr w:rsidR="00001E51" w:rsidTr="001D34F2">
        <w:trPr>
          <w:trHeight w:val="1335"/>
        </w:trPr>
        <w:tc>
          <w:tcPr>
            <w:tcW w:w="174" w:type="pct"/>
            <w:tcBorders>
              <w:top w:val="nil"/>
              <w:left w:val="single" w:sz="8" w:space="0" w:color="auto"/>
              <w:bottom w:val="single" w:sz="8" w:space="0" w:color="auto"/>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V.1.2</w:t>
            </w:r>
          </w:p>
        </w:tc>
        <w:tc>
          <w:tcPr>
            <w:tcW w:w="358" w:type="pct"/>
            <w:tcBorders>
              <w:top w:val="nil"/>
              <w:left w:val="nil"/>
              <w:bottom w:val="nil"/>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Creation of a new support scheme for vulnerable </w:t>
            </w:r>
            <w:r>
              <w:rPr>
                <w:rFonts w:ascii="Times New Roman" w:hAnsi="Times New Roman"/>
                <w:sz w:val="18"/>
                <w:szCs w:val="18"/>
              </w:rPr>
              <w:lastRenderedPageBreak/>
              <w:t>consumers.</w:t>
            </w:r>
          </w:p>
        </w:tc>
        <w:tc>
          <w:tcPr>
            <w:tcW w:w="25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Yearly</w:t>
            </w:r>
          </w:p>
        </w:tc>
        <w:tc>
          <w:tcPr>
            <w:tcW w:w="298" w:type="pct"/>
            <w:tcBorders>
              <w:top w:val="nil"/>
              <w:left w:val="nil"/>
              <w:bottom w:val="nil"/>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nil"/>
              <w:left w:val="nil"/>
              <w:bottom w:val="nil"/>
              <w:right w:val="single" w:sz="8" w:space="0" w:color="auto"/>
            </w:tcBorders>
            <w:shd w:val="clear" w:color="000000" w:fill="FFFFFF"/>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10,000,000.00 </w:t>
            </w:r>
          </w:p>
        </w:tc>
        <w:tc>
          <w:tcPr>
            <w:tcW w:w="318"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10,000,000.00 </w:t>
            </w:r>
          </w:p>
        </w:tc>
        <w:tc>
          <w:tcPr>
            <w:tcW w:w="317"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83" w:type="pct"/>
            <w:vMerge/>
            <w:tcBorders>
              <w:top w:val="nil"/>
              <w:left w:val="single" w:sz="8" w:space="0" w:color="auto"/>
              <w:bottom w:val="single" w:sz="8" w:space="0" w:color="000000"/>
              <w:right w:val="single" w:sz="8" w:space="0" w:color="auto"/>
            </w:tcBorders>
            <w:vAlign w:val="center"/>
            <w:hideMark/>
          </w:tcPr>
          <w:p w:rsidR="00C156C8" w:rsidRPr="00D0327D" w:rsidRDefault="00C156C8" w:rsidP="00C156C8">
            <w:pPr>
              <w:spacing w:after="0" w:line="240" w:lineRule="auto"/>
              <w:rPr>
                <w:rFonts w:ascii="Times New Roman" w:eastAsia="Times New Roman" w:hAnsi="Times New Roman" w:cs="Times New Roman"/>
                <w:sz w:val="18"/>
                <w:szCs w:val="18"/>
              </w:rPr>
            </w:pPr>
          </w:p>
        </w:tc>
        <w:tc>
          <w:tcPr>
            <w:tcW w:w="213"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Annual support schemes.</w:t>
            </w:r>
          </w:p>
        </w:tc>
        <w:tc>
          <w:tcPr>
            <w:tcW w:w="321" w:type="pct"/>
            <w:tcBorders>
              <w:top w:val="nil"/>
              <w:left w:val="nil"/>
              <w:bottom w:val="single" w:sz="8" w:space="0" w:color="auto"/>
              <w:right w:val="single" w:sz="8" w:space="0" w:color="auto"/>
            </w:tcBorders>
            <w:vAlign w:val="center"/>
            <w:hideMark/>
          </w:tcPr>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Medium-Term Expenditure Framework </w:t>
            </w:r>
          </w:p>
          <w:p w:rsidR="00C156C8" w:rsidRPr="00D0327D"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2023-2025</w:t>
            </w:r>
          </w:p>
        </w:tc>
        <w:tc>
          <w:tcPr>
            <w:tcW w:w="1723" w:type="pct"/>
            <w:tcBorders>
              <w:top w:val="nil"/>
              <w:left w:val="single" w:sz="8" w:space="0" w:color="auto"/>
              <w:bottom w:val="single" w:sz="8" w:space="0" w:color="auto"/>
              <w:right w:val="single" w:sz="8" w:space="0" w:color="auto"/>
            </w:tcBorders>
            <w:vAlign w:val="center"/>
            <w:hideMark/>
          </w:tcPr>
          <w:p w:rsidR="00BA03D5" w:rsidRPr="00707868" w:rsidRDefault="001E0569" w:rsidP="0031083A">
            <w:pPr>
              <w:spacing w:after="0" w:line="240" w:lineRule="auto"/>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Seventy percent (70%)</w:t>
            </w:r>
          </w:p>
          <w:p w:rsidR="00707868" w:rsidRPr="00BA03D5" w:rsidRDefault="00707868" w:rsidP="0031083A">
            <w:pPr>
              <w:spacing w:after="0" w:line="240" w:lineRule="auto"/>
              <w:rPr>
                <w:rFonts w:ascii="Times New Roman" w:hAnsi="Times New Roman" w:cs="Times New Roman"/>
                <w:b/>
                <w:color w:val="000000" w:themeColor="text1"/>
                <w:sz w:val="18"/>
                <w:szCs w:val="18"/>
              </w:rPr>
            </w:pPr>
          </w:p>
          <w:p w:rsidR="00C156C8" w:rsidRPr="0031083A"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The program supporting vulnerable consumers has been implemented based on Government Decision No. 06/224 dated 11.10.2024 and Minister’s Decision No. 60/2024 dated 11.10.2024 on the conditions and criteria for benefiting from the program for the protection of vulnerable consumers, as part of the document. </w:t>
            </w:r>
            <w:r>
              <w:rPr>
                <w:rFonts w:ascii="Times New Roman" w:hAnsi="Times New Roman"/>
                <w:sz w:val="18"/>
                <w:szCs w:val="18"/>
              </w:rPr>
              <w:t xml:space="preserve">Program for </w:t>
            </w:r>
            <w:r>
              <w:rPr>
                <w:rFonts w:ascii="Times New Roman" w:hAnsi="Times New Roman"/>
                <w:sz w:val="18"/>
                <w:szCs w:val="18"/>
              </w:rPr>
              <w:lastRenderedPageBreak/>
              <w:t>Vulnerable Consumers 2024-2025, the creation of a new scheme for vulnerable con</w:t>
            </w:r>
            <w:bookmarkStart w:id="16" w:name="_GoBack"/>
            <w:bookmarkEnd w:id="16"/>
            <w:r>
              <w:rPr>
                <w:rFonts w:ascii="Times New Roman" w:hAnsi="Times New Roman"/>
                <w:sz w:val="18"/>
                <w:szCs w:val="18"/>
              </w:rPr>
              <w:t>sumers will be regulated by the Draft Law on Social Assistance and Social Protection Programs.</w:t>
            </w:r>
          </w:p>
        </w:tc>
      </w:tr>
      <w:tr w:rsidR="00001E51" w:rsidTr="001D34F2">
        <w:trPr>
          <w:trHeight w:val="1905"/>
        </w:trPr>
        <w:tc>
          <w:tcPr>
            <w:tcW w:w="174" w:type="pct"/>
            <w:tcBorders>
              <w:top w:val="nil"/>
              <w:left w:val="single" w:sz="8" w:space="0" w:color="auto"/>
              <w:bottom w:val="single" w:sz="8" w:space="0" w:color="auto"/>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V.1.3</w:t>
            </w:r>
          </w:p>
        </w:tc>
        <w:tc>
          <w:tcPr>
            <w:tcW w:w="35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Designing a five-year program for the protection of vulnerable consumers</w:t>
            </w:r>
          </w:p>
        </w:tc>
        <w:tc>
          <w:tcPr>
            <w:tcW w:w="258" w:type="pct"/>
            <w:tcBorders>
              <w:top w:val="nil"/>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2023/2024</w:t>
            </w:r>
          </w:p>
        </w:tc>
        <w:tc>
          <w:tcPr>
            <w:tcW w:w="29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single" w:sz="8" w:space="0" w:color="auto"/>
              <w:left w:val="nil"/>
              <w:bottom w:val="nil"/>
              <w:right w:val="single" w:sz="8" w:space="0" w:color="auto"/>
            </w:tcBorders>
            <w:shd w:val="clear" w:color="000000" w:fill="FFFFFF"/>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 </w:t>
            </w:r>
          </w:p>
        </w:tc>
        <w:tc>
          <w:tcPr>
            <w:tcW w:w="318" w:type="pct"/>
            <w:tcBorders>
              <w:top w:val="nil"/>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18" w:type="pct"/>
            <w:tcBorders>
              <w:top w:val="nil"/>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nil"/>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383" w:type="pct"/>
            <w:vMerge/>
            <w:tcBorders>
              <w:top w:val="nil"/>
              <w:left w:val="single" w:sz="8" w:space="0" w:color="auto"/>
              <w:bottom w:val="single" w:sz="8" w:space="0" w:color="000000"/>
              <w:right w:val="single" w:sz="8" w:space="0" w:color="auto"/>
            </w:tcBorders>
            <w:vAlign w:val="center"/>
            <w:hideMark/>
          </w:tcPr>
          <w:p w:rsidR="00C156C8" w:rsidRPr="00571EAF" w:rsidRDefault="00C156C8" w:rsidP="00C156C8">
            <w:pPr>
              <w:spacing w:after="0" w:line="240" w:lineRule="auto"/>
              <w:rPr>
                <w:rFonts w:ascii="Times New Roman" w:eastAsia="Times New Roman" w:hAnsi="Times New Roman" w:cs="Times New Roman"/>
                <w:sz w:val="18"/>
                <w:szCs w:val="18"/>
              </w:rPr>
            </w:pPr>
          </w:p>
        </w:tc>
        <w:tc>
          <w:tcPr>
            <w:tcW w:w="213" w:type="pct"/>
            <w:tcBorders>
              <w:top w:val="nil"/>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Drafting and adoption of the program for vulnerable consumers</w:t>
            </w:r>
          </w:p>
        </w:tc>
        <w:tc>
          <w:tcPr>
            <w:tcW w:w="321" w:type="pct"/>
            <w:tcBorders>
              <w:top w:val="nil"/>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723" w:type="pct"/>
            <w:tcBorders>
              <w:top w:val="nil"/>
              <w:left w:val="single" w:sz="8" w:space="0" w:color="auto"/>
              <w:bottom w:val="single" w:sz="8" w:space="0" w:color="auto"/>
              <w:right w:val="single" w:sz="8" w:space="0" w:color="auto"/>
            </w:tcBorders>
            <w:vAlign w:val="center"/>
            <w:hideMark/>
          </w:tcPr>
          <w:p w:rsidR="00BA03D5" w:rsidRPr="007123A8" w:rsidRDefault="001E0569" w:rsidP="00702F96">
            <w:pPr>
              <w:spacing w:after="0" w:line="240" w:lineRule="auto"/>
              <w:jc w:val="both"/>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7123A8" w:rsidRPr="00BA03D5" w:rsidRDefault="007123A8" w:rsidP="00702F96">
            <w:pPr>
              <w:spacing w:after="0" w:line="240" w:lineRule="auto"/>
              <w:jc w:val="both"/>
              <w:rPr>
                <w:rFonts w:ascii="Times New Roman" w:hAnsi="Times New Roman" w:cs="Times New Roman"/>
                <w:b/>
                <w:color w:val="000000" w:themeColor="text1"/>
                <w:sz w:val="18"/>
                <w:szCs w:val="18"/>
              </w:rPr>
            </w:pPr>
          </w:p>
          <w:p w:rsidR="00C156C8" w:rsidRPr="00571EAF"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The Program for Vulnerable Consumers 2024-2025 has been prepared and approved, while the drafting of the five (5)‑year program will be carried out only after the approval of the legal framework that will regulate the procedures and criteria for electricity subsidy for vulnerable consumers.</w:t>
            </w:r>
          </w:p>
        </w:tc>
      </w:tr>
      <w:tr w:rsidR="00001E51" w:rsidTr="001D34F2">
        <w:trPr>
          <w:trHeight w:val="3103"/>
        </w:trPr>
        <w:tc>
          <w:tcPr>
            <w:tcW w:w="174" w:type="pct"/>
            <w:tcBorders>
              <w:top w:val="nil"/>
              <w:left w:val="single" w:sz="8" w:space="0" w:color="auto"/>
              <w:bottom w:val="single" w:sz="8" w:space="0" w:color="auto"/>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V.1.4</w:t>
            </w:r>
          </w:p>
        </w:tc>
        <w:tc>
          <w:tcPr>
            <w:tcW w:w="35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Drafting and adoption of a one (1) year program for the implementation of measures to support vulnerable consumers</w:t>
            </w:r>
          </w:p>
        </w:tc>
        <w:tc>
          <w:tcPr>
            <w:tcW w:w="25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9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single" w:sz="8" w:space="0" w:color="auto"/>
              <w:left w:val="nil"/>
              <w:bottom w:val="nil"/>
              <w:right w:val="single" w:sz="8" w:space="0" w:color="auto"/>
            </w:tcBorders>
            <w:shd w:val="clear" w:color="000000" w:fill="FFFFFF"/>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10,000.00 </w:t>
            </w:r>
          </w:p>
        </w:tc>
        <w:tc>
          <w:tcPr>
            <w:tcW w:w="31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1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EU-Funds, IPA</w:t>
            </w:r>
          </w:p>
        </w:tc>
        <w:tc>
          <w:tcPr>
            <w:tcW w:w="383" w:type="pct"/>
            <w:vMerge/>
            <w:tcBorders>
              <w:top w:val="nil"/>
              <w:left w:val="single" w:sz="8" w:space="0" w:color="auto"/>
              <w:bottom w:val="single" w:sz="8" w:space="0" w:color="000000"/>
              <w:right w:val="single" w:sz="8" w:space="0" w:color="auto"/>
            </w:tcBorders>
            <w:vAlign w:val="center"/>
            <w:hideMark/>
          </w:tcPr>
          <w:p w:rsidR="00C156C8" w:rsidRPr="00571EAF" w:rsidRDefault="00C156C8" w:rsidP="00C156C8">
            <w:pPr>
              <w:spacing w:after="0" w:line="240" w:lineRule="auto"/>
              <w:rPr>
                <w:rFonts w:ascii="Times New Roman" w:eastAsia="Times New Roman" w:hAnsi="Times New Roman" w:cs="Times New Roman"/>
                <w:sz w:val="18"/>
                <w:szCs w:val="18"/>
              </w:rPr>
            </w:pPr>
          </w:p>
        </w:tc>
        <w:tc>
          <w:tcPr>
            <w:tcW w:w="213"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One (1) year program drafted and adopted. </w:t>
            </w:r>
          </w:p>
        </w:tc>
        <w:tc>
          <w:tcPr>
            <w:tcW w:w="321"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Minister’s decision on the establishment of the Working Group (WG).</w:t>
            </w:r>
          </w:p>
        </w:tc>
        <w:tc>
          <w:tcPr>
            <w:tcW w:w="1723" w:type="pct"/>
            <w:tcBorders>
              <w:top w:val="nil"/>
              <w:left w:val="single" w:sz="8" w:space="0" w:color="auto"/>
              <w:bottom w:val="single" w:sz="8" w:space="0" w:color="auto"/>
              <w:right w:val="single" w:sz="8" w:space="0" w:color="auto"/>
            </w:tcBorders>
            <w:vAlign w:val="center"/>
            <w:hideMark/>
          </w:tcPr>
          <w:p w:rsidR="00161BEA" w:rsidRPr="007123A8" w:rsidRDefault="001E0569" w:rsidP="00161BEA">
            <w:pPr>
              <w:spacing w:after="0" w:line="240" w:lineRule="auto"/>
              <w:jc w:val="both"/>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BA03D5" w:rsidRPr="00BA03D5" w:rsidRDefault="001E0569" w:rsidP="0031083A">
            <w:pPr>
              <w:spacing w:after="0" w:line="240" w:lineRule="auto"/>
              <w:rPr>
                <w:rFonts w:ascii="Times New Roman" w:hAnsi="Times New Roman" w:cs="Times New Roman"/>
                <w:b/>
                <w:color w:val="000000" w:themeColor="text1"/>
                <w:sz w:val="18"/>
                <w:szCs w:val="18"/>
              </w:rPr>
            </w:pPr>
            <w:r>
              <w:rPr>
                <w:rFonts w:ascii="Times New Roman" w:hAnsi="Times New Roman"/>
                <w:color w:val="000000" w:themeColor="text1"/>
                <w:sz w:val="18"/>
                <w:szCs w:val="18"/>
              </w:rPr>
              <w:t xml:space="preserve">  </w:t>
            </w:r>
          </w:p>
          <w:p w:rsidR="00C156C8" w:rsidRPr="0031083A"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The Program for Vulnerable Consumers 2024-2025 commenced implementation in October 2024. Under this program, 90,977 families have benefited (March 2025). </w:t>
            </w:r>
            <w:r>
              <w:rPr>
                <w:rFonts w:ascii="Times New Roman" w:hAnsi="Times New Roman"/>
                <w:sz w:val="18"/>
                <w:szCs w:val="18"/>
              </w:rPr>
              <w:t>According to this program, through the subsidy of a portion of the monthly electricity bill, families have benefited based on their income level and the financial eligibility threshold set forth in the program and the MFLT Decision.</w:t>
            </w:r>
          </w:p>
        </w:tc>
      </w:tr>
      <w:tr w:rsidR="00001E51" w:rsidTr="001D34F2">
        <w:trPr>
          <w:trHeight w:val="1935"/>
        </w:trPr>
        <w:tc>
          <w:tcPr>
            <w:tcW w:w="174" w:type="pct"/>
            <w:tcBorders>
              <w:top w:val="nil"/>
              <w:left w:val="single" w:sz="8" w:space="0" w:color="auto"/>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V.1.5</w:t>
            </w:r>
          </w:p>
        </w:tc>
        <w:tc>
          <w:tcPr>
            <w:tcW w:w="358" w:type="pct"/>
            <w:tcBorders>
              <w:top w:val="single" w:sz="8" w:space="0" w:color="auto"/>
              <w:left w:val="nil"/>
              <w:bottom w:val="nil"/>
              <w:right w:val="single" w:sz="8" w:space="0" w:color="auto"/>
            </w:tcBorders>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Support through subsidizing part of the bill for beneficiaries of social and </w:t>
            </w:r>
            <w:r>
              <w:rPr>
                <w:rFonts w:ascii="Times New Roman" w:hAnsi="Times New Roman"/>
                <w:sz w:val="18"/>
                <w:szCs w:val="18"/>
              </w:rPr>
              <w:lastRenderedPageBreak/>
              <w:t>pension schemes as well as households who are selected through a formal tested scheme</w:t>
            </w:r>
          </w:p>
        </w:tc>
        <w:tc>
          <w:tcPr>
            <w:tcW w:w="25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2023</w:t>
            </w:r>
          </w:p>
        </w:tc>
        <w:tc>
          <w:tcPr>
            <w:tcW w:w="29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single" w:sz="8" w:space="0" w:color="auto"/>
              <w:left w:val="nil"/>
              <w:bottom w:val="nil"/>
              <w:right w:val="single" w:sz="8" w:space="0" w:color="auto"/>
            </w:tcBorders>
            <w:shd w:val="clear" w:color="000000" w:fill="FFFFFF"/>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20,000,000.00 </w:t>
            </w:r>
          </w:p>
        </w:tc>
        <w:tc>
          <w:tcPr>
            <w:tcW w:w="31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1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single" w:sz="8" w:space="0" w:color="auto"/>
              <w:left w:val="nil"/>
              <w:bottom w:val="nil"/>
              <w:right w:val="single" w:sz="8" w:space="0" w:color="auto"/>
            </w:tcBorders>
            <w:vAlign w:val="center"/>
            <w:hideMark/>
          </w:tcPr>
          <w:p w:rsidR="00C156C8" w:rsidRPr="00571EAF" w:rsidRDefault="001E0569" w:rsidP="00C52BB3">
            <w:pPr>
              <w:spacing w:after="0" w:line="240" w:lineRule="auto"/>
              <w:rPr>
                <w:rFonts w:ascii="Times New Roman" w:eastAsia="Times New Roman" w:hAnsi="Times New Roman" w:cs="Times New Roman"/>
                <w:sz w:val="18"/>
                <w:szCs w:val="18"/>
              </w:rPr>
            </w:pPr>
            <w:r>
              <w:rPr>
                <w:rFonts w:ascii="Times New Roman" w:hAnsi="Times New Roman"/>
                <w:sz w:val="18"/>
                <w:szCs w:val="18"/>
              </w:rPr>
              <w:t>EU-Funds, IPA</w:t>
            </w:r>
          </w:p>
        </w:tc>
        <w:tc>
          <w:tcPr>
            <w:tcW w:w="383" w:type="pct"/>
            <w:vMerge/>
            <w:tcBorders>
              <w:top w:val="nil"/>
              <w:left w:val="single" w:sz="8" w:space="0" w:color="auto"/>
              <w:bottom w:val="single" w:sz="8" w:space="0" w:color="000000"/>
              <w:right w:val="single" w:sz="8" w:space="0" w:color="auto"/>
            </w:tcBorders>
            <w:vAlign w:val="center"/>
            <w:hideMark/>
          </w:tcPr>
          <w:p w:rsidR="00C156C8" w:rsidRPr="00571EAF" w:rsidRDefault="00C156C8" w:rsidP="00C156C8">
            <w:pPr>
              <w:spacing w:after="0" w:line="240" w:lineRule="auto"/>
              <w:rPr>
                <w:rFonts w:ascii="Times New Roman" w:eastAsia="Times New Roman" w:hAnsi="Times New Roman" w:cs="Times New Roman"/>
                <w:sz w:val="18"/>
                <w:szCs w:val="18"/>
              </w:rPr>
            </w:pPr>
          </w:p>
        </w:tc>
        <w:tc>
          <w:tcPr>
            <w:tcW w:w="213"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Number of vulnerable families supported through direct subsidy </w:t>
            </w:r>
            <w:r>
              <w:rPr>
                <w:rFonts w:ascii="Times New Roman" w:hAnsi="Times New Roman"/>
                <w:sz w:val="18"/>
                <w:szCs w:val="18"/>
              </w:rPr>
              <w:lastRenderedPageBreak/>
              <w:t>(200,000 beneficiaries)</w:t>
            </w:r>
          </w:p>
        </w:tc>
        <w:tc>
          <w:tcPr>
            <w:tcW w:w="321"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 xml:space="preserve">Measure 1: Action Plan - Mitigating the immediate socio-economic impact </w:t>
            </w:r>
            <w:r>
              <w:rPr>
                <w:rFonts w:ascii="Times New Roman" w:hAnsi="Times New Roman"/>
                <w:sz w:val="18"/>
                <w:szCs w:val="18"/>
              </w:rPr>
              <w:lastRenderedPageBreak/>
              <w:t>of the energy crisis.</w:t>
            </w:r>
          </w:p>
        </w:tc>
        <w:tc>
          <w:tcPr>
            <w:tcW w:w="1723" w:type="pct"/>
            <w:tcBorders>
              <w:top w:val="nil"/>
              <w:left w:val="single" w:sz="8" w:space="0" w:color="auto"/>
              <w:bottom w:val="single" w:sz="8" w:space="0" w:color="auto"/>
              <w:right w:val="single" w:sz="8" w:space="0" w:color="auto"/>
            </w:tcBorders>
            <w:vAlign w:val="center"/>
            <w:hideMark/>
          </w:tcPr>
          <w:p w:rsidR="00C156C8" w:rsidRPr="00BA03D5" w:rsidRDefault="001E0569" w:rsidP="00C52BB3">
            <w:pPr>
              <w:spacing w:after="0" w:line="240" w:lineRule="auto"/>
              <w:rPr>
                <w:rFonts w:ascii="Times New Roman" w:eastAsia="Times New Roman" w:hAnsi="Times New Roman" w:cs="Times New Roman"/>
                <w:color w:val="000000" w:themeColor="text1"/>
                <w:sz w:val="18"/>
                <w:szCs w:val="18"/>
              </w:rPr>
            </w:pPr>
            <w:r>
              <w:rPr>
                <w:rFonts w:ascii="Times New Roman" w:hAnsi="Times New Roman"/>
                <w:color w:val="000000" w:themeColor="text1"/>
                <w:sz w:val="18"/>
                <w:szCs w:val="18"/>
              </w:rPr>
              <w:lastRenderedPageBreak/>
              <w:t>It is included within Action 1.4.</w:t>
            </w:r>
          </w:p>
        </w:tc>
      </w:tr>
      <w:tr w:rsidR="00001E51" w:rsidTr="001D34F2">
        <w:trPr>
          <w:trHeight w:val="1455"/>
        </w:trPr>
        <w:tc>
          <w:tcPr>
            <w:tcW w:w="174" w:type="pct"/>
            <w:tcBorders>
              <w:top w:val="single" w:sz="8" w:space="0" w:color="auto"/>
              <w:left w:val="single" w:sz="8" w:space="0" w:color="auto"/>
              <w:bottom w:val="single" w:sz="8" w:space="0" w:color="auto"/>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V.1.6</w:t>
            </w:r>
          </w:p>
        </w:tc>
        <w:tc>
          <w:tcPr>
            <w:tcW w:w="35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Support through subsidizing alternative methods (wood and pellets) for heating purposes for vulnerable groups.</w:t>
            </w:r>
          </w:p>
        </w:tc>
        <w:tc>
          <w:tcPr>
            <w:tcW w:w="25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9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single" w:sz="8" w:space="0" w:color="auto"/>
              <w:left w:val="nil"/>
              <w:bottom w:val="nil"/>
              <w:right w:val="single" w:sz="8" w:space="0" w:color="auto"/>
            </w:tcBorders>
            <w:shd w:val="clear" w:color="000000" w:fill="FFFFFF"/>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5,000,000.00 </w:t>
            </w:r>
          </w:p>
        </w:tc>
        <w:tc>
          <w:tcPr>
            <w:tcW w:w="31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18"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EU-Funds, IPA</w:t>
            </w:r>
          </w:p>
        </w:tc>
        <w:tc>
          <w:tcPr>
            <w:tcW w:w="383" w:type="pct"/>
            <w:vMerge/>
            <w:tcBorders>
              <w:top w:val="nil"/>
              <w:left w:val="single" w:sz="8" w:space="0" w:color="auto"/>
              <w:bottom w:val="single" w:sz="8" w:space="0" w:color="000000"/>
              <w:right w:val="single" w:sz="8" w:space="0" w:color="auto"/>
            </w:tcBorders>
            <w:vAlign w:val="center"/>
            <w:hideMark/>
          </w:tcPr>
          <w:p w:rsidR="00C156C8" w:rsidRPr="00571EAF" w:rsidRDefault="00C156C8" w:rsidP="00C156C8">
            <w:pPr>
              <w:spacing w:after="0" w:line="240" w:lineRule="auto"/>
              <w:rPr>
                <w:rFonts w:ascii="Times New Roman" w:eastAsia="Times New Roman" w:hAnsi="Times New Roman" w:cs="Times New Roman"/>
                <w:sz w:val="18"/>
                <w:szCs w:val="18"/>
              </w:rPr>
            </w:pPr>
          </w:p>
        </w:tc>
        <w:tc>
          <w:tcPr>
            <w:tcW w:w="213"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Number of vulnerable families benefiting from support (10,000 families).</w:t>
            </w:r>
          </w:p>
        </w:tc>
        <w:tc>
          <w:tcPr>
            <w:tcW w:w="321" w:type="pct"/>
            <w:tcBorders>
              <w:top w:val="single" w:sz="8" w:space="0" w:color="auto"/>
              <w:left w:val="nil"/>
              <w:bottom w:val="nil"/>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Measure 1: Action Plan - Mitigating the immediate socio-economic impact of the energy crisis.</w:t>
            </w:r>
          </w:p>
        </w:tc>
        <w:tc>
          <w:tcPr>
            <w:tcW w:w="1723" w:type="pct"/>
            <w:tcBorders>
              <w:top w:val="nil"/>
              <w:left w:val="single" w:sz="8" w:space="0" w:color="auto"/>
              <w:bottom w:val="single" w:sz="8" w:space="0" w:color="auto"/>
              <w:right w:val="single" w:sz="8" w:space="0" w:color="auto"/>
            </w:tcBorders>
            <w:vAlign w:val="center"/>
            <w:hideMark/>
          </w:tcPr>
          <w:p w:rsidR="00B87F27" w:rsidRPr="007123A8" w:rsidRDefault="001E0569" w:rsidP="00B87F27">
            <w:pPr>
              <w:spacing w:after="0" w:line="240" w:lineRule="auto"/>
              <w:jc w:val="both"/>
              <w:rPr>
                <w:rFonts w:ascii="Times New Roman" w:hAnsi="Times New Roman" w:cs="Times New Roman"/>
                <w:b/>
                <w:bCs/>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BA03D5" w:rsidRPr="00BA03D5" w:rsidRDefault="001E0569" w:rsidP="00C52BB3">
            <w:pPr>
              <w:spacing w:after="0" w:line="240" w:lineRule="auto"/>
              <w:rPr>
                <w:rFonts w:ascii="Times New Roman" w:hAnsi="Times New Roman" w:cs="Times New Roman"/>
                <w:b/>
                <w:color w:val="000000" w:themeColor="text1"/>
                <w:sz w:val="18"/>
                <w:szCs w:val="18"/>
              </w:rPr>
            </w:pPr>
            <w:r>
              <w:rPr>
                <w:rFonts w:ascii="Times New Roman" w:hAnsi="Times New Roman"/>
                <w:color w:val="000000" w:themeColor="text1"/>
                <w:sz w:val="18"/>
                <w:szCs w:val="18"/>
              </w:rPr>
              <w:t xml:space="preserve">     </w:t>
            </w:r>
          </w:p>
          <w:p w:rsidR="00C156C8" w:rsidRPr="00C52BB3"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color w:val="000000" w:themeColor="text1"/>
                <w:sz w:val="18"/>
                <w:szCs w:val="18"/>
              </w:rPr>
              <w:t xml:space="preserve">It was finalized in 2023, and around 20,000 families have benefited from subsidized social assistance. </w:t>
            </w:r>
          </w:p>
        </w:tc>
      </w:tr>
      <w:tr w:rsidR="00001E51" w:rsidTr="001D34F2">
        <w:trPr>
          <w:trHeight w:val="5974"/>
        </w:trPr>
        <w:tc>
          <w:tcPr>
            <w:tcW w:w="174" w:type="pct"/>
            <w:tcBorders>
              <w:top w:val="nil"/>
              <w:left w:val="single" w:sz="8" w:space="0" w:color="auto"/>
              <w:bottom w:val="single" w:sz="8" w:space="0" w:color="auto"/>
              <w:right w:val="single" w:sz="8" w:space="0" w:color="auto"/>
            </w:tcBorders>
            <w:vAlign w:val="center"/>
            <w:hideMark/>
          </w:tcPr>
          <w:p w:rsidR="00C156C8" w:rsidRPr="00571EAF"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V.1.7</w:t>
            </w:r>
          </w:p>
        </w:tc>
        <w:tc>
          <w:tcPr>
            <w:tcW w:w="358"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Supporting households by subsidizing the current month’s electricity bill based on the percentage of energy savings they have made compared to the same month of the previous year</w:t>
            </w:r>
          </w:p>
          <w:p w:rsidR="00E07348" w:rsidRPr="009D1F81" w:rsidRDefault="00E07348" w:rsidP="00C156C8">
            <w:pPr>
              <w:spacing w:after="0" w:line="240" w:lineRule="auto"/>
              <w:jc w:val="center"/>
              <w:rPr>
                <w:rFonts w:ascii="Times New Roman" w:eastAsia="Times New Roman" w:hAnsi="Times New Roman" w:cs="Times New Roman"/>
                <w:sz w:val="18"/>
                <w:szCs w:val="18"/>
              </w:rPr>
            </w:pPr>
          </w:p>
          <w:p w:rsidR="00C52BB3" w:rsidRPr="009D1F81" w:rsidRDefault="00C52BB3" w:rsidP="00C156C8">
            <w:pPr>
              <w:spacing w:after="0" w:line="240" w:lineRule="auto"/>
              <w:jc w:val="center"/>
              <w:rPr>
                <w:rFonts w:ascii="Times New Roman" w:eastAsia="Times New Roman" w:hAnsi="Times New Roman" w:cs="Times New Roman"/>
                <w:sz w:val="18"/>
                <w:szCs w:val="18"/>
              </w:rPr>
            </w:pPr>
          </w:p>
          <w:p w:rsidR="00E07348" w:rsidRPr="009D1F81" w:rsidRDefault="00E07348" w:rsidP="00C156C8">
            <w:pPr>
              <w:spacing w:after="0" w:line="240" w:lineRule="auto"/>
              <w:jc w:val="center"/>
              <w:rPr>
                <w:rFonts w:ascii="Times New Roman" w:eastAsia="Times New Roman" w:hAnsi="Times New Roman" w:cs="Times New Roman"/>
                <w:sz w:val="18"/>
                <w:szCs w:val="18"/>
              </w:rPr>
            </w:pPr>
          </w:p>
          <w:p w:rsidR="00E07348" w:rsidRPr="009D1F81" w:rsidRDefault="00E07348" w:rsidP="00C156C8">
            <w:pPr>
              <w:spacing w:after="0" w:line="240" w:lineRule="auto"/>
              <w:jc w:val="center"/>
              <w:rPr>
                <w:rFonts w:ascii="Times New Roman" w:eastAsia="Times New Roman" w:hAnsi="Times New Roman" w:cs="Times New Roman"/>
                <w:sz w:val="18"/>
                <w:szCs w:val="18"/>
              </w:rPr>
            </w:pPr>
          </w:p>
          <w:p w:rsidR="00E07348" w:rsidRPr="009D1F81" w:rsidRDefault="00E07348" w:rsidP="00C156C8">
            <w:pPr>
              <w:spacing w:after="0" w:line="240" w:lineRule="auto"/>
              <w:jc w:val="center"/>
              <w:rPr>
                <w:rFonts w:ascii="Times New Roman" w:eastAsia="Times New Roman" w:hAnsi="Times New Roman" w:cs="Times New Roman"/>
                <w:sz w:val="18"/>
                <w:szCs w:val="18"/>
              </w:rPr>
            </w:pPr>
          </w:p>
          <w:p w:rsidR="00E07348" w:rsidRPr="009D1F81" w:rsidRDefault="00E07348" w:rsidP="00C156C8">
            <w:pPr>
              <w:spacing w:after="0" w:line="240" w:lineRule="auto"/>
              <w:jc w:val="center"/>
              <w:rPr>
                <w:rFonts w:ascii="Times New Roman" w:eastAsia="Times New Roman" w:hAnsi="Times New Roman" w:cs="Times New Roman"/>
                <w:sz w:val="18"/>
                <w:szCs w:val="18"/>
              </w:rPr>
            </w:pPr>
          </w:p>
          <w:p w:rsidR="00E07348" w:rsidRPr="009D1F81" w:rsidRDefault="00E07348" w:rsidP="00C156C8">
            <w:pPr>
              <w:spacing w:after="0" w:line="240" w:lineRule="auto"/>
              <w:jc w:val="center"/>
              <w:rPr>
                <w:rFonts w:ascii="Times New Roman" w:eastAsia="Times New Roman" w:hAnsi="Times New Roman" w:cs="Times New Roman"/>
                <w:sz w:val="18"/>
                <w:szCs w:val="18"/>
              </w:rPr>
            </w:pPr>
          </w:p>
          <w:p w:rsidR="00E07348" w:rsidRPr="009D1F81" w:rsidRDefault="00E07348" w:rsidP="00C156C8">
            <w:pPr>
              <w:spacing w:after="0" w:line="240" w:lineRule="auto"/>
              <w:jc w:val="center"/>
              <w:rPr>
                <w:rFonts w:ascii="Times New Roman" w:eastAsia="Times New Roman" w:hAnsi="Times New Roman" w:cs="Times New Roman"/>
                <w:sz w:val="18"/>
                <w:szCs w:val="18"/>
              </w:rPr>
            </w:pPr>
          </w:p>
          <w:p w:rsidR="00E07348" w:rsidRPr="009D1F81" w:rsidRDefault="00E07348" w:rsidP="00C156C8">
            <w:pPr>
              <w:spacing w:after="0" w:line="240" w:lineRule="auto"/>
              <w:jc w:val="center"/>
              <w:rPr>
                <w:rFonts w:ascii="Times New Roman" w:eastAsia="Times New Roman" w:hAnsi="Times New Roman" w:cs="Times New Roman"/>
                <w:sz w:val="18"/>
                <w:szCs w:val="18"/>
              </w:rPr>
            </w:pPr>
          </w:p>
        </w:tc>
        <w:tc>
          <w:tcPr>
            <w:tcW w:w="258"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98"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single" w:sz="8" w:space="0" w:color="auto"/>
              <w:left w:val="nil"/>
              <w:bottom w:val="single" w:sz="8" w:space="0" w:color="auto"/>
              <w:right w:val="single" w:sz="8" w:space="0" w:color="auto"/>
            </w:tcBorders>
            <w:shd w:val="clear" w:color="000000" w:fill="FFFFFF"/>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15,000,000.00 </w:t>
            </w:r>
          </w:p>
        </w:tc>
        <w:tc>
          <w:tcPr>
            <w:tcW w:w="318"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   </w:t>
            </w:r>
          </w:p>
        </w:tc>
        <w:tc>
          <w:tcPr>
            <w:tcW w:w="318"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EU-Funds, IPA</w:t>
            </w:r>
          </w:p>
        </w:tc>
        <w:tc>
          <w:tcPr>
            <w:tcW w:w="383" w:type="pct"/>
            <w:vMerge/>
            <w:tcBorders>
              <w:top w:val="nil"/>
              <w:left w:val="single" w:sz="8" w:space="0" w:color="auto"/>
              <w:bottom w:val="single" w:sz="8" w:space="0" w:color="000000"/>
              <w:right w:val="single" w:sz="8" w:space="0" w:color="auto"/>
            </w:tcBorders>
            <w:vAlign w:val="center"/>
            <w:hideMark/>
          </w:tcPr>
          <w:p w:rsidR="00C156C8" w:rsidRPr="009D1F81" w:rsidRDefault="00C156C8" w:rsidP="00C156C8">
            <w:pPr>
              <w:spacing w:after="0" w:line="240" w:lineRule="auto"/>
              <w:rPr>
                <w:rFonts w:ascii="Times New Roman" w:eastAsia="Times New Roman" w:hAnsi="Times New Roman" w:cs="Times New Roman"/>
                <w:sz w:val="18"/>
                <w:szCs w:val="18"/>
              </w:rPr>
            </w:pPr>
          </w:p>
        </w:tc>
        <w:tc>
          <w:tcPr>
            <w:tcW w:w="213"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Number of households supported through energy saving</w:t>
            </w:r>
          </w:p>
        </w:tc>
        <w:tc>
          <w:tcPr>
            <w:tcW w:w="321" w:type="pct"/>
            <w:tcBorders>
              <w:top w:val="single" w:sz="8" w:space="0" w:color="auto"/>
              <w:left w:val="nil"/>
              <w:bottom w:val="single" w:sz="8" w:space="0" w:color="auto"/>
              <w:right w:val="single" w:sz="8" w:space="0" w:color="auto"/>
            </w:tcBorders>
            <w:vAlign w:val="center"/>
            <w:hideMark/>
          </w:tcPr>
          <w:p w:rsidR="00C156C8" w:rsidRPr="009D1F81" w:rsidRDefault="001E0569" w:rsidP="00C156C8">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Measure 1: Action Plan - Mitigating the immediate socio-economic impact of the energy crisis.</w:t>
            </w:r>
          </w:p>
        </w:tc>
        <w:tc>
          <w:tcPr>
            <w:tcW w:w="1723" w:type="pct"/>
            <w:tcBorders>
              <w:top w:val="nil"/>
              <w:left w:val="single" w:sz="8" w:space="0" w:color="auto"/>
              <w:bottom w:val="single" w:sz="8" w:space="0" w:color="auto"/>
              <w:right w:val="single" w:sz="8" w:space="0" w:color="auto"/>
            </w:tcBorders>
            <w:vAlign w:val="center"/>
            <w:hideMark/>
          </w:tcPr>
          <w:p w:rsidR="00922621" w:rsidRPr="007123A8" w:rsidRDefault="001E0569" w:rsidP="00922621">
            <w:pPr>
              <w:spacing w:after="0" w:line="240" w:lineRule="auto"/>
              <w:jc w:val="both"/>
              <w:rPr>
                <w:rFonts w:ascii="Times New Roman" w:hAnsi="Times New Roman" w:cs="Times New Roman"/>
                <w:b/>
                <w:bCs/>
                <w:color w:val="000000" w:themeColor="text1"/>
                <w:sz w:val="18"/>
                <w:szCs w:val="18"/>
              </w:rPr>
            </w:pPr>
            <w:r>
              <w:rPr>
                <w:rFonts w:ascii="Times New Roman" w:hAnsi="Times New Roman"/>
                <w:sz w:val="18"/>
                <w:szCs w:val="18"/>
              </w:rPr>
              <w:t xml:space="preserve">                      </w:t>
            </w:r>
            <w:r>
              <w:rPr>
                <w:rFonts w:ascii="Times New Roman" w:hAnsi="Times New Roman"/>
                <w:color w:val="000000" w:themeColor="text1"/>
                <w:sz w:val="18"/>
                <w:szCs w:val="18"/>
              </w:rPr>
              <w:t xml:space="preserve">  </w:t>
            </w:r>
            <w:r>
              <w:rPr>
                <w:rFonts w:ascii="Times New Roman" w:hAnsi="Times New Roman"/>
                <w:b/>
                <w:bCs/>
                <w:color w:val="000000" w:themeColor="text1"/>
                <w:sz w:val="18"/>
                <w:szCs w:val="18"/>
              </w:rPr>
              <w:t>One hundred percent (100%)</w:t>
            </w:r>
          </w:p>
          <w:p w:rsidR="00BA03D5" w:rsidRPr="009D1F81" w:rsidRDefault="00BA03D5" w:rsidP="00C52BB3">
            <w:pPr>
              <w:spacing w:after="0" w:line="240" w:lineRule="auto"/>
              <w:rPr>
                <w:rFonts w:ascii="Times New Roman" w:hAnsi="Times New Roman" w:cs="Times New Roman"/>
                <w:b/>
                <w:sz w:val="18"/>
                <w:szCs w:val="18"/>
              </w:rPr>
            </w:pPr>
          </w:p>
          <w:p w:rsidR="00C156C8" w:rsidRPr="009D1F81" w:rsidRDefault="001E0569" w:rsidP="00702F96">
            <w:pPr>
              <w:spacing w:after="0" w:line="240" w:lineRule="auto"/>
              <w:jc w:val="both"/>
              <w:rPr>
                <w:rFonts w:ascii="Times New Roman" w:eastAsia="Times New Roman" w:hAnsi="Times New Roman" w:cs="Times New Roman"/>
                <w:sz w:val="18"/>
                <w:szCs w:val="18"/>
              </w:rPr>
            </w:pPr>
            <w:r>
              <w:rPr>
                <w:rFonts w:ascii="Times New Roman" w:hAnsi="Times New Roman"/>
                <w:sz w:val="18"/>
                <w:szCs w:val="18"/>
              </w:rPr>
              <w:t>It was active between October 2022 and April 2023, benefiting around 300,000 families.</w:t>
            </w:r>
          </w:p>
        </w:tc>
      </w:tr>
      <w:tr w:rsidR="00001E51" w:rsidTr="001D34F2">
        <w:trPr>
          <w:trHeight w:val="315"/>
        </w:trPr>
        <w:tc>
          <w:tcPr>
            <w:tcW w:w="174"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V.2</w:t>
            </w:r>
          </w:p>
        </w:tc>
        <w:tc>
          <w:tcPr>
            <w:tcW w:w="3102" w:type="pct"/>
            <w:gridSpan w:val="10"/>
            <w:tcBorders>
              <w:top w:val="nil"/>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Specific Objective: Number of consumers</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735"/>
        </w:trPr>
        <w:tc>
          <w:tcPr>
            <w:tcW w:w="174" w:type="pct"/>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358" w:type="pct"/>
            <w:tcBorders>
              <w:top w:val="nil"/>
              <w:left w:val="nil"/>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874" w:type="pct"/>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636"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17"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17"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735"/>
        </w:trPr>
        <w:tc>
          <w:tcPr>
            <w:tcW w:w="174"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1</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Implementation of energy awareness-raising and information campaigns</w:t>
            </w:r>
          </w:p>
        </w:tc>
        <w:tc>
          <w:tcPr>
            <w:tcW w:w="874"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6 [2021]</w:t>
            </w:r>
          </w:p>
        </w:tc>
        <w:tc>
          <w:tcPr>
            <w:tcW w:w="636" w:type="pct"/>
            <w:gridSpan w:val="2"/>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9 per year</w:t>
            </w:r>
          </w:p>
        </w:tc>
        <w:tc>
          <w:tcPr>
            <w:tcW w:w="317"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9 per year</w:t>
            </w:r>
          </w:p>
        </w:tc>
        <w:tc>
          <w:tcPr>
            <w:tcW w:w="917"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1D34F2">
        <w:trPr>
          <w:trHeight w:val="1215"/>
        </w:trPr>
        <w:tc>
          <w:tcPr>
            <w:tcW w:w="174"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Diversity and comparability of services</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provided to consumers</w:t>
            </w:r>
          </w:p>
        </w:tc>
        <w:tc>
          <w:tcPr>
            <w:tcW w:w="874" w:type="pct"/>
            <w:gridSpan w:val="3"/>
            <w:tcBorders>
              <w:top w:val="single" w:sz="8" w:space="0" w:color="auto"/>
              <w:left w:val="nil"/>
              <w:bottom w:val="single" w:sz="8" w:space="0" w:color="auto"/>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There are no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offers available</w:t>
            </w:r>
          </w:p>
        </w:tc>
        <w:tc>
          <w:tcPr>
            <w:tcW w:w="636" w:type="pct"/>
            <w:gridSpan w:val="2"/>
            <w:tcBorders>
              <w:top w:val="single" w:sz="8" w:space="0" w:color="auto"/>
              <w:left w:val="nil"/>
              <w:bottom w:val="single" w:sz="8" w:space="0" w:color="auto"/>
              <w:right w:val="single" w:sz="8" w:space="0" w:color="000000"/>
            </w:tcBorders>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Launch of the Price Comparison </w:t>
            </w:r>
          </w:p>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Tool.</w:t>
            </w:r>
          </w:p>
        </w:tc>
        <w:tc>
          <w:tcPr>
            <w:tcW w:w="317" w:type="pct"/>
            <w:tcBorders>
              <w:top w:val="nil"/>
              <w:left w:val="nil"/>
              <w:bottom w:val="single" w:sz="8" w:space="0" w:color="auto"/>
              <w:right w:val="single" w:sz="8" w:space="0" w:color="auto"/>
            </w:tcBorders>
            <w:vAlign w:val="center"/>
            <w:hideMark/>
          </w:tcPr>
          <w:p w:rsidR="00571EAF" w:rsidRPr="00854D4A" w:rsidRDefault="00571EAF" w:rsidP="00571EAF">
            <w:pPr>
              <w:spacing w:after="0" w:line="240" w:lineRule="auto"/>
              <w:jc w:val="center"/>
              <w:rPr>
                <w:rFonts w:ascii="Times New Roman" w:eastAsia="Times New Roman" w:hAnsi="Times New Roman" w:cs="Times New Roman"/>
                <w:sz w:val="18"/>
                <w:szCs w:val="18"/>
              </w:rPr>
            </w:pPr>
          </w:p>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Alternative offers available to </w:t>
            </w:r>
          </w:p>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all customers</w:t>
            </w:r>
          </w:p>
        </w:tc>
        <w:tc>
          <w:tcPr>
            <w:tcW w:w="917" w:type="pct"/>
            <w:gridSpan w:val="3"/>
            <w:tcBorders>
              <w:top w:val="single" w:sz="8" w:space="0" w:color="auto"/>
              <w:left w:val="nil"/>
              <w:bottom w:val="single" w:sz="8" w:space="0" w:color="auto"/>
              <w:right w:val="single" w:sz="8" w:space="0" w:color="000000"/>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1D34F2">
        <w:trPr>
          <w:trHeight w:val="315"/>
        </w:trPr>
        <w:tc>
          <w:tcPr>
            <w:tcW w:w="174"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35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5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252" w:type="pct"/>
            <w:gridSpan w:val="4"/>
            <w:tcBorders>
              <w:top w:val="single" w:sz="8" w:space="0" w:color="auto"/>
              <w:left w:val="nil"/>
              <w:bottom w:val="single" w:sz="8" w:space="0" w:color="auto"/>
              <w:right w:val="single" w:sz="8" w:space="0" w:color="000000"/>
            </w:tcBorders>
            <w:shd w:val="clear" w:color="000000" w:fill="D9D9D9"/>
            <w:vAlign w:val="center"/>
            <w:hideMark/>
          </w:tcPr>
          <w:p w:rsidR="00571EAF" w:rsidRPr="00854D4A"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31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854D4A"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8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854D4A"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21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854D4A"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21"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72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3159C3"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Implementation progress January - June 2025</w:t>
            </w:r>
          </w:p>
        </w:tc>
      </w:tr>
      <w:tr w:rsidR="00001E51" w:rsidTr="001D34F2">
        <w:trPr>
          <w:trHeight w:val="300"/>
        </w:trPr>
        <w:tc>
          <w:tcPr>
            <w:tcW w:w="174"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854D4A"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7" w:type="pct"/>
            <w:vMerge/>
            <w:tcBorders>
              <w:top w:val="nil"/>
              <w:left w:val="single" w:sz="8" w:space="0" w:color="auto"/>
              <w:bottom w:val="single" w:sz="8" w:space="0" w:color="000000"/>
              <w:right w:val="single" w:sz="8" w:space="0" w:color="auto"/>
            </w:tcBorders>
            <w:vAlign w:val="center"/>
            <w:hideMark/>
          </w:tcPr>
          <w:p w:rsidR="00571EAF" w:rsidRPr="00854D4A" w:rsidRDefault="00571EAF" w:rsidP="00571EAF">
            <w:pPr>
              <w:spacing w:after="0" w:line="240" w:lineRule="auto"/>
              <w:rPr>
                <w:rFonts w:ascii="Times New Roman" w:eastAsia="Times New Roman" w:hAnsi="Times New Roman" w:cs="Times New Roman"/>
                <w:b/>
                <w:bCs/>
                <w:sz w:val="18"/>
                <w:szCs w:val="18"/>
              </w:rPr>
            </w:pPr>
          </w:p>
        </w:tc>
        <w:tc>
          <w:tcPr>
            <w:tcW w:w="383" w:type="pct"/>
            <w:vMerge/>
            <w:tcBorders>
              <w:top w:val="nil"/>
              <w:left w:val="single" w:sz="8" w:space="0" w:color="auto"/>
              <w:bottom w:val="single" w:sz="8" w:space="0" w:color="000000"/>
              <w:right w:val="single" w:sz="8" w:space="0" w:color="auto"/>
            </w:tcBorders>
            <w:vAlign w:val="center"/>
            <w:hideMark/>
          </w:tcPr>
          <w:p w:rsidR="00571EAF" w:rsidRPr="00854D4A" w:rsidRDefault="00571EAF" w:rsidP="00571EAF">
            <w:pPr>
              <w:spacing w:after="0" w:line="240" w:lineRule="auto"/>
              <w:rPr>
                <w:rFonts w:ascii="Times New Roman" w:eastAsia="Times New Roman" w:hAnsi="Times New Roman" w:cs="Times New Roman"/>
                <w:b/>
                <w:bCs/>
                <w:sz w:val="18"/>
                <w:szCs w:val="18"/>
              </w:rPr>
            </w:pPr>
          </w:p>
        </w:tc>
        <w:tc>
          <w:tcPr>
            <w:tcW w:w="213" w:type="pct"/>
            <w:vMerge/>
            <w:tcBorders>
              <w:top w:val="nil"/>
              <w:left w:val="single" w:sz="8" w:space="0" w:color="auto"/>
              <w:bottom w:val="single" w:sz="8" w:space="0" w:color="000000"/>
              <w:right w:val="single" w:sz="8" w:space="0" w:color="auto"/>
            </w:tcBorders>
            <w:vAlign w:val="center"/>
            <w:hideMark/>
          </w:tcPr>
          <w:p w:rsidR="00571EAF" w:rsidRPr="00854D4A" w:rsidRDefault="00571EAF" w:rsidP="00571EAF">
            <w:pPr>
              <w:spacing w:after="0" w:line="240" w:lineRule="auto"/>
              <w:rPr>
                <w:rFonts w:ascii="Times New Roman" w:eastAsia="Times New Roman" w:hAnsi="Times New Roman" w:cs="Times New Roman"/>
                <w:b/>
                <w:bCs/>
                <w:sz w:val="18"/>
                <w:szCs w:val="18"/>
              </w:rPr>
            </w:pPr>
          </w:p>
        </w:tc>
        <w:tc>
          <w:tcPr>
            <w:tcW w:w="32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72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1D34F2">
        <w:trPr>
          <w:trHeight w:val="315"/>
        </w:trPr>
        <w:tc>
          <w:tcPr>
            <w:tcW w:w="174"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8"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2024</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17" w:type="pct"/>
            <w:vMerge/>
            <w:tcBorders>
              <w:top w:val="nil"/>
              <w:left w:val="single" w:sz="8" w:space="0" w:color="auto"/>
              <w:bottom w:val="single" w:sz="8" w:space="0" w:color="000000"/>
              <w:right w:val="single" w:sz="8" w:space="0" w:color="auto"/>
            </w:tcBorders>
            <w:vAlign w:val="center"/>
            <w:hideMark/>
          </w:tcPr>
          <w:p w:rsidR="00571EAF" w:rsidRPr="00854D4A" w:rsidRDefault="00571EAF" w:rsidP="00571EAF">
            <w:pPr>
              <w:spacing w:after="0" w:line="240" w:lineRule="auto"/>
              <w:rPr>
                <w:rFonts w:ascii="Times New Roman" w:eastAsia="Times New Roman" w:hAnsi="Times New Roman" w:cs="Times New Roman"/>
                <w:b/>
                <w:bCs/>
                <w:sz w:val="18"/>
                <w:szCs w:val="18"/>
              </w:rPr>
            </w:pPr>
          </w:p>
        </w:tc>
        <w:tc>
          <w:tcPr>
            <w:tcW w:w="383" w:type="pct"/>
            <w:vMerge/>
            <w:tcBorders>
              <w:top w:val="nil"/>
              <w:left w:val="single" w:sz="8" w:space="0" w:color="auto"/>
              <w:bottom w:val="single" w:sz="8" w:space="0" w:color="000000"/>
              <w:right w:val="single" w:sz="8" w:space="0" w:color="auto"/>
            </w:tcBorders>
            <w:vAlign w:val="center"/>
            <w:hideMark/>
          </w:tcPr>
          <w:p w:rsidR="00571EAF" w:rsidRPr="00854D4A" w:rsidRDefault="00571EAF" w:rsidP="00571EAF">
            <w:pPr>
              <w:spacing w:after="0" w:line="240" w:lineRule="auto"/>
              <w:rPr>
                <w:rFonts w:ascii="Times New Roman" w:eastAsia="Times New Roman" w:hAnsi="Times New Roman" w:cs="Times New Roman"/>
                <w:b/>
                <w:bCs/>
                <w:sz w:val="18"/>
                <w:szCs w:val="18"/>
              </w:rPr>
            </w:pPr>
          </w:p>
        </w:tc>
        <w:tc>
          <w:tcPr>
            <w:tcW w:w="213" w:type="pct"/>
            <w:vMerge/>
            <w:tcBorders>
              <w:top w:val="nil"/>
              <w:left w:val="single" w:sz="8" w:space="0" w:color="auto"/>
              <w:bottom w:val="single" w:sz="8" w:space="0" w:color="000000"/>
              <w:right w:val="single" w:sz="8" w:space="0" w:color="auto"/>
            </w:tcBorders>
            <w:vAlign w:val="center"/>
            <w:hideMark/>
          </w:tcPr>
          <w:p w:rsidR="00571EAF" w:rsidRPr="00854D4A" w:rsidRDefault="00571EAF" w:rsidP="00571EAF">
            <w:pPr>
              <w:spacing w:after="0" w:line="240" w:lineRule="auto"/>
              <w:rPr>
                <w:rFonts w:ascii="Times New Roman" w:eastAsia="Times New Roman" w:hAnsi="Times New Roman" w:cs="Times New Roman"/>
                <w:b/>
                <w:bCs/>
                <w:sz w:val="18"/>
                <w:szCs w:val="18"/>
              </w:rPr>
            </w:pPr>
          </w:p>
        </w:tc>
        <w:tc>
          <w:tcPr>
            <w:tcW w:w="321" w:type="pct"/>
            <w:vMerge/>
            <w:tcBorders>
              <w:top w:val="nil"/>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72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1D34F2">
        <w:trPr>
          <w:trHeight w:val="1455"/>
        </w:trPr>
        <w:tc>
          <w:tcPr>
            <w:tcW w:w="174" w:type="pct"/>
            <w:tcBorders>
              <w:top w:val="nil"/>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V.2.1</w:t>
            </w:r>
          </w:p>
        </w:tc>
        <w:tc>
          <w:tcPr>
            <w:tcW w:w="358"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Drafting legislation on the Price Comparison Tool, with detailed guidelines on the information to be provided in the Tool.</w:t>
            </w:r>
          </w:p>
        </w:tc>
        <w:tc>
          <w:tcPr>
            <w:tcW w:w="25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9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20,000.00 </w:t>
            </w:r>
          </w:p>
        </w:tc>
        <w:tc>
          <w:tcPr>
            <w:tcW w:w="318"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Donors</w:t>
            </w:r>
          </w:p>
        </w:tc>
        <w:tc>
          <w:tcPr>
            <w:tcW w:w="383"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ERO</w:t>
            </w:r>
          </w:p>
        </w:tc>
        <w:tc>
          <w:tcPr>
            <w:tcW w:w="213"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The legal framework enables the development of the Price Comparison Tool</w:t>
            </w:r>
          </w:p>
        </w:tc>
        <w:tc>
          <w:tcPr>
            <w:tcW w:w="321" w:type="pct"/>
            <w:tcBorders>
              <w:top w:val="nil"/>
              <w:left w:val="nil"/>
              <w:bottom w:val="single" w:sz="8" w:space="0" w:color="auto"/>
              <w:right w:val="single" w:sz="8" w:space="0" w:color="auto"/>
            </w:tcBorders>
            <w:shd w:val="clear" w:color="000000" w:fill="FFFFFF"/>
            <w:vAlign w:val="center"/>
            <w:hideMark/>
          </w:tcPr>
          <w:p w:rsidR="00571EAF" w:rsidRPr="00682B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723" w:type="pct"/>
            <w:tcBorders>
              <w:top w:val="nil"/>
              <w:left w:val="nil"/>
              <w:bottom w:val="single" w:sz="8" w:space="0" w:color="auto"/>
              <w:right w:val="single" w:sz="8" w:space="0" w:color="auto"/>
            </w:tcBorders>
            <w:shd w:val="clear" w:color="000000" w:fill="FFFFFF"/>
            <w:vAlign w:val="bottom"/>
            <w:hideMark/>
          </w:tcPr>
          <w:p w:rsidR="00571EAF" w:rsidRPr="00682BBE" w:rsidRDefault="00571EAF" w:rsidP="00571EAF">
            <w:pPr>
              <w:spacing w:after="0" w:line="240" w:lineRule="auto"/>
              <w:rPr>
                <w:rFonts w:ascii="Calibri" w:eastAsia="Times New Roman" w:hAnsi="Calibri" w:cs="Calibri"/>
                <w:sz w:val="18"/>
                <w:szCs w:val="18"/>
              </w:rPr>
            </w:pPr>
          </w:p>
        </w:tc>
      </w:tr>
      <w:tr w:rsidR="00001E51" w:rsidTr="001D34F2">
        <w:trPr>
          <w:trHeight w:val="735"/>
        </w:trPr>
        <w:tc>
          <w:tcPr>
            <w:tcW w:w="174" w:type="pct"/>
            <w:tcBorders>
              <w:top w:val="nil"/>
              <w:left w:val="single" w:sz="8" w:space="0" w:color="auto"/>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V.2.2</w:t>
            </w:r>
          </w:p>
        </w:tc>
        <w:tc>
          <w:tcPr>
            <w:tcW w:w="358"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Development of Price Comparison Tool</w:t>
            </w:r>
          </w:p>
        </w:tc>
        <w:tc>
          <w:tcPr>
            <w:tcW w:w="258" w:type="pct"/>
            <w:tcBorders>
              <w:top w:val="nil"/>
              <w:left w:val="nil"/>
              <w:bottom w:val="single" w:sz="8" w:space="0" w:color="auto"/>
              <w:right w:val="single" w:sz="8" w:space="0" w:color="auto"/>
            </w:tcBorders>
            <w:shd w:val="clear" w:color="000000" w:fill="FFFFFF"/>
            <w:vAlign w:val="center"/>
            <w:hideMark/>
          </w:tcPr>
          <w:p w:rsidR="00571EAF" w:rsidRPr="000A43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2023</w:t>
            </w:r>
          </w:p>
        </w:tc>
        <w:tc>
          <w:tcPr>
            <w:tcW w:w="298" w:type="pct"/>
            <w:tcBorders>
              <w:top w:val="nil"/>
              <w:left w:val="nil"/>
              <w:bottom w:val="single" w:sz="8" w:space="0" w:color="auto"/>
              <w:right w:val="single" w:sz="8" w:space="0" w:color="auto"/>
            </w:tcBorders>
            <w:shd w:val="clear" w:color="000000" w:fill="FFFFFF"/>
            <w:vAlign w:val="center"/>
            <w:hideMark/>
          </w:tcPr>
          <w:p w:rsidR="00571EAF" w:rsidRPr="000A43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nil"/>
              <w:left w:val="nil"/>
              <w:bottom w:val="single" w:sz="8" w:space="0" w:color="auto"/>
              <w:right w:val="single" w:sz="8" w:space="0" w:color="auto"/>
            </w:tcBorders>
            <w:shd w:val="clear" w:color="000000" w:fill="FFFFFF"/>
            <w:vAlign w:val="center"/>
            <w:hideMark/>
          </w:tcPr>
          <w:p w:rsidR="00571EAF" w:rsidRPr="000A43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7,000.00 </w:t>
            </w:r>
          </w:p>
        </w:tc>
        <w:tc>
          <w:tcPr>
            <w:tcW w:w="318" w:type="pct"/>
            <w:tcBorders>
              <w:top w:val="nil"/>
              <w:left w:val="nil"/>
              <w:bottom w:val="single" w:sz="8" w:space="0" w:color="auto"/>
              <w:right w:val="single" w:sz="8" w:space="0" w:color="auto"/>
            </w:tcBorders>
            <w:shd w:val="clear" w:color="000000" w:fill="FFFFFF"/>
            <w:vAlign w:val="center"/>
            <w:hideMark/>
          </w:tcPr>
          <w:p w:rsidR="00571EAF" w:rsidRPr="000A43BE"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8"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   </w:t>
            </w:r>
          </w:p>
        </w:tc>
        <w:tc>
          <w:tcPr>
            <w:tcW w:w="317"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ERO</w:t>
            </w:r>
          </w:p>
        </w:tc>
        <w:tc>
          <w:tcPr>
            <w:tcW w:w="383"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ERO</w:t>
            </w:r>
          </w:p>
        </w:tc>
        <w:tc>
          <w:tcPr>
            <w:tcW w:w="213" w:type="pct"/>
            <w:tcBorders>
              <w:top w:val="nil"/>
              <w:left w:val="nil"/>
              <w:bottom w:val="single" w:sz="8" w:space="0" w:color="auto"/>
              <w:right w:val="single" w:sz="8" w:space="0" w:color="auto"/>
            </w:tcBorders>
            <w:shd w:val="clear" w:color="000000" w:fill="FFFFFF"/>
            <w:vAlign w:val="center"/>
            <w:hideMark/>
          </w:tcPr>
          <w:p w:rsidR="00571EAF" w:rsidRPr="00854D4A"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Fully operational Price Comparison Tool</w:t>
            </w:r>
          </w:p>
        </w:tc>
        <w:tc>
          <w:tcPr>
            <w:tcW w:w="321" w:type="pct"/>
            <w:tcBorders>
              <w:top w:val="nil"/>
              <w:left w:val="nil"/>
              <w:bottom w:val="single" w:sz="8" w:space="0" w:color="auto"/>
              <w:right w:val="single" w:sz="8" w:space="0" w:color="auto"/>
            </w:tcBorders>
            <w:shd w:val="clear" w:color="000000" w:fill="FFFFFF"/>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Energy Strategy for the period 2022 - 2031</w:t>
            </w:r>
          </w:p>
        </w:tc>
        <w:tc>
          <w:tcPr>
            <w:tcW w:w="1723" w:type="pct"/>
            <w:tcBorders>
              <w:top w:val="nil"/>
              <w:left w:val="nil"/>
              <w:bottom w:val="single" w:sz="8" w:space="0" w:color="auto"/>
              <w:right w:val="single" w:sz="8" w:space="0" w:color="auto"/>
            </w:tcBorders>
            <w:shd w:val="clear" w:color="000000" w:fill="FFFFFF"/>
            <w:vAlign w:val="center"/>
            <w:hideMark/>
          </w:tcPr>
          <w:p w:rsidR="00571EAF" w:rsidRPr="00BA03D5" w:rsidRDefault="001E0569" w:rsidP="00BA03D5">
            <w:pPr>
              <w:spacing w:after="0" w:line="240" w:lineRule="auto"/>
              <w:jc w:val="center"/>
              <w:rPr>
                <w:rFonts w:ascii="Times New Roman" w:eastAsia="Times New Roman" w:hAnsi="Times New Roman" w:cs="Times New Roman"/>
                <w:b/>
                <w:sz w:val="18"/>
                <w:szCs w:val="18"/>
              </w:rPr>
            </w:pPr>
            <w:r>
              <w:rPr>
                <w:rFonts w:ascii="Times New Roman" w:hAnsi="Times New Roman"/>
                <w:b/>
                <w:sz w:val="18"/>
                <w:szCs w:val="18"/>
              </w:rPr>
              <w:t>Fifty percent (50%)</w:t>
            </w:r>
          </w:p>
        </w:tc>
      </w:tr>
      <w:tr w:rsidR="00001E51" w:rsidTr="001D34F2">
        <w:trPr>
          <w:trHeight w:val="315"/>
        </w:trPr>
        <w:tc>
          <w:tcPr>
            <w:tcW w:w="174"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V.3</w:t>
            </w:r>
          </w:p>
        </w:tc>
        <w:tc>
          <w:tcPr>
            <w:tcW w:w="3102" w:type="pct"/>
            <w:gridSpan w:val="10"/>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Specific Objective: Protection of human health and the environment</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735"/>
        </w:trPr>
        <w:tc>
          <w:tcPr>
            <w:tcW w:w="174" w:type="pct"/>
            <w:tcBorders>
              <w:top w:val="nil"/>
              <w:left w:val="single" w:sz="8" w:space="0" w:color="auto"/>
              <w:bottom w:val="single" w:sz="8" w:space="0" w:color="auto"/>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358" w:type="pct"/>
            <w:tcBorders>
              <w:top w:val="nil"/>
              <w:left w:val="nil"/>
              <w:bottom w:val="nil"/>
              <w:right w:val="single" w:sz="8" w:space="0" w:color="auto"/>
            </w:tcBorders>
            <w:shd w:val="clear" w:color="000000" w:fill="D0CECE"/>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Indicator</w:t>
            </w:r>
          </w:p>
        </w:tc>
        <w:tc>
          <w:tcPr>
            <w:tcW w:w="874" w:type="pct"/>
            <w:gridSpan w:val="3"/>
            <w:tcBorders>
              <w:top w:val="single" w:sz="8" w:space="0" w:color="auto"/>
              <w:left w:val="nil"/>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Baseline value </w:t>
            </w:r>
          </w:p>
        </w:tc>
        <w:tc>
          <w:tcPr>
            <w:tcW w:w="636" w:type="pct"/>
            <w:gridSpan w:val="2"/>
            <w:tcBorders>
              <w:top w:val="single" w:sz="8" w:space="0" w:color="auto"/>
              <w:left w:val="single" w:sz="8" w:space="0" w:color="auto"/>
              <w:bottom w:val="single" w:sz="8" w:space="0" w:color="auto"/>
              <w:right w:val="nil"/>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Short-term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2025</w:t>
            </w:r>
          </w:p>
        </w:tc>
        <w:tc>
          <w:tcPr>
            <w:tcW w:w="317" w:type="pct"/>
            <w:tcBorders>
              <w:top w:val="nil"/>
              <w:left w:val="single" w:sz="8" w:space="0" w:color="auto"/>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Final-year objective</w:t>
            </w:r>
          </w:p>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2031</w:t>
            </w:r>
          </w:p>
        </w:tc>
        <w:tc>
          <w:tcPr>
            <w:tcW w:w="917" w:type="pct"/>
            <w:gridSpan w:val="3"/>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b/>
                <w:bCs/>
                <w:sz w:val="18"/>
                <w:szCs w:val="18"/>
              </w:rPr>
            </w:pPr>
          </w:p>
        </w:tc>
      </w:tr>
      <w:tr w:rsidR="00001E51" w:rsidTr="001D34F2">
        <w:trPr>
          <w:trHeight w:val="2655"/>
        </w:trPr>
        <w:tc>
          <w:tcPr>
            <w:tcW w:w="174" w:type="pct"/>
            <w:tcBorders>
              <w:top w:val="nil"/>
              <w:left w:val="single" w:sz="8" w:space="0" w:color="auto"/>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1</w:t>
            </w:r>
          </w:p>
        </w:tc>
        <w:tc>
          <w:tcPr>
            <w:tcW w:w="358" w:type="pct"/>
            <w:tcBorders>
              <w:top w:val="single" w:sz="8" w:space="0" w:color="auto"/>
              <w:left w:val="nil"/>
              <w:bottom w:val="nil"/>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Dust, NOx and SO₂ emissions of lignite power plants</w:t>
            </w:r>
          </w:p>
        </w:tc>
        <w:tc>
          <w:tcPr>
            <w:tcW w:w="874" w:type="pct"/>
            <w:gridSpan w:val="3"/>
            <w:tcBorders>
              <w:top w:val="single" w:sz="8" w:space="0" w:color="auto"/>
              <w:left w:val="nil"/>
              <w:bottom w:val="nil"/>
              <w:right w:val="single" w:sz="8" w:space="0" w:color="000000"/>
            </w:tcBorders>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t>TPP “Kosova B”:</w:t>
            </w:r>
            <w:r>
              <w:rPr>
                <w:rFonts w:ascii="Times New Roman" w:hAnsi="Times New Roman"/>
                <w:sz w:val="18"/>
                <w:szCs w:val="18"/>
              </w:rPr>
              <w:t xml:space="preserve"> Dust: over 300 mg/ Nm³, NOx: over 500 mg/ Nm³ </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SO₂: over 600 mg/ Nm³</w:t>
            </w:r>
          </w:p>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t xml:space="preserve">TPP Kosova A: </w:t>
            </w:r>
            <w:r>
              <w:rPr>
                <w:rFonts w:ascii="Times New Roman" w:hAnsi="Times New Roman"/>
                <w:sz w:val="18"/>
                <w:szCs w:val="18"/>
              </w:rPr>
              <w:t>Dust: over 50 mg/ Nm³, NOx: over 600 mg/ Nm³ SO₂: over 600 mg/ Nm³</w:t>
            </w:r>
          </w:p>
        </w:tc>
        <w:tc>
          <w:tcPr>
            <w:tcW w:w="636" w:type="pct"/>
            <w:gridSpan w:val="2"/>
            <w:tcBorders>
              <w:top w:val="single" w:sz="8" w:space="0" w:color="auto"/>
              <w:left w:val="nil"/>
              <w:bottom w:val="nil"/>
              <w:right w:val="single" w:sz="8" w:space="0" w:color="000000"/>
            </w:tcBorders>
            <w:hideMark/>
          </w:tcPr>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t xml:space="preserve">TPP “Kosova B2” </w:t>
            </w:r>
            <w:r>
              <w:rPr>
                <w:rFonts w:ascii="Times New Roman" w:hAnsi="Times New Roman"/>
                <w:sz w:val="18"/>
                <w:szCs w:val="18"/>
              </w:rPr>
              <w:t>Dust: 20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NOx: 200 mg/ Nm³, SO₂: 600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t xml:space="preserve">TPP “Kosova A”: </w:t>
            </w:r>
            <w:r>
              <w:rPr>
                <w:rFonts w:ascii="Times New Roman" w:hAnsi="Times New Roman"/>
                <w:sz w:val="18"/>
                <w:szCs w:val="18"/>
              </w:rPr>
              <w:t xml:space="preserve">Dust: over 300 mg/ Nm³, </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NOx: over 500 mg/ Nm³, SO₂: over 600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t xml:space="preserve">TPP “Kosova A3”: </w:t>
            </w:r>
            <w:r>
              <w:rPr>
                <w:rFonts w:ascii="Times New Roman" w:hAnsi="Times New Roman"/>
                <w:sz w:val="18"/>
                <w:szCs w:val="18"/>
              </w:rPr>
              <w:t xml:space="preserve">Dust: 20 mg/ Nm³, </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NOx: over 200 mg/ Nm³, SO₂: over 200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t xml:space="preserve">TPP “Kosova A4 &amp; A5”: </w:t>
            </w:r>
            <w:r>
              <w:rPr>
                <w:rFonts w:ascii="Times New Roman" w:hAnsi="Times New Roman"/>
                <w:sz w:val="18"/>
                <w:szCs w:val="18"/>
              </w:rPr>
              <w:t xml:space="preserve">Dust: over 50 mg/ Nm³, </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NOx: over 600 mg/ Nm³, SO₂: over 600 mg/Nm³</w:t>
            </w: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Default="00DA3784" w:rsidP="00571EAF">
            <w:pPr>
              <w:spacing w:after="0" w:line="240" w:lineRule="auto"/>
              <w:jc w:val="center"/>
              <w:rPr>
                <w:rFonts w:ascii="Times New Roman" w:eastAsia="Times New Roman" w:hAnsi="Times New Roman" w:cs="Times New Roman"/>
                <w:sz w:val="18"/>
                <w:szCs w:val="18"/>
              </w:rPr>
            </w:pPr>
          </w:p>
          <w:p w:rsidR="00DA3784" w:rsidRPr="00571EAF" w:rsidRDefault="00DA3784" w:rsidP="00571EAF">
            <w:pPr>
              <w:spacing w:after="0" w:line="240" w:lineRule="auto"/>
              <w:jc w:val="center"/>
              <w:rPr>
                <w:rFonts w:ascii="Times New Roman" w:eastAsia="Times New Roman" w:hAnsi="Times New Roman" w:cs="Times New Roman"/>
                <w:sz w:val="18"/>
                <w:szCs w:val="18"/>
              </w:rPr>
            </w:pPr>
          </w:p>
        </w:tc>
        <w:tc>
          <w:tcPr>
            <w:tcW w:w="317" w:type="pct"/>
            <w:tcBorders>
              <w:top w:val="nil"/>
              <w:left w:val="nil"/>
              <w:bottom w:val="nil"/>
              <w:right w:val="single" w:sz="8" w:space="0" w:color="auto"/>
            </w:tcBorders>
            <w:hideMark/>
          </w:tcPr>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lastRenderedPageBreak/>
              <w:t>TPP “Kosova B”:</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Dust: 20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NOx: 200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SO₂: 200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b/>
                <w:bCs/>
                <w:sz w:val="18"/>
                <w:szCs w:val="18"/>
              </w:rPr>
              <w:t>TPP “Kosova A”:</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Dust: 20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NOx: 200 mg/ Nm³</w:t>
            </w:r>
          </w:p>
          <w:p w:rsid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SO₂: 200 </w:t>
            </w:r>
            <w:r>
              <w:rPr>
                <w:rFonts w:ascii="Times New Roman" w:hAnsi="Times New Roman"/>
                <w:sz w:val="18"/>
                <w:szCs w:val="18"/>
              </w:rPr>
              <w:lastRenderedPageBreak/>
              <w:t>mg/ Nm³</w:t>
            </w: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Default="00013F4C" w:rsidP="00571EAF">
            <w:pPr>
              <w:spacing w:after="0" w:line="240" w:lineRule="auto"/>
              <w:jc w:val="center"/>
              <w:rPr>
                <w:rFonts w:ascii="Times New Roman" w:eastAsia="Times New Roman" w:hAnsi="Times New Roman" w:cs="Times New Roman"/>
                <w:sz w:val="18"/>
                <w:szCs w:val="18"/>
              </w:rPr>
            </w:pPr>
          </w:p>
          <w:p w:rsidR="00013F4C" w:rsidRPr="001471FB" w:rsidRDefault="00013F4C" w:rsidP="00571EAF">
            <w:pPr>
              <w:spacing w:after="0" w:line="240" w:lineRule="auto"/>
              <w:jc w:val="center"/>
              <w:rPr>
                <w:rFonts w:ascii="Times New Roman" w:eastAsia="Times New Roman" w:hAnsi="Times New Roman" w:cs="Times New Roman"/>
                <w:sz w:val="18"/>
                <w:szCs w:val="18"/>
              </w:rPr>
            </w:pPr>
          </w:p>
        </w:tc>
        <w:tc>
          <w:tcPr>
            <w:tcW w:w="917" w:type="pct"/>
            <w:gridSpan w:val="3"/>
            <w:tcBorders>
              <w:top w:val="single" w:sz="8" w:space="0" w:color="auto"/>
              <w:left w:val="nil"/>
              <w:bottom w:val="nil"/>
              <w:right w:val="single" w:sz="8" w:space="0" w:color="000000"/>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 </w:t>
            </w:r>
          </w:p>
        </w:tc>
        <w:tc>
          <w:tcPr>
            <w:tcW w:w="1723" w:type="pct"/>
            <w:tcBorders>
              <w:top w:val="nil"/>
              <w:left w:val="nil"/>
              <w:bottom w:val="nil"/>
              <w:right w:val="nil"/>
            </w:tcBorders>
            <w:noWrap/>
            <w:vAlign w:val="bottom"/>
            <w:hideMark/>
          </w:tcPr>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r w:rsidR="00001E51" w:rsidTr="001D34F2">
        <w:trPr>
          <w:trHeight w:val="315"/>
        </w:trPr>
        <w:tc>
          <w:tcPr>
            <w:tcW w:w="17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No.</w:t>
            </w:r>
          </w:p>
        </w:tc>
        <w:tc>
          <w:tcPr>
            <w:tcW w:w="3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25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Deadline</w:t>
            </w:r>
          </w:p>
        </w:tc>
        <w:tc>
          <w:tcPr>
            <w:tcW w:w="1252" w:type="pct"/>
            <w:gridSpan w:val="4"/>
            <w:tcBorders>
              <w:top w:val="single" w:sz="8" w:space="0" w:color="auto"/>
              <w:left w:val="nil"/>
              <w:bottom w:val="single" w:sz="8" w:space="0" w:color="auto"/>
              <w:right w:val="single" w:sz="8" w:space="0" w:color="000000"/>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Budget</w:t>
            </w:r>
          </w:p>
        </w:tc>
        <w:tc>
          <w:tcPr>
            <w:tcW w:w="31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Source of funding</w:t>
            </w:r>
          </w:p>
        </w:tc>
        <w:tc>
          <w:tcPr>
            <w:tcW w:w="38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Leading and supporting institution</w:t>
            </w:r>
          </w:p>
        </w:tc>
        <w:tc>
          <w:tcPr>
            <w:tcW w:w="21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Output</w:t>
            </w:r>
          </w:p>
        </w:tc>
        <w:tc>
          <w:tcPr>
            <w:tcW w:w="32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References to documents</w:t>
            </w:r>
          </w:p>
        </w:tc>
        <w:tc>
          <w:tcPr>
            <w:tcW w:w="172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71EAF" w:rsidRPr="00D51C8D" w:rsidRDefault="001E0569" w:rsidP="00571EAF">
            <w:pPr>
              <w:spacing w:after="0" w:line="240" w:lineRule="auto"/>
              <w:jc w:val="center"/>
              <w:rPr>
                <w:rFonts w:ascii="Times New Roman" w:eastAsia="Times New Roman" w:hAnsi="Times New Roman" w:cs="Times New Roman"/>
                <w:b/>
                <w:bCs/>
              </w:rPr>
            </w:pPr>
            <w:r>
              <w:rPr>
                <w:rFonts w:ascii="Times New Roman" w:hAnsi="Times New Roman"/>
                <w:b/>
                <w:bCs/>
              </w:rPr>
              <w:t>Implementation progress January - June 2025</w:t>
            </w:r>
          </w:p>
        </w:tc>
      </w:tr>
      <w:tr w:rsidR="00001E51" w:rsidTr="001D34F2">
        <w:trPr>
          <w:trHeight w:val="300"/>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8" w:type="pct"/>
            <w:tcBorders>
              <w:top w:val="nil"/>
              <w:left w:val="nil"/>
              <w:bottom w:val="nil"/>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Year</w:t>
            </w:r>
          </w:p>
        </w:tc>
        <w:tc>
          <w:tcPr>
            <w:tcW w:w="31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8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1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72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1D34F2">
        <w:trPr>
          <w:trHeight w:val="315"/>
        </w:trPr>
        <w:tc>
          <w:tcPr>
            <w:tcW w:w="174"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9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2022</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318" w:type="pct"/>
            <w:tcBorders>
              <w:top w:val="nil"/>
              <w:left w:val="nil"/>
              <w:bottom w:val="single" w:sz="8" w:space="0" w:color="auto"/>
              <w:right w:val="single" w:sz="8" w:space="0" w:color="auto"/>
            </w:tcBorders>
            <w:shd w:val="clear" w:color="000000" w:fill="D9D9D9"/>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317"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8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21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Times New Roman" w:eastAsia="Times New Roman" w:hAnsi="Times New Roman" w:cs="Times New Roman"/>
                <w:b/>
                <w:bCs/>
                <w:sz w:val="18"/>
                <w:szCs w:val="18"/>
              </w:rPr>
            </w:pPr>
          </w:p>
        </w:tc>
        <w:tc>
          <w:tcPr>
            <w:tcW w:w="1723" w:type="pct"/>
            <w:vMerge/>
            <w:tcBorders>
              <w:top w:val="single" w:sz="8" w:space="0" w:color="auto"/>
              <w:left w:val="single" w:sz="8" w:space="0" w:color="auto"/>
              <w:bottom w:val="single" w:sz="8" w:space="0" w:color="000000"/>
              <w:right w:val="single" w:sz="8" w:space="0" w:color="auto"/>
            </w:tcBorders>
            <w:vAlign w:val="center"/>
            <w:hideMark/>
          </w:tcPr>
          <w:p w:rsidR="00571EAF" w:rsidRPr="00571EAF" w:rsidRDefault="00571EAF" w:rsidP="00571EAF">
            <w:pPr>
              <w:spacing w:after="0" w:line="240" w:lineRule="auto"/>
              <w:rPr>
                <w:rFonts w:ascii="Calibri" w:eastAsia="Times New Roman" w:hAnsi="Calibri" w:cs="Calibri"/>
                <w:b/>
                <w:bCs/>
              </w:rPr>
            </w:pPr>
          </w:p>
        </w:tc>
      </w:tr>
      <w:tr w:rsidR="00001E51" w:rsidTr="001D34F2">
        <w:trPr>
          <w:trHeight w:val="7144"/>
        </w:trPr>
        <w:tc>
          <w:tcPr>
            <w:tcW w:w="174" w:type="pct"/>
            <w:tcBorders>
              <w:top w:val="nil"/>
              <w:left w:val="single" w:sz="8" w:space="0" w:color="auto"/>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lastRenderedPageBreak/>
              <w:t>V.3.1</w:t>
            </w:r>
          </w:p>
        </w:tc>
        <w:tc>
          <w:tcPr>
            <w:tcW w:w="3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Increasing the KEPA capacities for monitoring, evaluating and reporting emissions from large combustion plants</w:t>
            </w:r>
          </w:p>
        </w:tc>
        <w:tc>
          <w:tcPr>
            <w:tcW w:w="25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2025</w:t>
            </w:r>
          </w:p>
        </w:tc>
        <w:tc>
          <w:tcPr>
            <w:tcW w:w="29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tc>
        <w:tc>
          <w:tcPr>
            <w:tcW w:w="31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9,000.00 </w:t>
            </w:r>
          </w:p>
        </w:tc>
        <w:tc>
          <w:tcPr>
            <w:tcW w:w="31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 xml:space="preserve"> €                    9,000.00 </w:t>
            </w:r>
          </w:p>
        </w:tc>
        <w:tc>
          <w:tcPr>
            <w:tcW w:w="318"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 xml:space="preserve"> €           9,000.00 </w:t>
            </w:r>
          </w:p>
        </w:tc>
        <w:tc>
          <w:tcPr>
            <w:tcW w:w="317"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Kosovo Budget (KB).</w:t>
            </w:r>
          </w:p>
        </w:tc>
        <w:tc>
          <w:tcPr>
            <w:tcW w:w="383"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MESPI, Kosovo Environmental Protection Agency (KEPA)</w:t>
            </w:r>
          </w:p>
        </w:tc>
        <w:tc>
          <w:tcPr>
            <w:tcW w:w="213" w:type="pct"/>
            <w:tcBorders>
              <w:top w:val="nil"/>
              <w:left w:val="nil"/>
              <w:bottom w:val="single" w:sz="8" w:space="0" w:color="auto"/>
              <w:right w:val="single" w:sz="8" w:space="0" w:color="auto"/>
            </w:tcBorders>
            <w:vAlign w:val="center"/>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Increasing the KEPA staff capacities for monitoring, evaluating and reporting emissions from large combustion plants</w:t>
            </w:r>
          </w:p>
        </w:tc>
        <w:tc>
          <w:tcPr>
            <w:tcW w:w="321" w:type="pct"/>
            <w:tcBorders>
              <w:top w:val="nil"/>
              <w:left w:val="nil"/>
              <w:bottom w:val="single" w:sz="8" w:space="0" w:color="auto"/>
              <w:right w:val="single" w:sz="8" w:space="0" w:color="auto"/>
            </w:tcBorders>
            <w:hideMark/>
          </w:tcPr>
          <w:p w:rsidR="00571EAF" w:rsidRPr="00571EAF" w:rsidRDefault="001E0569" w:rsidP="00571EAF">
            <w:pPr>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Administrative Instruction (AI) on the Rules and Standards of the Discharges on Air and Stationary Sources of Pollution</w:t>
            </w:r>
          </w:p>
        </w:tc>
        <w:tc>
          <w:tcPr>
            <w:tcW w:w="1723" w:type="pct"/>
            <w:tcBorders>
              <w:top w:val="nil"/>
              <w:left w:val="nil"/>
              <w:bottom w:val="single" w:sz="8" w:space="0" w:color="auto"/>
              <w:right w:val="single" w:sz="8" w:space="0" w:color="auto"/>
            </w:tcBorders>
            <w:vAlign w:val="center"/>
            <w:hideMark/>
          </w:tcPr>
          <w:p w:rsidR="00BA03D5" w:rsidRPr="00BA03D5" w:rsidRDefault="001E0569" w:rsidP="00C01014">
            <w:pPr>
              <w:jc w:val="center"/>
              <w:rPr>
                <w:rFonts w:ascii="Times New Roman" w:hAnsi="Times New Roman" w:cs="Times New Roman"/>
                <w:b/>
                <w:color w:val="000000" w:themeColor="text1"/>
                <w:sz w:val="18"/>
                <w:szCs w:val="18"/>
              </w:rPr>
            </w:pPr>
            <w:r>
              <w:rPr>
                <w:rFonts w:ascii="Times New Roman" w:hAnsi="Times New Roman"/>
                <w:b/>
                <w:color w:val="000000" w:themeColor="text1"/>
                <w:sz w:val="18"/>
                <w:szCs w:val="18"/>
              </w:rPr>
              <w:t>The percentage is not relevant.</w:t>
            </w:r>
          </w:p>
          <w:p w:rsidR="00C01014" w:rsidRPr="00357987" w:rsidRDefault="001E0569" w:rsidP="00702F96">
            <w:pPr>
              <w:jc w:val="both"/>
              <w:rPr>
                <w:rFonts w:ascii="Times New Roman" w:hAnsi="Times New Roman" w:cs="Times New Roman"/>
                <w:color w:val="000000" w:themeColor="text1"/>
                <w:sz w:val="18"/>
                <w:szCs w:val="18"/>
              </w:rPr>
            </w:pPr>
            <w:r>
              <w:rPr>
                <w:rFonts w:ascii="Times New Roman" w:hAnsi="Times New Roman"/>
                <w:sz w:val="18"/>
                <w:szCs w:val="18"/>
              </w:rPr>
              <w:t>During the period January-June 2025, under the project “Capacity Building for Air Pollution Control in Kosovo” supported by JICA, five (5) officer from KEPA were trained in monitoring, assessing, verifying, and reporting emissions from large combustion plants, holding approximately ten (10) bilateral training meetings.</w:t>
            </w:r>
          </w:p>
          <w:p w:rsidR="00C01014" w:rsidRPr="00357987" w:rsidRDefault="001E0569" w:rsidP="00702F96">
            <w:pPr>
              <w:jc w:val="both"/>
              <w:rPr>
                <w:rFonts w:ascii="Times New Roman" w:hAnsi="Times New Roman" w:cs="Times New Roman"/>
                <w:color w:val="000000" w:themeColor="text1"/>
                <w:sz w:val="18"/>
                <w:szCs w:val="18"/>
              </w:rPr>
            </w:pPr>
            <w:r>
              <w:rPr>
                <w:rFonts w:ascii="Times New Roman" w:hAnsi="Times New Roman"/>
                <w:sz w:val="18"/>
                <w:szCs w:val="18"/>
              </w:rPr>
              <w:t>Four (4) officers from KEPA participated in an international workshop on air emissions inventory and integrated assessment modeling (GAINS Model) held in Vienna, Austria, organized by EU TAIEX.</w:t>
            </w:r>
            <w:r>
              <w:rPr>
                <w:rFonts w:ascii="Times New Roman" w:hAnsi="Times New Roman"/>
                <w:color w:val="000000" w:themeColor="text1"/>
                <w:sz w:val="18"/>
                <w:szCs w:val="18"/>
              </w:rPr>
              <w:t xml:space="preserve">  </w:t>
            </w:r>
          </w:p>
          <w:p w:rsidR="00C01014" w:rsidRPr="00357987"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emission data from large combustion plants for 2024 have been reported to the European Environment Agency under the obligations of the Energy Community - Reporting on Combustion Plants (https://cdr.eionet. </w:t>
            </w:r>
            <w:r>
              <w:rPr>
                <w:rFonts w:ascii="Times New Roman" w:hAnsi="Times New Roman"/>
                <w:sz w:val="18"/>
                <w:szCs w:val="18"/>
              </w:rPr>
              <w:t xml:space="preserve">€ pa.eu/xk/eu/energycommunity/envz5ixjq/). </w:t>
            </w:r>
          </w:p>
          <w:p w:rsidR="00C01014" w:rsidRPr="00357987" w:rsidRDefault="001E0569" w:rsidP="00702F96">
            <w:pPr>
              <w:jc w:val="both"/>
              <w:rPr>
                <w:rFonts w:ascii="Times New Roman" w:hAnsi="Times New Roman" w:cs="Times New Roman"/>
                <w:color w:val="000000" w:themeColor="text1"/>
                <w:sz w:val="18"/>
                <w:szCs w:val="18"/>
              </w:rPr>
            </w:pPr>
            <w:r>
              <w:rPr>
                <w:rFonts w:ascii="Times New Roman" w:hAnsi="Times New Roman"/>
                <w:sz w:val="18"/>
                <w:szCs w:val="18"/>
              </w:rPr>
              <w:t xml:space="preserve">Additionally, emissions data from large combustion plants were included in the Air Emissions Inventory Reporting in accordance with CLRTAP requirements (https://cdr.eionet. € pa.eu/xk/un/clrtap/inventories/envz6x4gw/). </w:t>
            </w:r>
          </w:p>
          <w:p w:rsidR="00C01014" w:rsidRPr="00357987" w:rsidRDefault="001E0569" w:rsidP="00702F96">
            <w:pPr>
              <w:jc w:val="both"/>
              <w:rPr>
                <w:rFonts w:ascii="Times New Roman" w:hAnsi="Times New Roman" w:cs="Times New Roman"/>
                <w:color w:val="000000" w:themeColor="text1"/>
                <w:sz w:val="18"/>
                <w:szCs w:val="18"/>
              </w:rPr>
            </w:pPr>
            <w:r>
              <w:rPr>
                <w:rFonts w:ascii="Times New Roman" w:hAnsi="Times New Roman"/>
                <w:color w:val="000000" w:themeColor="text1"/>
                <w:sz w:val="18"/>
                <w:szCs w:val="18"/>
              </w:rPr>
              <w:t>Data on emissions from Large Combustion Plants are also included in the State of the Air Report 2024 (https://ammk-rks.net/assets/cms/uploads/files/Drafti%20final%20-%20Raporti%20Vjetor%20%20pe%CC%88r%20Jjendjen%20e%20Ajrit%202024%2014.07.2025-Angl_.pdf) and in the Draft State of the Environment Report 2024.</w:t>
            </w:r>
          </w:p>
          <w:p w:rsidR="00571EAF" w:rsidRPr="00571EAF" w:rsidRDefault="00571EAF" w:rsidP="00571EAF">
            <w:pPr>
              <w:spacing w:after="0" w:line="240" w:lineRule="auto"/>
              <w:jc w:val="center"/>
              <w:rPr>
                <w:rFonts w:ascii="Times New Roman" w:eastAsia="Times New Roman" w:hAnsi="Times New Roman" w:cs="Times New Roman"/>
                <w:sz w:val="18"/>
                <w:szCs w:val="18"/>
              </w:rPr>
            </w:pPr>
          </w:p>
        </w:tc>
      </w:tr>
    </w:tbl>
    <w:p w:rsidR="00C01014" w:rsidRPr="00013F4C" w:rsidRDefault="001E0569" w:rsidP="00013F4C">
      <w:pPr>
        <w:rPr>
          <w:rFonts w:ascii="Times New Roman" w:hAnsi="Times New Roman" w:cs="Times New Roman"/>
          <w:b/>
          <w:sz w:val="28"/>
          <w:szCs w:val="28"/>
        </w:rPr>
      </w:pPr>
      <w:r>
        <w:rPr>
          <w:rFonts w:ascii="Times New Roman" w:hAnsi="Times New Roman"/>
          <w:b/>
          <w:sz w:val="28"/>
          <w:szCs w:val="28"/>
        </w:rPr>
        <w:t xml:space="preserve">                                                                             End of document</w:t>
      </w:r>
    </w:p>
    <w:sectPr w:rsidR="00C01014" w:rsidRPr="00013F4C" w:rsidSect="00F8088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7A" w:rsidRDefault="00F5227A">
      <w:pPr>
        <w:spacing w:after="0" w:line="240" w:lineRule="auto"/>
      </w:pPr>
      <w:r>
        <w:separator/>
      </w:r>
    </w:p>
  </w:endnote>
  <w:endnote w:type="continuationSeparator" w:id="0">
    <w:p w:rsidR="00F5227A" w:rsidRDefault="00F5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20058"/>
      <w:docPartObj>
        <w:docPartGallery w:val="Page Numbers (Bottom of Page)"/>
        <w:docPartUnique/>
      </w:docPartObj>
    </w:sdtPr>
    <w:sdtEndPr>
      <w:rPr>
        <w:noProof/>
      </w:rPr>
    </w:sdtEndPr>
    <w:sdtContent>
      <w:p w:rsidR="001E0569" w:rsidRDefault="001E0569">
        <w:pPr>
          <w:pStyle w:val="Footer"/>
          <w:jc w:val="right"/>
        </w:pPr>
        <w:r>
          <w:fldChar w:fldCharType="begin"/>
        </w:r>
        <w:r>
          <w:instrText xml:space="preserve"> PAGE   \* MERGEFORMAT </w:instrText>
        </w:r>
        <w:r>
          <w:fldChar w:fldCharType="separate"/>
        </w:r>
        <w:r w:rsidR="007D73EC">
          <w:rPr>
            <w:noProof/>
          </w:rPr>
          <w:t>70</w:t>
        </w:r>
        <w:r>
          <w:fldChar w:fldCharType="end"/>
        </w:r>
      </w:p>
    </w:sdtContent>
  </w:sdt>
  <w:p w:rsidR="001E0569" w:rsidRDefault="001E0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7A" w:rsidRDefault="00F5227A">
      <w:pPr>
        <w:spacing w:after="0" w:line="240" w:lineRule="auto"/>
      </w:pPr>
      <w:r>
        <w:separator/>
      </w:r>
    </w:p>
  </w:footnote>
  <w:footnote w:type="continuationSeparator" w:id="0">
    <w:p w:rsidR="00F5227A" w:rsidRDefault="00F5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3EA"/>
    <w:multiLevelType w:val="multilevel"/>
    <w:tmpl w:val="F050D2C4"/>
    <w:lvl w:ilvl="0">
      <w:start w:val="2"/>
      <w:numFmt w:val="decimal"/>
      <w:lvlText w:val="%1."/>
      <w:lvlJc w:val="left"/>
      <w:pPr>
        <w:ind w:left="4080" w:hanging="390"/>
      </w:pPr>
      <w:rPr>
        <w:rFonts w:hint="default"/>
      </w:rPr>
    </w:lvl>
    <w:lvl w:ilvl="1">
      <w:start w:val="4"/>
      <w:numFmt w:val="decimal"/>
      <w:lvlText w:val="%1.%2."/>
      <w:lvlJc w:val="left"/>
      <w:pPr>
        <w:ind w:left="4410" w:hanging="72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477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490" w:hanging="1800"/>
      </w:pPr>
      <w:rPr>
        <w:rFonts w:hint="default"/>
      </w:rPr>
    </w:lvl>
    <w:lvl w:ilvl="8">
      <w:start w:val="1"/>
      <w:numFmt w:val="decimal"/>
      <w:lvlText w:val="%1.%2.%3.%4.%5.%6.%7.%8.%9."/>
      <w:lvlJc w:val="left"/>
      <w:pPr>
        <w:ind w:left="5490" w:hanging="1800"/>
      </w:pPr>
      <w:rPr>
        <w:rFonts w:hint="default"/>
      </w:rPr>
    </w:lvl>
  </w:abstractNum>
  <w:abstractNum w:abstractNumId="1" w15:restartNumberingAfterBreak="0">
    <w:nsid w:val="0E883C63"/>
    <w:multiLevelType w:val="multilevel"/>
    <w:tmpl w:val="D408BF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884CED"/>
    <w:multiLevelType w:val="hybridMultilevel"/>
    <w:tmpl w:val="8E54A7AA"/>
    <w:lvl w:ilvl="0" w:tplc="71E86224">
      <w:start w:val="3"/>
      <w:numFmt w:val="decimal"/>
      <w:lvlText w:val="%1."/>
      <w:lvlJc w:val="left"/>
      <w:pPr>
        <w:ind w:left="720" w:hanging="360"/>
      </w:pPr>
      <w:rPr>
        <w:rFonts w:hint="default"/>
      </w:rPr>
    </w:lvl>
    <w:lvl w:ilvl="1" w:tplc="55BEEF74" w:tentative="1">
      <w:start w:val="1"/>
      <w:numFmt w:val="lowerLetter"/>
      <w:lvlText w:val="%2."/>
      <w:lvlJc w:val="left"/>
      <w:pPr>
        <w:ind w:left="1440" w:hanging="360"/>
      </w:pPr>
    </w:lvl>
    <w:lvl w:ilvl="2" w:tplc="D63EBA34" w:tentative="1">
      <w:start w:val="1"/>
      <w:numFmt w:val="lowerRoman"/>
      <w:lvlText w:val="%3."/>
      <w:lvlJc w:val="right"/>
      <w:pPr>
        <w:ind w:left="2160" w:hanging="180"/>
      </w:pPr>
    </w:lvl>
    <w:lvl w:ilvl="3" w:tplc="F1166B58" w:tentative="1">
      <w:start w:val="1"/>
      <w:numFmt w:val="decimal"/>
      <w:lvlText w:val="%4."/>
      <w:lvlJc w:val="left"/>
      <w:pPr>
        <w:ind w:left="2880" w:hanging="360"/>
      </w:pPr>
    </w:lvl>
    <w:lvl w:ilvl="4" w:tplc="76F0368C" w:tentative="1">
      <w:start w:val="1"/>
      <w:numFmt w:val="lowerLetter"/>
      <w:lvlText w:val="%5."/>
      <w:lvlJc w:val="left"/>
      <w:pPr>
        <w:ind w:left="3600" w:hanging="360"/>
      </w:pPr>
    </w:lvl>
    <w:lvl w:ilvl="5" w:tplc="243C9358" w:tentative="1">
      <w:start w:val="1"/>
      <w:numFmt w:val="lowerRoman"/>
      <w:lvlText w:val="%6."/>
      <w:lvlJc w:val="right"/>
      <w:pPr>
        <w:ind w:left="4320" w:hanging="180"/>
      </w:pPr>
    </w:lvl>
    <w:lvl w:ilvl="6" w:tplc="142A0E60" w:tentative="1">
      <w:start w:val="1"/>
      <w:numFmt w:val="decimal"/>
      <w:lvlText w:val="%7."/>
      <w:lvlJc w:val="left"/>
      <w:pPr>
        <w:ind w:left="5040" w:hanging="360"/>
      </w:pPr>
    </w:lvl>
    <w:lvl w:ilvl="7" w:tplc="CEA655BE" w:tentative="1">
      <w:start w:val="1"/>
      <w:numFmt w:val="lowerLetter"/>
      <w:lvlText w:val="%8."/>
      <w:lvlJc w:val="left"/>
      <w:pPr>
        <w:ind w:left="5760" w:hanging="360"/>
      </w:pPr>
    </w:lvl>
    <w:lvl w:ilvl="8" w:tplc="CE20244E" w:tentative="1">
      <w:start w:val="1"/>
      <w:numFmt w:val="lowerRoman"/>
      <w:lvlText w:val="%9."/>
      <w:lvlJc w:val="right"/>
      <w:pPr>
        <w:ind w:left="6480" w:hanging="180"/>
      </w:pPr>
    </w:lvl>
  </w:abstractNum>
  <w:abstractNum w:abstractNumId="3" w15:restartNumberingAfterBreak="0">
    <w:nsid w:val="18245F1F"/>
    <w:multiLevelType w:val="hybridMultilevel"/>
    <w:tmpl w:val="22D23D90"/>
    <w:lvl w:ilvl="0" w:tplc="FA1CB09A">
      <w:start w:val="3"/>
      <w:numFmt w:val="decimal"/>
      <w:lvlText w:val="%1."/>
      <w:lvlJc w:val="left"/>
      <w:pPr>
        <w:ind w:left="720" w:hanging="360"/>
      </w:pPr>
      <w:rPr>
        <w:rFonts w:hint="default"/>
      </w:rPr>
    </w:lvl>
    <w:lvl w:ilvl="1" w:tplc="B1B4F8E2">
      <w:start w:val="1"/>
      <w:numFmt w:val="lowerLetter"/>
      <w:lvlText w:val="%2."/>
      <w:lvlJc w:val="left"/>
      <w:pPr>
        <w:ind w:left="1440" w:hanging="360"/>
      </w:pPr>
    </w:lvl>
    <w:lvl w:ilvl="2" w:tplc="C35AD998" w:tentative="1">
      <w:start w:val="1"/>
      <w:numFmt w:val="lowerRoman"/>
      <w:lvlText w:val="%3."/>
      <w:lvlJc w:val="right"/>
      <w:pPr>
        <w:ind w:left="2160" w:hanging="180"/>
      </w:pPr>
    </w:lvl>
    <w:lvl w:ilvl="3" w:tplc="31307A8C" w:tentative="1">
      <w:start w:val="1"/>
      <w:numFmt w:val="decimal"/>
      <w:lvlText w:val="%4."/>
      <w:lvlJc w:val="left"/>
      <w:pPr>
        <w:ind w:left="2880" w:hanging="360"/>
      </w:pPr>
    </w:lvl>
    <w:lvl w:ilvl="4" w:tplc="B4F6DE92" w:tentative="1">
      <w:start w:val="1"/>
      <w:numFmt w:val="lowerLetter"/>
      <w:lvlText w:val="%5."/>
      <w:lvlJc w:val="left"/>
      <w:pPr>
        <w:ind w:left="3600" w:hanging="360"/>
      </w:pPr>
    </w:lvl>
    <w:lvl w:ilvl="5" w:tplc="0D942404" w:tentative="1">
      <w:start w:val="1"/>
      <w:numFmt w:val="lowerRoman"/>
      <w:lvlText w:val="%6."/>
      <w:lvlJc w:val="right"/>
      <w:pPr>
        <w:ind w:left="4320" w:hanging="180"/>
      </w:pPr>
    </w:lvl>
    <w:lvl w:ilvl="6" w:tplc="08528E40" w:tentative="1">
      <w:start w:val="1"/>
      <w:numFmt w:val="decimal"/>
      <w:lvlText w:val="%7."/>
      <w:lvlJc w:val="left"/>
      <w:pPr>
        <w:ind w:left="5040" w:hanging="360"/>
      </w:pPr>
    </w:lvl>
    <w:lvl w:ilvl="7" w:tplc="A3DCC6CE" w:tentative="1">
      <w:start w:val="1"/>
      <w:numFmt w:val="lowerLetter"/>
      <w:lvlText w:val="%8."/>
      <w:lvlJc w:val="left"/>
      <w:pPr>
        <w:ind w:left="5760" w:hanging="360"/>
      </w:pPr>
    </w:lvl>
    <w:lvl w:ilvl="8" w:tplc="6270B804" w:tentative="1">
      <w:start w:val="1"/>
      <w:numFmt w:val="lowerRoman"/>
      <w:lvlText w:val="%9."/>
      <w:lvlJc w:val="right"/>
      <w:pPr>
        <w:ind w:left="6480" w:hanging="180"/>
      </w:pPr>
    </w:lvl>
  </w:abstractNum>
  <w:abstractNum w:abstractNumId="4" w15:restartNumberingAfterBreak="0">
    <w:nsid w:val="1AFC5E16"/>
    <w:multiLevelType w:val="hybridMultilevel"/>
    <w:tmpl w:val="07EE982C"/>
    <w:lvl w:ilvl="0" w:tplc="B4A012CC">
      <w:start w:val="1"/>
      <w:numFmt w:val="upperRoman"/>
      <w:lvlText w:val="%1."/>
      <w:lvlJc w:val="left"/>
      <w:pPr>
        <w:ind w:left="1080" w:hanging="720"/>
      </w:pPr>
      <w:rPr>
        <w:rFonts w:hint="default"/>
      </w:rPr>
    </w:lvl>
    <w:lvl w:ilvl="1" w:tplc="6C0A3936" w:tentative="1">
      <w:start w:val="1"/>
      <w:numFmt w:val="lowerLetter"/>
      <w:lvlText w:val="%2."/>
      <w:lvlJc w:val="left"/>
      <w:pPr>
        <w:ind w:left="1440" w:hanging="360"/>
      </w:pPr>
    </w:lvl>
    <w:lvl w:ilvl="2" w:tplc="15164EB4" w:tentative="1">
      <w:start w:val="1"/>
      <w:numFmt w:val="lowerRoman"/>
      <w:lvlText w:val="%3."/>
      <w:lvlJc w:val="right"/>
      <w:pPr>
        <w:ind w:left="2160" w:hanging="180"/>
      </w:pPr>
    </w:lvl>
    <w:lvl w:ilvl="3" w:tplc="CDBC6040" w:tentative="1">
      <w:start w:val="1"/>
      <w:numFmt w:val="decimal"/>
      <w:lvlText w:val="%4."/>
      <w:lvlJc w:val="left"/>
      <w:pPr>
        <w:ind w:left="2880" w:hanging="360"/>
      </w:pPr>
    </w:lvl>
    <w:lvl w:ilvl="4" w:tplc="0AFCE4FE" w:tentative="1">
      <w:start w:val="1"/>
      <w:numFmt w:val="lowerLetter"/>
      <w:lvlText w:val="%5."/>
      <w:lvlJc w:val="left"/>
      <w:pPr>
        <w:ind w:left="3600" w:hanging="360"/>
      </w:pPr>
    </w:lvl>
    <w:lvl w:ilvl="5" w:tplc="900EF162" w:tentative="1">
      <w:start w:val="1"/>
      <w:numFmt w:val="lowerRoman"/>
      <w:lvlText w:val="%6."/>
      <w:lvlJc w:val="right"/>
      <w:pPr>
        <w:ind w:left="4320" w:hanging="180"/>
      </w:pPr>
    </w:lvl>
    <w:lvl w:ilvl="6" w:tplc="E392F7C6" w:tentative="1">
      <w:start w:val="1"/>
      <w:numFmt w:val="decimal"/>
      <w:lvlText w:val="%7."/>
      <w:lvlJc w:val="left"/>
      <w:pPr>
        <w:ind w:left="5040" w:hanging="360"/>
      </w:pPr>
    </w:lvl>
    <w:lvl w:ilvl="7" w:tplc="2F625004" w:tentative="1">
      <w:start w:val="1"/>
      <w:numFmt w:val="lowerLetter"/>
      <w:lvlText w:val="%8."/>
      <w:lvlJc w:val="left"/>
      <w:pPr>
        <w:ind w:left="5760" w:hanging="360"/>
      </w:pPr>
    </w:lvl>
    <w:lvl w:ilvl="8" w:tplc="324E5F46" w:tentative="1">
      <w:start w:val="1"/>
      <w:numFmt w:val="lowerRoman"/>
      <w:lvlText w:val="%9."/>
      <w:lvlJc w:val="right"/>
      <w:pPr>
        <w:ind w:left="6480" w:hanging="180"/>
      </w:pPr>
    </w:lvl>
  </w:abstractNum>
  <w:abstractNum w:abstractNumId="5" w15:restartNumberingAfterBreak="0">
    <w:nsid w:val="1B0A1222"/>
    <w:multiLevelType w:val="hybridMultilevel"/>
    <w:tmpl w:val="E86C2CEC"/>
    <w:lvl w:ilvl="0" w:tplc="0ACA24DA">
      <w:start w:val="3"/>
      <w:numFmt w:val="decimal"/>
      <w:lvlText w:val="%1."/>
      <w:lvlJc w:val="left"/>
      <w:pPr>
        <w:ind w:left="720" w:hanging="360"/>
      </w:pPr>
      <w:rPr>
        <w:rFonts w:hint="default"/>
      </w:rPr>
    </w:lvl>
    <w:lvl w:ilvl="1" w:tplc="2C80ADE2" w:tentative="1">
      <w:start w:val="1"/>
      <w:numFmt w:val="lowerLetter"/>
      <w:lvlText w:val="%2."/>
      <w:lvlJc w:val="left"/>
      <w:pPr>
        <w:ind w:left="1440" w:hanging="360"/>
      </w:pPr>
    </w:lvl>
    <w:lvl w:ilvl="2" w:tplc="2FAC3B76" w:tentative="1">
      <w:start w:val="1"/>
      <w:numFmt w:val="lowerRoman"/>
      <w:lvlText w:val="%3."/>
      <w:lvlJc w:val="right"/>
      <w:pPr>
        <w:ind w:left="2160" w:hanging="180"/>
      </w:pPr>
    </w:lvl>
    <w:lvl w:ilvl="3" w:tplc="78FE4530" w:tentative="1">
      <w:start w:val="1"/>
      <w:numFmt w:val="decimal"/>
      <w:lvlText w:val="%4."/>
      <w:lvlJc w:val="left"/>
      <w:pPr>
        <w:ind w:left="2880" w:hanging="360"/>
      </w:pPr>
    </w:lvl>
    <w:lvl w:ilvl="4" w:tplc="D34ED80C" w:tentative="1">
      <w:start w:val="1"/>
      <w:numFmt w:val="lowerLetter"/>
      <w:lvlText w:val="%5."/>
      <w:lvlJc w:val="left"/>
      <w:pPr>
        <w:ind w:left="3600" w:hanging="360"/>
      </w:pPr>
    </w:lvl>
    <w:lvl w:ilvl="5" w:tplc="E9609352" w:tentative="1">
      <w:start w:val="1"/>
      <w:numFmt w:val="lowerRoman"/>
      <w:lvlText w:val="%6."/>
      <w:lvlJc w:val="right"/>
      <w:pPr>
        <w:ind w:left="4320" w:hanging="180"/>
      </w:pPr>
    </w:lvl>
    <w:lvl w:ilvl="6" w:tplc="15E0A490" w:tentative="1">
      <w:start w:val="1"/>
      <w:numFmt w:val="decimal"/>
      <w:lvlText w:val="%7."/>
      <w:lvlJc w:val="left"/>
      <w:pPr>
        <w:ind w:left="5040" w:hanging="360"/>
      </w:pPr>
    </w:lvl>
    <w:lvl w:ilvl="7" w:tplc="DB18C1C8" w:tentative="1">
      <w:start w:val="1"/>
      <w:numFmt w:val="lowerLetter"/>
      <w:lvlText w:val="%8."/>
      <w:lvlJc w:val="left"/>
      <w:pPr>
        <w:ind w:left="5760" w:hanging="360"/>
      </w:pPr>
    </w:lvl>
    <w:lvl w:ilvl="8" w:tplc="BB5E7DC4" w:tentative="1">
      <w:start w:val="1"/>
      <w:numFmt w:val="lowerRoman"/>
      <w:lvlText w:val="%9."/>
      <w:lvlJc w:val="right"/>
      <w:pPr>
        <w:ind w:left="6480" w:hanging="180"/>
      </w:pPr>
    </w:lvl>
  </w:abstractNum>
  <w:abstractNum w:abstractNumId="6" w15:restartNumberingAfterBreak="0">
    <w:nsid w:val="37BD0D45"/>
    <w:multiLevelType w:val="hybridMultilevel"/>
    <w:tmpl w:val="62443A7E"/>
    <w:lvl w:ilvl="0" w:tplc="3766954A">
      <w:start w:val="1"/>
      <w:numFmt w:val="upperRoman"/>
      <w:lvlText w:val="%1."/>
      <w:lvlJc w:val="left"/>
      <w:pPr>
        <w:ind w:left="337" w:hanging="217"/>
      </w:pPr>
      <w:rPr>
        <w:rFonts w:ascii="Tahoma" w:eastAsia="Tahoma" w:hAnsi="Tahoma" w:cs="Tahoma" w:hint="default"/>
        <w:b/>
        <w:bCs/>
        <w:color w:val="0F3D5C"/>
        <w:spacing w:val="-1"/>
        <w:w w:val="67"/>
        <w:sz w:val="28"/>
        <w:szCs w:val="28"/>
        <w:lang w:val="sq-AL" w:eastAsia="en-US" w:bidi="ar-SA"/>
      </w:rPr>
    </w:lvl>
    <w:lvl w:ilvl="1" w:tplc="9FD8B644">
      <w:numFmt w:val="bullet"/>
      <w:lvlText w:val="•"/>
      <w:lvlJc w:val="left"/>
      <w:pPr>
        <w:ind w:left="573" w:hanging="341"/>
      </w:pPr>
      <w:rPr>
        <w:rFonts w:ascii="Tahoma" w:eastAsia="Tahoma" w:hAnsi="Tahoma" w:cs="Tahoma" w:hint="default"/>
        <w:b/>
        <w:bCs/>
        <w:color w:val="A49375"/>
        <w:w w:val="91"/>
        <w:sz w:val="20"/>
        <w:szCs w:val="20"/>
        <w:lang w:val="sq-AL" w:eastAsia="en-US" w:bidi="ar-SA"/>
      </w:rPr>
    </w:lvl>
    <w:lvl w:ilvl="2" w:tplc="F28A2C98">
      <w:numFmt w:val="bullet"/>
      <w:lvlText w:val="•"/>
      <w:lvlJc w:val="left"/>
      <w:pPr>
        <w:ind w:left="1490" w:hanging="341"/>
      </w:pPr>
      <w:rPr>
        <w:rFonts w:hint="default"/>
        <w:lang w:val="sq-AL" w:eastAsia="en-US" w:bidi="ar-SA"/>
      </w:rPr>
    </w:lvl>
    <w:lvl w:ilvl="3" w:tplc="524EE376">
      <w:numFmt w:val="bullet"/>
      <w:lvlText w:val="•"/>
      <w:lvlJc w:val="left"/>
      <w:pPr>
        <w:ind w:left="2401" w:hanging="341"/>
      </w:pPr>
      <w:rPr>
        <w:rFonts w:hint="default"/>
        <w:lang w:val="sq-AL" w:eastAsia="en-US" w:bidi="ar-SA"/>
      </w:rPr>
    </w:lvl>
    <w:lvl w:ilvl="4" w:tplc="EC10A63C">
      <w:numFmt w:val="bullet"/>
      <w:lvlText w:val="•"/>
      <w:lvlJc w:val="left"/>
      <w:pPr>
        <w:ind w:left="3312" w:hanging="341"/>
      </w:pPr>
      <w:rPr>
        <w:rFonts w:hint="default"/>
        <w:lang w:val="sq-AL" w:eastAsia="en-US" w:bidi="ar-SA"/>
      </w:rPr>
    </w:lvl>
    <w:lvl w:ilvl="5" w:tplc="C29E9B30">
      <w:numFmt w:val="bullet"/>
      <w:lvlText w:val="•"/>
      <w:lvlJc w:val="left"/>
      <w:pPr>
        <w:ind w:left="4223" w:hanging="341"/>
      </w:pPr>
      <w:rPr>
        <w:rFonts w:hint="default"/>
        <w:lang w:val="sq-AL" w:eastAsia="en-US" w:bidi="ar-SA"/>
      </w:rPr>
    </w:lvl>
    <w:lvl w:ilvl="6" w:tplc="1C902EB4">
      <w:numFmt w:val="bullet"/>
      <w:lvlText w:val="•"/>
      <w:lvlJc w:val="left"/>
      <w:pPr>
        <w:ind w:left="5134" w:hanging="341"/>
      </w:pPr>
      <w:rPr>
        <w:rFonts w:hint="default"/>
        <w:lang w:val="sq-AL" w:eastAsia="en-US" w:bidi="ar-SA"/>
      </w:rPr>
    </w:lvl>
    <w:lvl w:ilvl="7" w:tplc="118200F6">
      <w:numFmt w:val="bullet"/>
      <w:lvlText w:val="•"/>
      <w:lvlJc w:val="left"/>
      <w:pPr>
        <w:ind w:left="6045" w:hanging="341"/>
      </w:pPr>
      <w:rPr>
        <w:rFonts w:hint="default"/>
        <w:lang w:val="sq-AL" w:eastAsia="en-US" w:bidi="ar-SA"/>
      </w:rPr>
    </w:lvl>
    <w:lvl w:ilvl="8" w:tplc="2C7C1A9A">
      <w:numFmt w:val="bullet"/>
      <w:lvlText w:val="•"/>
      <w:lvlJc w:val="left"/>
      <w:pPr>
        <w:ind w:left="6956" w:hanging="341"/>
      </w:pPr>
      <w:rPr>
        <w:rFonts w:hint="default"/>
        <w:lang w:val="sq-AL" w:eastAsia="en-US" w:bidi="ar-SA"/>
      </w:rPr>
    </w:lvl>
  </w:abstractNum>
  <w:abstractNum w:abstractNumId="7" w15:restartNumberingAfterBreak="0">
    <w:nsid w:val="3AC43F9C"/>
    <w:multiLevelType w:val="hybridMultilevel"/>
    <w:tmpl w:val="3E24519C"/>
    <w:lvl w:ilvl="0" w:tplc="F5ECECC8">
      <w:start w:val="1"/>
      <w:numFmt w:val="bullet"/>
      <w:lvlText w:val="-"/>
      <w:lvlJc w:val="left"/>
      <w:pPr>
        <w:ind w:left="720" w:hanging="360"/>
      </w:pPr>
      <w:rPr>
        <w:rFonts w:ascii="Times New Roman" w:eastAsiaTheme="minorHAnsi" w:hAnsi="Times New Roman" w:cs="Times New Roman" w:hint="default"/>
      </w:rPr>
    </w:lvl>
    <w:lvl w:ilvl="1" w:tplc="58AC104E" w:tentative="1">
      <w:start w:val="1"/>
      <w:numFmt w:val="bullet"/>
      <w:lvlText w:val="o"/>
      <w:lvlJc w:val="left"/>
      <w:pPr>
        <w:ind w:left="1440" w:hanging="360"/>
      </w:pPr>
      <w:rPr>
        <w:rFonts w:ascii="Courier New" w:hAnsi="Courier New" w:cs="Courier New" w:hint="default"/>
      </w:rPr>
    </w:lvl>
    <w:lvl w:ilvl="2" w:tplc="C6A8AAA0" w:tentative="1">
      <w:start w:val="1"/>
      <w:numFmt w:val="bullet"/>
      <w:lvlText w:val=""/>
      <w:lvlJc w:val="left"/>
      <w:pPr>
        <w:ind w:left="2160" w:hanging="360"/>
      </w:pPr>
      <w:rPr>
        <w:rFonts w:ascii="Wingdings" w:hAnsi="Wingdings" w:hint="default"/>
      </w:rPr>
    </w:lvl>
    <w:lvl w:ilvl="3" w:tplc="303E127C" w:tentative="1">
      <w:start w:val="1"/>
      <w:numFmt w:val="bullet"/>
      <w:lvlText w:val=""/>
      <w:lvlJc w:val="left"/>
      <w:pPr>
        <w:ind w:left="2880" w:hanging="360"/>
      </w:pPr>
      <w:rPr>
        <w:rFonts w:ascii="Symbol" w:hAnsi="Symbol" w:hint="default"/>
      </w:rPr>
    </w:lvl>
    <w:lvl w:ilvl="4" w:tplc="A3CC7C3E" w:tentative="1">
      <w:start w:val="1"/>
      <w:numFmt w:val="bullet"/>
      <w:lvlText w:val="o"/>
      <w:lvlJc w:val="left"/>
      <w:pPr>
        <w:ind w:left="3600" w:hanging="360"/>
      </w:pPr>
      <w:rPr>
        <w:rFonts w:ascii="Courier New" w:hAnsi="Courier New" w:cs="Courier New" w:hint="default"/>
      </w:rPr>
    </w:lvl>
    <w:lvl w:ilvl="5" w:tplc="DF80AE22" w:tentative="1">
      <w:start w:val="1"/>
      <w:numFmt w:val="bullet"/>
      <w:lvlText w:val=""/>
      <w:lvlJc w:val="left"/>
      <w:pPr>
        <w:ind w:left="4320" w:hanging="360"/>
      </w:pPr>
      <w:rPr>
        <w:rFonts w:ascii="Wingdings" w:hAnsi="Wingdings" w:hint="default"/>
      </w:rPr>
    </w:lvl>
    <w:lvl w:ilvl="6" w:tplc="E7A0A8E0" w:tentative="1">
      <w:start w:val="1"/>
      <w:numFmt w:val="bullet"/>
      <w:lvlText w:val=""/>
      <w:lvlJc w:val="left"/>
      <w:pPr>
        <w:ind w:left="5040" w:hanging="360"/>
      </w:pPr>
      <w:rPr>
        <w:rFonts w:ascii="Symbol" w:hAnsi="Symbol" w:hint="default"/>
      </w:rPr>
    </w:lvl>
    <w:lvl w:ilvl="7" w:tplc="13E48F18" w:tentative="1">
      <w:start w:val="1"/>
      <w:numFmt w:val="bullet"/>
      <w:lvlText w:val="o"/>
      <w:lvlJc w:val="left"/>
      <w:pPr>
        <w:ind w:left="5760" w:hanging="360"/>
      </w:pPr>
      <w:rPr>
        <w:rFonts w:ascii="Courier New" w:hAnsi="Courier New" w:cs="Courier New" w:hint="default"/>
      </w:rPr>
    </w:lvl>
    <w:lvl w:ilvl="8" w:tplc="32AA0882" w:tentative="1">
      <w:start w:val="1"/>
      <w:numFmt w:val="bullet"/>
      <w:lvlText w:val=""/>
      <w:lvlJc w:val="left"/>
      <w:pPr>
        <w:ind w:left="6480" w:hanging="360"/>
      </w:pPr>
      <w:rPr>
        <w:rFonts w:ascii="Wingdings" w:hAnsi="Wingdings" w:hint="default"/>
      </w:rPr>
    </w:lvl>
  </w:abstractNum>
  <w:abstractNum w:abstractNumId="8" w15:restartNumberingAfterBreak="0">
    <w:nsid w:val="477359FC"/>
    <w:multiLevelType w:val="hybridMultilevel"/>
    <w:tmpl w:val="15B41EE6"/>
    <w:lvl w:ilvl="0" w:tplc="212628BC">
      <w:start w:val="1"/>
      <w:numFmt w:val="upperRoman"/>
      <w:lvlText w:val="%1."/>
      <w:lvlJc w:val="left"/>
      <w:pPr>
        <w:ind w:left="1080" w:hanging="720"/>
      </w:pPr>
      <w:rPr>
        <w:rFonts w:hint="default"/>
        <w:b/>
        <w:sz w:val="28"/>
      </w:rPr>
    </w:lvl>
    <w:lvl w:ilvl="1" w:tplc="2CDA2276" w:tentative="1">
      <w:start w:val="1"/>
      <w:numFmt w:val="lowerLetter"/>
      <w:lvlText w:val="%2."/>
      <w:lvlJc w:val="left"/>
      <w:pPr>
        <w:ind w:left="1440" w:hanging="360"/>
      </w:pPr>
    </w:lvl>
    <w:lvl w:ilvl="2" w:tplc="77CC3AAA" w:tentative="1">
      <w:start w:val="1"/>
      <w:numFmt w:val="lowerRoman"/>
      <w:lvlText w:val="%3."/>
      <w:lvlJc w:val="right"/>
      <w:pPr>
        <w:ind w:left="2160" w:hanging="180"/>
      </w:pPr>
    </w:lvl>
    <w:lvl w:ilvl="3" w:tplc="1FDEF7EA" w:tentative="1">
      <w:start w:val="1"/>
      <w:numFmt w:val="decimal"/>
      <w:lvlText w:val="%4."/>
      <w:lvlJc w:val="left"/>
      <w:pPr>
        <w:ind w:left="2880" w:hanging="360"/>
      </w:pPr>
    </w:lvl>
    <w:lvl w:ilvl="4" w:tplc="94121984" w:tentative="1">
      <w:start w:val="1"/>
      <w:numFmt w:val="lowerLetter"/>
      <w:lvlText w:val="%5."/>
      <w:lvlJc w:val="left"/>
      <w:pPr>
        <w:ind w:left="3600" w:hanging="360"/>
      </w:pPr>
    </w:lvl>
    <w:lvl w:ilvl="5" w:tplc="446A0894" w:tentative="1">
      <w:start w:val="1"/>
      <w:numFmt w:val="lowerRoman"/>
      <w:lvlText w:val="%6."/>
      <w:lvlJc w:val="right"/>
      <w:pPr>
        <w:ind w:left="4320" w:hanging="180"/>
      </w:pPr>
    </w:lvl>
    <w:lvl w:ilvl="6" w:tplc="894477DE" w:tentative="1">
      <w:start w:val="1"/>
      <w:numFmt w:val="decimal"/>
      <w:lvlText w:val="%7."/>
      <w:lvlJc w:val="left"/>
      <w:pPr>
        <w:ind w:left="5040" w:hanging="360"/>
      </w:pPr>
    </w:lvl>
    <w:lvl w:ilvl="7" w:tplc="236A246A" w:tentative="1">
      <w:start w:val="1"/>
      <w:numFmt w:val="lowerLetter"/>
      <w:lvlText w:val="%8."/>
      <w:lvlJc w:val="left"/>
      <w:pPr>
        <w:ind w:left="5760" w:hanging="360"/>
      </w:pPr>
    </w:lvl>
    <w:lvl w:ilvl="8" w:tplc="68BEA3B0" w:tentative="1">
      <w:start w:val="1"/>
      <w:numFmt w:val="lowerRoman"/>
      <w:lvlText w:val="%9."/>
      <w:lvlJc w:val="right"/>
      <w:pPr>
        <w:ind w:left="6480" w:hanging="180"/>
      </w:pPr>
    </w:lvl>
  </w:abstractNum>
  <w:abstractNum w:abstractNumId="9" w15:restartNumberingAfterBreak="0">
    <w:nsid w:val="482B57DA"/>
    <w:multiLevelType w:val="hybridMultilevel"/>
    <w:tmpl w:val="38AA2ABE"/>
    <w:lvl w:ilvl="0" w:tplc="17D0CB08">
      <w:start w:val="1"/>
      <w:numFmt w:val="upperRoman"/>
      <w:lvlText w:val="%1."/>
      <w:lvlJc w:val="left"/>
      <w:pPr>
        <w:ind w:left="1080" w:hanging="720"/>
      </w:pPr>
      <w:rPr>
        <w:rFonts w:hint="default"/>
      </w:rPr>
    </w:lvl>
    <w:lvl w:ilvl="1" w:tplc="93A0FDC0" w:tentative="1">
      <w:start w:val="1"/>
      <w:numFmt w:val="lowerLetter"/>
      <w:lvlText w:val="%2."/>
      <w:lvlJc w:val="left"/>
      <w:pPr>
        <w:ind w:left="1440" w:hanging="360"/>
      </w:pPr>
    </w:lvl>
    <w:lvl w:ilvl="2" w:tplc="5F4AFFB2" w:tentative="1">
      <w:start w:val="1"/>
      <w:numFmt w:val="lowerRoman"/>
      <w:lvlText w:val="%3."/>
      <w:lvlJc w:val="right"/>
      <w:pPr>
        <w:ind w:left="2160" w:hanging="180"/>
      </w:pPr>
    </w:lvl>
    <w:lvl w:ilvl="3" w:tplc="EE98C7CC" w:tentative="1">
      <w:start w:val="1"/>
      <w:numFmt w:val="decimal"/>
      <w:lvlText w:val="%4."/>
      <w:lvlJc w:val="left"/>
      <w:pPr>
        <w:ind w:left="2880" w:hanging="360"/>
      </w:pPr>
    </w:lvl>
    <w:lvl w:ilvl="4" w:tplc="81227490" w:tentative="1">
      <w:start w:val="1"/>
      <w:numFmt w:val="lowerLetter"/>
      <w:lvlText w:val="%5."/>
      <w:lvlJc w:val="left"/>
      <w:pPr>
        <w:ind w:left="3600" w:hanging="360"/>
      </w:pPr>
    </w:lvl>
    <w:lvl w:ilvl="5" w:tplc="25325676" w:tentative="1">
      <w:start w:val="1"/>
      <w:numFmt w:val="lowerRoman"/>
      <w:lvlText w:val="%6."/>
      <w:lvlJc w:val="right"/>
      <w:pPr>
        <w:ind w:left="4320" w:hanging="180"/>
      </w:pPr>
    </w:lvl>
    <w:lvl w:ilvl="6" w:tplc="75968120" w:tentative="1">
      <w:start w:val="1"/>
      <w:numFmt w:val="decimal"/>
      <w:lvlText w:val="%7."/>
      <w:lvlJc w:val="left"/>
      <w:pPr>
        <w:ind w:left="5040" w:hanging="360"/>
      </w:pPr>
    </w:lvl>
    <w:lvl w:ilvl="7" w:tplc="4BE89190" w:tentative="1">
      <w:start w:val="1"/>
      <w:numFmt w:val="lowerLetter"/>
      <w:lvlText w:val="%8."/>
      <w:lvlJc w:val="left"/>
      <w:pPr>
        <w:ind w:left="5760" w:hanging="360"/>
      </w:pPr>
    </w:lvl>
    <w:lvl w:ilvl="8" w:tplc="A5088C10" w:tentative="1">
      <w:start w:val="1"/>
      <w:numFmt w:val="lowerRoman"/>
      <w:lvlText w:val="%9."/>
      <w:lvlJc w:val="right"/>
      <w:pPr>
        <w:ind w:left="6480" w:hanging="180"/>
      </w:pPr>
    </w:lvl>
  </w:abstractNum>
  <w:abstractNum w:abstractNumId="10" w15:restartNumberingAfterBreak="0">
    <w:nsid w:val="483727AA"/>
    <w:multiLevelType w:val="hybridMultilevel"/>
    <w:tmpl w:val="CFA6B762"/>
    <w:lvl w:ilvl="0" w:tplc="E2126056">
      <w:start w:val="1"/>
      <w:numFmt w:val="bullet"/>
      <w:lvlText w:val="-"/>
      <w:lvlJc w:val="left"/>
      <w:pPr>
        <w:ind w:left="720" w:hanging="360"/>
      </w:pPr>
      <w:rPr>
        <w:rFonts w:ascii="Times New Roman" w:eastAsiaTheme="minorHAnsi" w:hAnsi="Times New Roman" w:cs="Times New Roman" w:hint="default"/>
      </w:rPr>
    </w:lvl>
    <w:lvl w:ilvl="1" w:tplc="5C1E6FF6" w:tentative="1">
      <w:start w:val="1"/>
      <w:numFmt w:val="bullet"/>
      <w:lvlText w:val="o"/>
      <w:lvlJc w:val="left"/>
      <w:pPr>
        <w:ind w:left="1440" w:hanging="360"/>
      </w:pPr>
      <w:rPr>
        <w:rFonts w:ascii="Courier New" w:hAnsi="Courier New" w:cs="Courier New" w:hint="default"/>
      </w:rPr>
    </w:lvl>
    <w:lvl w:ilvl="2" w:tplc="B92655EC" w:tentative="1">
      <w:start w:val="1"/>
      <w:numFmt w:val="bullet"/>
      <w:lvlText w:val=""/>
      <w:lvlJc w:val="left"/>
      <w:pPr>
        <w:ind w:left="2160" w:hanging="360"/>
      </w:pPr>
      <w:rPr>
        <w:rFonts w:ascii="Wingdings" w:hAnsi="Wingdings" w:hint="default"/>
      </w:rPr>
    </w:lvl>
    <w:lvl w:ilvl="3" w:tplc="B7B650F2" w:tentative="1">
      <w:start w:val="1"/>
      <w:numFmt w:val="bullet"/>
      <w:lvlText w:val=""/>
      <w:lvlJc w:val="left"/>
      <w:pPr>
        <w:ind w:left="2880" w:hanging="360"/>
      </w:pPr>
      <w:rPr>
        <w:rFonts w:ascii="Symbol" w:hAnsi="Symbol" w:hint="default"/>
      </w:rPr>
    </w:lvl>
    <w:lvl w:ilvl="4" w:tplc="B614D50A" w:tentative="1">
      <w:start w:val="1"/>
      <w:numFmt w:val="bullet"/>
      <w:lvlText w:val="o"/>
      <w:lvlJc w:val="left"/>
      <w:pPr>
        <w:ind w:left="3600" w:hanging="360"/>
      </w:pPr>
      <w:rPr>
        <w:rFonts w:ascii="Courier New" w:hAnsi="Courier New" w:cs="Courier New" w:hint="default"/>
      </w:rPr>
    </w:lvl>
    <w:lvl w:ilvl="5" w:tplc="7CEE4260" w:tentative="1">
      <w:start w:val="1"/>
      <w:numFmt w:val="bullet"/>
      <w:lvlText w:val=""/>
      <w:lvlJc w:val="left"/>
      <w:pPr>
        <w:ind w:left="4320" w:hanging="360"/>
      </w:pPr>
      <w:rPr>
        <w:rFonts w:ascii="Wingdings" w:hAnsi="Wingdings" w:hint="default"/>
      </w:rPr>
    </w:lvl>
    <w:lvl w:ilvl="6" w:tplc="DAE88F20" w:tentative="1">
      <w:start w:val="1"/>
      <w:numFmt w:val="bullet"/>
      <w:lvlText w:val=""/>
      <w:lvlJc w:val="left"/>
      <w:pPr>
        <w:ind w:left="5040" w:hanging="360"/>
      </w:pPr>
      <w:rPr>
        <w:rFonts w:ascii="Symbol" w:hAnsi="Symbol" w:hint="default"/>
      </w:rPr>
    </w:lvl>
    <w:lvl w:ilvl="7" w:tplc="39FA8E0C" w:tentative="1">
      <w:start w:val="1"/>
      <w:numFmt w:val="bullet"/>
      <w:lvlText w:val="o"/>
      <w:lvlJc w:val="left"/>
      <w:pPr>
        <w:ind w:left="5760" w:hanging="360"/>
      </w:pPr>
      <w:rPr>
        <w:rFonts w:ascii="Courier New" w:hAnsi="Courier New" w:cs="Courier New" w:hint="default"/>
      </w:rPr>
    </w:lvl>
    <w:lvl w:ilvl="8" w:tplc="DD525076" w:tentative="1">
      <w:start w:val="1"/>
      <w:numFmt w:val="bullet"/>
      <w:lvlText w:val=""/>
      <w:lvlJc w:val="left"/>
      <w:pPr>
        <w:ind w:left="6480" w:hanging="360"/>
      </w:pPr>
      <w:rPr>
        <w:rFonts w:ascii="Wingdings" w:hAnsi="Wingdings" w:hint="default"/>
      </w:rPr>
    </w:lvl>
  </w:abstractNum>
  <w:abstractNum w:abstractNumId="11" w15:restartNumberingAfterBreak="0">
    <w:nsid w:val="59665A62"/>
    <w:multiLevelType w:val="hybridMultilevel"/>
    <w:tmpl w:val="A4E67ACC"/>
    <w:lvl w:ilvl="0" w:tplc="3A3C7DB0">
      <w:start w:val="1"/>
      <w:numFmt w:val="upperRoman"/>
      <w:lvlText w:val="%1."/>
      <w:lvlJc w:val="left"/>
      <w:pPr>
        <w:ind w:left="1080" w:hanging="720"/>
      </w:pPr>
      <w:rPr>
        <w:rFonts w:hint="default"/>
      </w:rPr>
    </w:lvl>
    <w:lvl w:ilvl="1" w:tplc="59C66624" w:tentative="1">
      <w:start w:val="1"/>
      <w:numFmt w:val="lowerLetter"/>
      <w:lvlText w:val="%2."/>
      <w:lvlJc w:val="left"/>
      <w:pPr>
        <w:ind w:left="1440" w:hanging="360"/>
      </w:pPr>
    </w:lvl>
    <w:lvl w:ilvl="2" w:tplc="103E83D6" w:tentative="1">
      <w:start w:val="1"/>
      <w:numFmt w:val="lowerRoman"/>
      <w:lvlText w:val="%3."/>
      <w:lvlJc w:val="right"/>
      <w:pPr>
        <w:ind w:left="2160" w:hanging="180"/>
      </w:pPr>
    </w:lvl>
    <w:lvl w:ilvl="3" w:tplc="48C08060" w:tentative="1">
      <w:start w:val="1"/>
      <w:numFmt w:val="decimal"/>
      <w:lvlText w:val="%4."/>
      <w:lvlJc w:val="left"/>
      <w:pPr>
        <w:ind w:left="2880" w:hanging="360"/>
      </w:pPr>
    </w:lvl>
    <w:lvl w:ilvl="4" w:tplc="6102F210" w:tentative="1">
      <w:start w:val="1"/>
      <w:numFmt w:val="lowerLetter"/>
      <w:lvlText w:val="%5."/>
      <w:lvlJc w:val="left"/>
      <w:pPr>
        <w:ind w:left="3600" w:hanging="360"/>
      </w:pPr>
    </w:lvl>
    <w:lvl w:ilvl="5" w:tplc="FD46F4F8" w:tentative="1">
      <w:start w:val="1"/>
      <w:numFmt w:val="lowerRoman"/>
      <w:lvlText w:val="%6."/>
      <w:lvlJc w:val="right"/>
      <w:pPr>
        <w:ind w:left="4320" w:hanging="180"/>
      </w:pPr>
    </w:lvl>
    <w:lvl w:ilvl="6" w:tplc="6D141A10" w:tentative="1">
      <w:start w:val="1"/>
      <w:numFmt w:val="decimal"/>
      <w:lvlText w:val="%7."/>
      <w:lvlJc w:val="left"/>
      <w:pPr>
        <w:ind w:left="5040" w:hanging="360"/>
      </w:pPr>
    </w:lvl>
    <w:lvl w:ilvl="7" w:tplc="54BC27B0" w:tentative="1">
      <w:start w:val="1"/>
      <w:numFmt w:val="lowerLetter"/>
      <w:lvlText w:val="%8."/>
      <w:lvlJc w:val="left"/>
      <w:pPr>
        <w:ind w:left="5760" w:hanging="360"/>
      </w:pPr>
    </w:lvl>
    <w:lvl w:ilvl="8" w:tplc="F0B850F6" w:tentative="1">
      <w:start w:val="1"/>
      <w:numFmt w:val="lowerRoman"/>
      <w:lvlText w:val="%9."/>
      <w:lvlJc w:val="right"/>
      <w:pPr>
        <w:ind w:left="6480" w:hanging="180"/>
      </w:pPr>
    </w:lvl>
  </w:abstractNum>
  <w:abstractNum w:abstractNumId="12" w15:restartNumberingAfterBreak="0">
    <w:nsid w:val="5E0A6978"/>
    <w:multiLevelType w:val="multilevel"/>
    <w:tmpl w:val="FBF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92242"/>
    <w:multiLevelType w:val="multilevel"/>
    <w:tmpl w:val="D494C9AC"/>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90CB0"/>
    <w:multiLevelType w:val="hybridMultilevel"/>
    <w:tmpl w:val="DEBECDBC"/>
    <w:lvl w:ilvl="0" w:tplc="B61A7858">
      <w:start w:val="1"/>
      <w:numFmt w:val="decimal"/>
      <w:lvlText w:val="%1)"/>
      <w:lvlJc w:val="left"/>
      <w:pPr>
        <w:ind w:left="720" w:hanging="360"/>
      </w:pPr>
      <w:rPr>
        <w:rFonts w:hint="default"/>
        <w:color w:val="auto"/>
      </w:rPr>
    </w:lvl>
    <w:lvl w:ilvl="1" w:tplc="4AD2ED48" w:tentative="1">
      <w:start w:val="1"/>
      <w:numFmt w:val="lowerLetter"/>
      <w:lvlText w:val="%2."/>
      <w:lvlJc w:val="left"/>
      <w:pPr>
        <w:ind w:left="1440" w:hanging="360"/>
      </w:pPr>
    </w:lvl>
    <w:lvl w:ilvl="2" w:tplc="80745812" w:tentative="1">
      <w:start w:val="1"/>
      <w:numFmt w:val="lowerRoman"/>
      <w:lvlText w:val="%3."/>
      <w:lvlJc w:val="right"/>
      <w:pPr>
        <w:ind w:left="2160" w:hanging="180"/>
      </w:pPr>
    </w:lvl>
    <w:lvl w:ilvl="3" w:tplc="40EE38BA" w:tentative="1">
      <w:start w:val="1"/>
      <w:numFmt w:val="decimal"/>
      <w:lvlText w:val="%4."/>
      <w:lvlJc w:val="left"/>
      <w:pPr>
        <w:ind w:left="2880" w:hanging="360"/>
      </w:pPr>
    </w:lvl>
    <w:lvl w:ilvl="4" w:tplc="BE5EB584" w:tentative="1">
      <w:start w:val="1"/>
      <w:numFmt w:val="lowerLetter"/>
      <w:lvlText w:val="%5."/>
      <w:lvlJc w:val="left"/>
      <w:pPr>
        <w:ind w:left="3600" w:hanging="360"/>
      </w:pPr>
    </w:lvl>
    <w:lvl w:ilvl="5" w:tplc="1B0C0E98" w:tentative="1">
      <w:start w:val="1"/>
      <w:numFmt w:val="lowerRoman"/>
      <w:lvlText w:val="%6."/>
      <w:lvlJc w:val="right"/>
      <w:pPr>
        <w:ind w:left="4320" w:hanging="180"/>
      </w:pPr>
    </w:lvl>
    <w:lvl w:ilvl="6" w:tplc="6166DE24" w:tentative="1">
      <w:start w:val="1"/>
      <w:numFmt w:val="decimal"/>
      <w:lvlText w:val="%7."/>
      <w:lvlJc w:val="left"/>
      <w:pPr>
        <w:ind w:left="5040" w:hanging="360"/>
      </w:pPr>
    </w:lvl>
    <w:lvl w:ilvl="7" w:tplc="AABEDD2C" w:tentative="1">
      <w:start w:val="1"/>
      <w:numFmt w:val="lowerLetter"/>
      <w:lvlText w:val="%8."/>
      <w:lvlJc w:val="left"/>
      <w:pPr>
        <w:ind w:left="5760" w:hanging="360"/>
      </w:pPr>
    </w:lvl>
    <w:lvl w:ilvl="8" w:tplc="83246556" w:tentative="1">
      <w:start w:val="1"/>
      <w:numFmt w:val="lowerRoman"/>
      <w:lvlText w:val="%9."/>
      <w:lvlJc w:val="right"/>
      <w:pPr>
        <w:ind w:left="6480" w:hanging="180"/>
      </w:pPr>
    </w:lvl>
  </w:abstractNum>
  <w:abstractNum w:abstractNumId="15" w15:restartNumberingAfterBreak="0">
    <w:nsid w:val="772D3A79"/>
    <w:multiLevelType w:val="hybridMultilevel"/>
    <w:tmpl w:val="15B41EE6"/>
    <w:lvl w:ilvl="0" w:tplc="780E4390">
      <w:start w:val="1"/>
      <w:numFmt w:val="upperRoman"/>
      <w:lvlText w:val="%1."/>
      <w:lvlJc w:val="left"/>
      <w:pPr>
        <w:ind w:left="1080" w:hanging="720"/>
      </w:pPr>
      <w:rPr>
        <w:rFonts w:hint="default"/>
        <w:b/>
        <w:sz w:val="28"/>
      </w:rPr>
    </w:lvl>
    <w:lvl w:ilvl="1" w:tplc="70D290DC" w:tentative="1">
      <w:start w:val="1"/>
      <w:numFmt w:val="lowerLetter"/>
      <w:lvlText w:val="%2."/>
      <w:lvlJc w:val="left"/>
      <w:pPr>
        <w:ind w:left="1440" w:hanging="360"/>
      </w:pPr>
    </w:lvl>
    <w:lvl w:ilvl="2" w:tplc="D1567DEE" w:tentative="1">
      <w:start w:val="1"/>
      <w:numFmt w:val="lowerRoman"/>
      <w:lvlText w:val="%3."/>
      <w:lvlJc w:val="right"/>
      <w:pPr>
        <w:ind w:left="2160" w:hanging="180"/>
      </w:pPr>
    </w:lvl>
    <w:lvl w:ilvl="3" w:tplc="AC08386E" w:tentative="1">
      <w:start w:val="1"/>
      <w:numFmt w:val="decimal"/>
      <w:lvlText w:val="%4."/>
      <w:lvlJc w:val="left"/>
      <w:pPr>
        <w:ind w:left="2880" w:hanging="360"/>
      </w:pPr>
    </w:lvl>
    <w:lvl w:ilvl="4" w:tplc="29FE7586" w:tentative="1">
      <w:start w:val="1"/>
      <w:numFmt w:val="lowerLetter"/>
      <w:lvlText w:val="%5."/>
      <w:lvlJc w:val="left"/>
      <w:pPr>
        <w:ind w:left="3600" w:hanging="360"/>
      </w:pPr>
    </w:lvl>
    <w:lvl w:ilvl="5" w:tplc="FFB66DB4" w:tentative="1">
      <w:start w:val="1"/>
      <w:numFmt w:val="lowerRoman"/>
      <w:lvlText w:val="%6."/>
      <w:lvlJc w:val="right"/>
      <w:pPr>
        <w:ind w:left="4320" w:hanging="180"/>
      </w:pPr>
    </w:lvl>
    <w:lvl w:ilvl="6" w:tplc="0470A5DA" w:tentative="1">
      <w:start w:val="1"/>
      <w:numFmt w:val="decimal"/>
      <w:lvlText w:val="%7."/>
      <w:lvlJc w:val="left"/>
      <w:pPr>
        <w:ind w:left="5040" w:hanging="360"/>
      </w:pPr>
    </w:lvl>
    <w:lvl w:ilvl="7" w:tplc="2AAEA98E" w:tentative="1">
      <w:start w:val="1"/>
      <w:numFmt w:val="lowerLetter"/>
      <w:lvlText w:val="%8."/>
      <w:lvlJc w:val="left"/>
      <w:pPr>
        <w:ind w:left="5760" w:hanging="360"/>
      </w:pPr>
    </w:lvl>
    <w:lvl w:ilvl="8" w:tplc="22EC4174" w:tentative="1">
      <w:start w:val="1"/>
      <w:numFmt w:val="lowerRoman"/>
      <w:lvlText w:val="%9."/>
      <w:lvlJc w:val="right"/>
      <w:pPr>
        <w:ind w:left="6480" w:hanging="180"/>
      </w:pPr>
    </w:lvl>
  </w:abstractNum>
  <w:abstractNum w:abstractNumId="16" w15:restartNumberingAfterBreak="0">
    <w:nsid w:val="775847E1"/>
    <w:multiLevelType w:val="hybridMultilevel"/>
    <w:tmpl w:val="D44ADB66"/>
    <w:lvl w:ilvl="0" w:tplc="A8541DF6">
      <w:start w:val="1"/>
      <w:numFmt w:val="bullet"/>
      <w:lvlText w:val="-"/>
      <w:lvlJc w:val="left"/>
      <w:pPr>
        <w:ind w:left="720" w:hanging="360"/>
      </w:pPr>
      <w:rPr>
        <w:rFonts w:ascii="Times New Roman" w:eastAsiaTheme="minorHAnsi" w:hAnsi="Times New Roman" w:cs="Times New Roman" w:hint="default"/>
      </w:rPr>
    </w:lvl>
    <w:lvl w:ilvl="1" w:tplc="ABF8D51E" w:tentative="1">
      <w:start w:val="1"/>
      <w:numFmt w:val="bullet"/>
      <w:lvlText w:val="o"/>
      <w:lvlJc w:val="left"/>
      <w:pPr>
        <w:ind w:left="1440" w:hanging="360"/>
      </w:pPr>
      <w:rPr>
        <w:rFonts w:ascii="Courier New" w:hAnsi="Courier New" w:cs="Courier New" w:hint="default"/>
      </w:rPr>
    </w:lvl>
    <w:lvl w:ilvl="2" w:tplc="83B8A4D8" w:tentative="1">
      <w:start w:val="1"/>
      <w:numFmt w:val="bullet"/>
      <w:lvlText w:val=""/>
      <w:lvlJc w:val="left"/>
      <w:pPr>
        <w:ind w:left="2160" w:hanging="360"/>
      </w:pPr>
      <w:rPr>
        <w:rFonts w:ascii="Wingdings" w:hAnsi="Wingdings" w:hint="default"/>
      </w:rPr>
    </w:lvl>
    <w:lvl w:ilvl="3" w:tplc="79DC817E" w:tentative="1">
      <w:start w:val="1"/>
      <w:numFmt w:val="bullet"/>
      <w:lvlText w:val=""/>
      <w:lvlJc w:val="left"/>
      <w:pPr>
        <w:ind w:left="2880" w:hanging="360"/>
      </w:pPr>
      <w:rPr>
        <w:rFonts w:ascii="Symbol" w:hAnsi="Symbol" w:hint="default"/>
      </w:rPr>
    </w:lvl>
    <w:lvl w:ilvl="4" w:tplc="4BAC6F5C" w:tentative="1">
      <w:start w:val="1"/>
      <w:numFmt w:val="bullet"/>
      <w:lvlText w:val="o"/>
      <w:lvlJc w:val="left"/>
      <w:pPr>
        <w:ind w:left="3600" w:hanging="360"/>
      </w:pPr>
      <w:rPr>
        <w:rFonts w:ascii="Courier New" w:hAnsi="Courier New" w:cs="Courier New" w:hint="default"/>
      </w:rPr>
    </w:lvl>
    <w:lvl w:ilvl="5" w:tplc="A066FA70" w:tentative="1">
      <w:start w:val="1"/>
      <w:numFmt w:val="bullet"/>
      <w:lvlText w:val=""/>
      <w:lvlJc w:val="left"/>
      <w:pPr>
        <w:ind w:left="4320" w:hanging="360"/>
      </w:pPr>
      <w:rPr>
        <w:rFonts w:ascii="Wingdings" w:hAnsi="Wingdings" w:hint="default"/>
      </w:rPr>
    </w:lvl>
    <w:lvl w:ilvl="6" w:tplc="67629942" w:tentative="1">
      <w:start w:val="1"/>
      <w:numFmt w:val="bullet"/>
      <w:lvlText w:val=""/>
      <w:lvlJc w:val="left"/>
      <w:pPr>
        <w:ind w:left="5040" w:hanging="360"/>
      </w:pPr>
      <w:rPr>
        <w:rFonts w:ascii="Symbol" w:hAnsi="Symbol" w:hint="default"/>
      </w:rPr>
    </w:lvl>
    <w:lvl w:ilvl="7" w:tplc="278455EE" w:tentative="1">
      <w:start w:val="1"/>
      <w:numFmt w:val="bullet"/>
      <w:lvlText w:val="o"/>
      <w:lvlJc w:val="left"/>
      <w:pPr>
        <w:ind w:left="5760" w:hanging="360"/>
      </w:pPr>
      <w:rPr>
        <w:rFonts w:ascii="Courier New" w:hAnsi="Courier New" w:cs="Courier New" w:hint="default"/>
      </w:rPr>
    </w:lvl>
    <w:lvl w:ilvl="8" w:tplc="241A7E7C" w:tentative="1">
      <w:start w:val="1"/>
      <w:numFmt w:val="bullet"/>
      <w:lvlText w:val=""/>
      <w:lvlJc w:val="left"/>
      <w:pPr>
        <w:ind w:left="6480" w:hanging="360"/>
      </w:pPr>
      <w:rPr>
        <w:rFonts w:ascii="Wingdings" w:hAnsi="Wingdings" w:hint="default"/>
      </w:rPr>
    </w:lvl>
  </w:abstractNum>
  <w:abstractNum w:abstractNumId="17" w15:restartNumberingAfterBreak="0">
    <w:nsid w:val="7CDE25A3"/>
    <w:multiLevelType w:val="multilevel"/>
    <w:tmpl w:val="3BEC3C58"/>
    <w:lvl w:ilvl="0">
      <w:start w:val="2"/>
      <w:numFmt w:val="decimal"/>
      <w:lvlText w:val="%1."/>
      <w:lvlJc w:val="left"/>
      <w:pPr>
        <w:ind w:left="360" w:hanging="360"/>
      </w:pPr>
      <w:rPr>
        <w:rFonts w:hint="default"/>
      </w:rPr>
    </w:lvl>
    <w:lvl w:ilvl="1">
      <w:start w:val="4"/>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11"/>
  </w:num>
  <w:num w:numId="2">
    <w:abstractNumId w:val="9"/>
  </w:num>
  <w:num w:numId="3">
    <w:abstractNumId w:val="15"/>
  </w:num>
  <w:num w:numId="4">
    <w:abstractNumId w:val="4"/>
  </w:num>
  <w:num w:numId="5">
    <w:abstractNumId w:val="7"/>
  </w:num>
  <w:num w:numId="6">
    <w:abstractNumId w:val="14"/>
  </w:num>
  <w:num w:numId="7">
    <w:abstractNumId w:val="1"/>
  </w:num>
  <w:num w:numId="8">
    <w:abstractNumId w:val="8"/>
  </w:num>
  <w:num w:numId="9">
    <w:abstractNumId w:val="6"/>
  </w:num>
  <w:num w:numId="10">
    <w:abstractNumId w:val="16"/>
  </w:num>
  <w:num w:numId="11">
    <w:abstractNumId w:val="3"/>
  </w:num>
  <w:num w:numId="12">
    <w:abstractNumId w:val="2"/>
  </w:num>
  <w:num w:numId="13">
    <w:abstractNumId w:val="5"/>
  </w:num>
  <w:num w:numId="14">
    <w:abstractNumId w:val="0"/>
  </w:num>
  <w:num w:numId="15">
    <w:abstractNumId w:val="17"/>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2C"/>
    <w:rsid w:val="00000A7B"/>
    <w:rsid w:val="00001E51"/>
    <w:rsid w:val="00003CDB"/>
    <w:rsid w:val="000068B5"/>
    <w:rsid w:val="000071F2"/>
    <w:rsid w:val="00007C4D"/>
    <w:rsid w:val="00010087"/>
    <w:rsid w:val="00010AEF"/>
    <w:rsid w:val="00011EC3"/>
    <w:rsid w:val="00012067"/>
    <w:rsid w:val="00013026"/>
    <w:rsid w:val="00013079"/>
    <w:rsid w:val="000133C6"/>
    <w:rsid w:val="00013F4C"/>
    <w:rsid w:val="000142A9"/>
    <w:rsid w:val="00016A58"/>
    <w:rsid w:val="00016DBB"/>
    <w:rsid w:val="0001779A"/>
    <w:rsid w:val="00017A32"/>
    <w:rsid w:val="00017AD9"/>
    <w:rsid w:val="00017E01"/>
    <w:rsid w:val="000208EA"/>
    <w:rsid w:val="00022B0B"/>
    <w:rsid w:val="00022F7B"/>
    <w:rsid w:val="00024E65"/>
    <w:rsid w:val="00025BE5"/>
    <w:rsid w:val="00026897"/>
    <w:rsid w:val="00026FC5"/>
    <w:rsid w:val="00027483"/>
    <w:rsid w:val="000302E5"/>
    <w:rsid w:val="00030A66"/>
    <w:rsid w:val="00031095"/>
    <w:rsid w:val="00031A8D"/>
    <w:rsid w:val="00031E9F"/>
    <w:rsid w:val="00035956"/>
    <w:rsid w:val="00036DCE"/>
    <w:rsid w:val="00040E10"/>
    <w:rsid w:val="00041597"/>
    <w:rsid w:val="00041ADD"/>
    <w:rsid w:val="00042207"/>
    <w:rsid w:val="00042532"/>
    <w:rsid w:val="00042ABD"/>
    <w:rsid w:val="00045C4B"/>
    <w:rsid w:val="000467D2"/>
    <w:rsid w:val="000503FE"/>
    <w:rsid w:val="000506AB"/>
    <w:rsid w:val="00050A70"/>
    <w:rsid w:val="00051E71"/>
    <w:rsid w:val="00052E01"/>
    <w:rsid w:val="00053111"/>
    <w:rsid w:val="000541AE"/>
    <w:rsid w:val="00054751"/>
    <w:rsid w:val="00057089"/>
    <w:rsid w:val="0006187F"/>
    <w:rsid w:val="00062821"/>
    <w:rsid w:val="00062B41"/>
    <w:rsid w:val="00063AFF"/>
    <w:rsid w:val="00063FCB"/>
    <w:rsid w:val="000647E5"/>
    <w:rsid w:val="00065C70"/>
    <w:rsid w:val="00065EB4"/>
    <w:rsid w:val="0006754C"/>
    <w:rsid w:val="00067B38"/>
    <w:rsid w:val="000709A6"/>
    <w:rsid w:val="00070DB2"/>
    <w:rsid w:val="00072162"/>
    <w:rsid w:val="00072BA3"/>
    <w:rsid w:val="00073326"/>
    <w:rsid w:val="000744DE"/>
    <w:rsid w:val="00074571"/>
    <w:rsid w:val="0007521C"/>
    <w:rsid w:val="000753C5"/>
    <w:rsid w:val="00076085"/>
    <w:rsid w:val="00076573"/>
    <w:rsid w:val="00076C48"/>
    <w:rsid w:val="00076C4F"/>
    <w:rsid w:val="00076D7A"/>
    <w:rsid w:val="000774FC"/>
    <w:rsid w:val="00077A5C"/>
    <w:rsid w:val="00077D6F"/>
    <w:rsid w:val="00081788"/>
    <w:rsid w:val="0008399F"/>
    <w:rsid w:val="00083BCD"/>
    <w:rsid w:val="00085DD3"/>
    <w:rsid w:val="000865CA"/>
    <w:rsid w:val="00090892"/>
    <w:rsid w:val="000909FF"/>
    <w:rsid w:val="00092DF6"/>
    <w:rsid w:val="0009347C"/>
    <w:rsid w:val="000937C8"/>
    <w:rsid w:val="00094026"/>
    <w:rsid w:val="00094138"/>
    <w:rsid w:val="00094B75"/>
    <w:rsid w:val="00095ECC"/>
    <w:rsid w:val="0009751D"/>
    <w:rsid w:val="000A395E"/>
    <w:rsid w:val="000A43BE"/>
    <w:rsid w:val="000A5E3B"/>
    <w:rsid w:val="000A606A"/>
    <w:rsid w:val="000A6507"/>
    <w:rsid w:val="000A69B8"/>
    <w:rsid w:val="000B0801"/>
    <w:rsid w:val="000B0DB7"/>
    <w:rsid w:val="000B1135"/>
    <w:rsid w:val="000B1667"/>
    <w:rsid w:val="000B191A"/>
    <w:rsid w:val="000B1A3F"/>
    <w:rsid w:val="000B204C"/>
    <w:rsid w:val="000B60B8"/>
    <w:rsid w:val="000C02B2"/>
    <w:rsid w:val="000C199E"/>
    <w:rsid w:val="000C4F5D"/>
    <w:rsid w:val="000C4F73"/>
    <w:rsid w:val="000C55F0"/>
    <w:rsid w:val="000C5C7D"/>
    <w:rsid w:val="000C6C2C"/>
    <w:rsid w:val="000C787C"/>
    <w:rsid w:val="000C7C47"/>
    <w:rsid w:val="000C7C9C"/>
    <w:rsid w:val="000D2717"/>
    <w:rsid w:val="000D3AD7"/>
    <w:rsid w:val="000D6774"/>
    <w:rsid w:val="000D78E2"/>
    <w:rsid w:val="000E03EF"/>
    <w:rsid w:val="000E0459"/>
    <w:rsid w:val="000E2CE8"/>
    <w:rsid w:val="000E42F9"/>
    <w:rsid w:val="000E4EBE"/>
    <w:rsid w:val="000F1BE5"/>
    <w:rsid w:val="000F1CBF"/>
    <w:rsid w:val="000F1EEB"/>
    <w:rsid w:val="000F2963"/>
    <w:rsid w:val="000F2EA9"/>
    <w:rsid w:val="000F4C78"/>
    <w:rsid w:val="000F5AB7"/>
    <w:rsid w:val="000F5B01"/>
    <w:rsid w:val="000F605E"/>
    <w:rsid w:val="000F72E6"/>
    <w:rsid w:val="0010393B"/>
    <w:rsid w:val="00103D45"/>
    <w:rsid w:val="001042F5"/>
    <w:rsid w:val="00106A7D"/>
    <w:rsid w:val="00114325"/>
    <w:rsid w:val="00116416"/>
    <w:rsid w:val="00116BB9"/>
    <w:rsid w:val="00116FA5"/>
    <w:rsid w:val="001174AF"/>
    <w:rsid w:val="00121671"/>
    <w:rsid w:val="001236CD"/>
    <w:rsid w:val="001260D1"/>
    <w:rsid w:val="00126C7C"/>
    <w:rsid w:val="00130011"/>
    <w:rsid w:val="0013062D"/>
    <w:rsid w:val="00130AE1"/>
    <w:rsid w:val="00131999"/>
    <w:rsid w:val="00132964"/>
    <w:rsid w:val="00132A55"/>
    <w:rsid w:val="00133275"/>
    <w:rsid w:val="001349A6"/>
    <w:rsid w:val="001351EC"/>
    <w:rsid w:val="00135202"/>
    <w:rsid w:val="001352E3"/>
    <w:rsid w:val="00135C95"/>
    <w:rsid w:val="00141288"/>
    <w:rsid w:val="00141759"/>
    <w:rsid w:val="00141F0B"/>
    <w:rsid w:val="001421D7"/>
    <w:rsid w:val="00142DFC"/>
    <w:rsid w:val="00142F4F"/>
    <w:rsid w:val="00143CC3"/>
    <w:rsid w:val="0014468A"/>
    <w:rsid w:val="00144860"/>
    <w:rsid w:val="00146DCA"/>
    <w:rsid w:val="001471FB"/>
    <w:rsid w:val="00147340"/>
    <w:rsid w:val="001475CE"/>
    <w:rsid w:val="00147B23"/>
    <w:rsid w:val="00155B93"/>
    <w:rsid w:val="00155E55"/>
    <w:rsid w:val="00156842"/>
    <w:rsid w:val="00161ACC"/>
    <w:rsid w:val="00161BEA"/>
    <w:rsid w:val="001654EC"/>
    <w:rsid w:val="001677D5"/>
    <w:rsid w:val="0016786A"/>
    <w:rsid w:val="001702E4"/>
    <w:rsid w:val="00172D39"/>
    <w:rsid w:val="001733E2"/>
    <w:rsid w:val="001736FB"/>
    <w:rsid w:val="00173827"/>
    <w:rsid w:val="00173E64"/>
    <w:rsid w:val="0017419A"/>
    <w:rsid w:val="001774DA"/>
    <w:rsid w:val="00180501"/>
    <w:rsid w:val="0018087F"/>
    <w:rsid w:val="0018099A"/>
    <w:rsid w:val="00180A7C"/>
    <w:rsid w:val="00184079"/>
    <w:rsid w:val="001844F3"/>
    <w:rsid w:val="00184B03"/>
    <w:rsid w:val="001871F0"/>
    <w:rsid w:val="00190356"/>
    <w:rsid w:val="00191783"/>
    <w:rsid w:val="00191A13"/>
    <w:rsid w:val="00191B47"/>
    <w:rsid w:val="00193DAF"/>
    <w:rsid w:val="00197E80"/>
    <w:rsid w:val="001A0901"/>
    <w:rsid w:val="001A0C91"/>
    <w:rsid w:val="001A118E"/>
    <w:rsid w:val="001A14E9"/>
    <w:rsid w:val="001A2D00"/>
    <w:rsid w:val="001A3428"/>
    <w:rsid w:val="001A39A5"/>
    <w:rsid w:val="001A48F5"/>
    <w:rsid w:val="001A6B92"/>
    <w:rsid w:val="001A7D77"/>
    <w:rsid w:val="001B0E7E"/>
    <w:rsid w:val="001B192A"/>
    <w:rsid w:val="001B19AE"/>
    <w:rsid w:val="001B2AD2"/>
    <w:rsid w:val="001B3485"/>
    <w:rsid w:val="001B573A"/>
    <w:rsid w:val="001B62C7"/>
    <w:rsid w:val="001B7470"/>
    <w:rsid w:val="001B7D2F"/>
    <w:rsid w:val="001C0D33"/>
    <w:rsid w:val="001C153A"/>
    <w:rsid w:val="001C19C7"/>
    <w:rsid w:val="001C21D7"/>
    <w:rsid w:val="001C2CEA"/>
    <w:rsid w:val="001C3515"/>
    <w:rsid w:val="001C508B"/>
    <w:rsid w:val="001C6A25"/>
    <w:rsid w:val="001C7F2C"/>
    <w:rsid w:val="001D0266"/>
    <w:rsid w:val="001D0417"/>
    <w:rsid w:val="001D085D"/>
    <w:rsid w:val="001D0C20"/>
    <w:rsid w:val="001D13F9"/>
    <w:rsid w:val="001D1D81"/>
    <w:rsid w:val="001D2F13"/>
    <w:rsid w:val="001D346E"/>
    <w:rsid w:val="001D34F2"/>
    <w:rsid w:val="001D4D1A"/>
    <w:rsid w:val="001D52E7"/>
    <w:rsid w:val="001E0569"/>
    <w:rsid w:val="001E1402"/>
    <w:rsid w:val="001E2616"/>
    <w:rsid w:val="001E2DF1"/>
    <w:rsid w:val="001E3E3F"/>
    <w:rsid w:val="001E48E3"/>
    <w:rsid w:val="001E7730"/>
    <w:rsid w:val="001F181E"/>
    <w:rsid w:val="001F1BA7"/>
    <w:rsid w:val="001F3394"/>
    <w:rsid w:val="001F4B9E"/>
    <w:rsid w:val="001F5595"/>
    <w:rsid w:val="001F5B28"/>
    <w:rsid w:val="001F6CB5"/>
    <w:rsid w:val="002001C4"/>
    <w:rsid w:val="002016E8"/>
    <w:rsid w:val="00201F09"/>
    <w:rsid w:val="0020265A"/>
    <w:rsid w:val="002026BB"/>
    <w:rsid w:val="002026CE"/>
    <w:rsid w:val="002036D6"/>
    <w:rsid w:val="0020511F"/>
    <w:rsid w:val="00205EC8"/>
    <w:rsid w:val="002064C6"/>
    <w:rsid w:val="00207235"/>
    <w:rsid w:val="002072C8"/>
    <w:rsid w:val="0020786C"/>
    <w:rsid w:val="00207987"/>
    <w:rsid w:val="00207C47"/>
    <w:rsid w:val="00210DC5"/>
    <w:rsid w:val="00210EC7"/>
    <w:rsid w:val="00211290"/>
    <w:rsid w:val="00211B54"/>
    <w:rsid w:val="002131E0"/>
    <w:rsid w:val="00213F32"/>
    <w:rsid w:val="00215786"/>
    <w:rsid w:val="00216F91"/>
    <w:rsid w:val="00221A73"/>
    <w:rsid w:val="00222276"/>
    <w:rsid w:val="00222349"/>
    <w:rsid w:val="00223184"/>
    <w:rsid w:val="0022494B"/>
    <w:rsid w:val="00225C96"/>
    <w:rsid w:val="00226149"/>
    <w:rsid w:val="002279B6"/>
    <w:rsid w:val="002311AB"/>
    <w:rsid w:val="00232345"/>
    <w:rsid w:val="00232720"/>
    <w:rsid w:val="002337CD"/>
    <w:rsid w:val="00233C6F"/>
    <w:rsid w:val="00233FAA"/>
    <w:rsid w:val="0023414D"/>
    <w:rsid w:val="00236567"/>
    <w:rsid w:val="00240684"/>
    <w:rsid w:val="002407D5"/>
    <w:rsid w:val="00241017"/>
    <w:rsid w:val="00242669"/>
    <w:rsid w:val="00242889"/>
    <w:rsid w:val="00243347"/>
    <w:rsid w:val="0024335D"/>
    <w:rsid w:val="00243425"/>
    <w:rsid w:val="0024383B"/>
    <w:rsid w:val="0024416C"/>
    <w:rsid w:val="002447D6"/>
    <w:rsid w:val="00244B0D"/>
    <w:rsid w:val="00245D5A"/>
    <w:rsid w:val="00251138"/>
    <w:rsid w:val="00252CC3"/>
    <w:rsid w:val="00253F20"/>
    <w:rsid w:val="00255280"/>
    <w:rsid w:val="00255CBC"/>
    <w:rsid w:val="00256530"/>
    <w:rsid w:val="00256D27"/>
    <w:rsid w:val="00257065"/>
    <w:rsid w:val="00257C8D"/>
    <w:rsid w:val="00261E01"/>
    <w:rsid w:val="002668B9"/>
    <w:rsid w:val="00266AC9"/>
    <w:rsid w:val="00267EC1"/>
    <w:rsid w:val="00271BB4"/>
    <w:rsid w:val="00271D5E"/>
    <w:rsid w:val="00272EA7"/>
    <w:rsid w:val="00275454"/>
    <w:rsid w:val="002771CA"/>
    <w:rsid w:val="00282D5B"/>
    <w:rsid w:val="0028604A"/>
    <w:rsid w:val="002876B5"/>
    <w:rsid w:val="002907C6"/>
    <w:rsid w:val="00290A76"/>
    <w:rsid w:val="002924C6"/>
    <w:rsid w:val="0029505C"/>
    <w:rsid w:val="00297750"/>
    <w:rsid w:val="002A09FE"/>
    <w:rsid w:val="002A0B21"/>
    <w:rsid w:val="002A20B0"/>
    <w:rsid w:val="002A38A5"/>
    <w:rsid w:val="002A4455"/>
    <w:rsid w:val="002A7790"/>
    <w:rsid w:val="002B00ED"/>
    <w:rsid w:val="002B0109"/>
    <w:rsid w:val="002B3D4F"/>
    <w:rsid w:val="002B437E"/>
    <w:rsid w:val="002B4966"/>
    <w:rsid w:val="002C0C40"/>
    <w:rsid w:val="002C3657"/>
    <w:rsid w:val="002C36A0"/>
    <w:rsid w:val="002C5E47"/>
    <w:rsid w:val="002C757F"/>
    <w:rsid w:val="002C7B3E"/>
    <w:rsid w:val="002D0334"/>
    <w:rsid w:val="002D0901"/>
    <w:rsid w:val="002D0A97"/>
    <w:rsid w:val="002D1AF4"/>
    <w:rsid w:val="002D235F"/>
    <w:rsid w:val="002D27D0"/>
    <w:rsid w:val="002D3757"/>
    <w:rsid w:val="002D4454"/>
    <w:rsid w:val="002D592E"/>
    <w:rsid w:val="002D66C0"/>
    <w:rsid w:val="002E0614"/>
    <w:rsid w:val="002E2B4C"/>
    <w:rsid w:val="002E392F"/>
    <w:rsid w:val="002E393B"/>
    <w:rsid w:val="002E3F2D"/>
    <w:rsid w:val="002E41F6"/>
    <w:rsid w:val="002E456D"/>
    <w:rsid w:val="002E5943"/>
    <w:rsid w:val="002E5FA9"/>
    <w:rsid w:val="002E6022"/>
    <w:rsid w:val="002E71D3"/>
    <w:rsid w:val="002E72D0"/>
    <w:rsid w:val="002F230E"/>
    <w:rsid w:val="002F29FE"/>
    <w:rsid w:val="002F32C9"/>
    <w:rsid w:val="002F4C58"/>
    <w:rsid w:val="002F504E"/>
    <w:rsid w:val="002F735A"/>
    <w:rsid w:val="00300EC8"/>
    <w:rsid w:val="00301444"/>
    <w:rsid w:val="00301CC4"/>
    <w:rsid w:val="00302C84"/>
    <w:rsid w:val="00302FFA"/>
    <w:rsid w:val="00304180"/>
    <w:rsid w:val="0030457C"/>
    <w:rsid w:val="003048BF"/>
    <w:rsid w:val="00304902"/>
    <w:rsid w:val="0030666D"/>
    <w:rsid w:val="00307755"/>
    <w:rsid w:val="00307AAE"/>
    <w:rsid w:val="003104D8"/>
    <w:rsid w:val="0031083A"/>
    <w:rsid w:val="0031151C"/>
    <w:rsid w:val="00312801"/>
    <w:rsid w:val="00312D2E"/>
    <w:rsid w:val="00313657"/>
    <w:rsid w:val="003136D4"/>
    <w:rsid w:val="003159C3"/>
    <w:rsid w:val="003208EA"/>
    <w:rsid w:val="00320F08"/>
    <w:rsid w:val="00322AE6"/>
    <w:rsid w:val="00324A96"/>
    <w:rsid w:val="00327C38"/>
    <w:rsid w:val="00327DB7"/>
    <w:rsid w:val="00331C82"/>
    <w:rsid w:val="00332BDF"/>
    <w:rsid w:val="003341F3"/>
    <w:rsid w:val="00334895"/>
    <w:rsid w:val="00340C68"/>
    <w:rsid w:val="00342456"/>
    <w:rsid w:val="00343148"/>
    <w:rsid w:val="00344BEA"/>
    <w:rsid w:val="003471C6"/>
    <w:rsid w:val="00347BBC"/>
    <w:rsid w:val="00347E05"/>
    <w:rsid w:val="00347F00"/>
    <w:rsid w:val="0035139F"/>
    <w:rsid w:val="00352D98"/>
    <w:rsid w:val="00353740"/>
    <w:rsid w:val="003541B3"/>
    <w:rsid w:val="003541EB"/>
    <w:rsid w:val="003541F8"/>
    <w:rsid w:val="003548B4"/>
    <w:rsid w:val="003561B4"/>
    <w:rsid w:val="003566DA"/>
    <w:rsid w:val="0035715C"/>
    <w:rsid w:val="00357987"/>
    <w:rsid w:val="0036076A"/>
    <w:rsid w:val="00363A99"/>
    <w:rsid w:val="0036400C"/>
    <w:rsid w:val="003642F5"/>
    <w:rsid w:val="00364620"/>
    <w:rsid w:val="00371129"/>
    <w:rsid w:val="00371A9B"/>
    <w:rsid w:val="003729F4"/>
    <w:rsid w:val="00372ED2"/>
    <w:rsid w:val="003741CD"/>
    <w:rsid w:val="00375E28"/>
    <w:rsid w:val="00380108"/>
    <w:rsid w:val="00380F5C"/>
    <w:rsid w:val="00382529"/>
    <w:rsid w:val="00382CE0"/>
    <w:rsid w:val="00382F45"/>
    <w:rsid w:val="0038336B"/>
    <w:rsid w:val="00383D6D"/>
    <w:rsid w:val="00384056"/>
    <w:rsid w:val="003852F7"/>
    <w:rsid w:val="00386DCD"/>
    <w:rsid w:val="00387D3A"/>
    <w:rsid w:val="0039183D"/>
    <w:rsid w:val="00392B19"/>
    <w:rsid w:val="00394B29"/>
    <w:rsid w:val="003961E7"/>
    <w:rsid w:val="0039701E"/>
    <w:rsid w:val="00397847"/>
    <w:rsid w:val="00397ED1"/>
    <w:rsid w:val="003A0F89"/>
    <w:rsid w:val="003A166F"/>
    <w:rsid w:val="003A1A5F"/>
    <w:rsid w:val="003A24E3"/>
    <w:rsid w:val="003A462A"/>
    <w:rsid w:val="003A5911"/>
    <w:rsid w:val="003A5AFE"/>
    <w:rsid w:val="003A5B74"/>
    <w:rsid w:val="003B0A2E"/>
    <w:rsid w:val="003B0E6B"/>
    <w:rsid w:val="003B2249"/>
    <w:rsid w:val="003B34BD"/>
    <w:rsid w:val="003B5B08"/>
    <w:rsid w:val="003B6BD7"/>
    <w:rsid w:val="003B6E5E"/>
    <w:rsid w:val="003C0529"/>
    <w:rsid w:val="003C1C46"/>
    <w:rsid w:val="003C224F"/>
    <w:rsid w:val="003C4D47"/>
    <w:rsid w:val="003C5492"/>
    <w:rsid w:val="003D0357"/>
    <w:rsid w:val="003D07A5"/>
    <w:rsid w:val="003D0B6D"/>
    <w:rsid w:val="003D1813"/>
    <w:rsid w:val="003D45C5"/>
    <w:rsid w:val="003D55C1"/>
    <w:rsid w:val="003D5746"/>
    <w:rsid w:val="003D5DDF"/>
    <w:rsid w:val="003D61E4"/>
    <w:rsid w:val="003D7ED9"/>
    <w:rsid w:val="003E025A"/>
    <w:rsid w:val="003E0424"/>
    <w:rsid w:val="003E1D2C"/>
    <w:rsid w:val="003E226B"/>
    <w:rsid w:val="003E2299"/>
    <w:rsid w:val="003E59A7"/>
    <w:rsid w:val="003F1D99"/>
    <w:rsid w:val="003F2384"/>
    <w:rsid w:val="003F388E"/>
    <w:rsid w:val="003F48C3"/>
    <w:rsid w:val="003F4D0E"/>
    <w:rsid w:val="003F64F9"/>
    <w:rsid w:val="003F6806"/>
    <w:rsid w:val="003F77FF"/>
    <w:rsid w:val="00400AA0"/>
    <w:rsid w:val="0040103D"/>
    <w:rsid w:val="00402CA7"/>
    <w:rsid w:val="004031EE"/>
    <w:rsid w:val="00410B25"/>
    <w:rsid w:val="0041213B"/>
    <w:rsid w:val="00413E98"/>
    <w:rsid w:val="00415F9B"/>
    <w:rsid w:val="00416D16"/>
    <w:rsid w:val="004170F7"/>
    <w:rsid w:val="00417D2C"/>
    <w:rsid w:val="00421035"/>
    <w:rsid w:val="0042201F"/>
    <w:rsid w:val="0042399D"/>
    <w:rsid w:val="0042495A"/>
    <w:rsid w:val="00426A33"/>
    <w:rsid w:val="004311F1"/>
    <w:rsid w:val="00431E24"/>
    <w:rsid w:val="0043319B"/>
    <w:rsid w:val="004341ED"/>
    <w:rsid w:val="0043436D"/>
    <w:rsid w:val="00434C94"/>
    <w:rsid w:val="00434FA1"/>
    <w:rsid w:val="00435165"/>
    <w:rsid w:val="0043534C"/>
    <w:rsid w:val="004354E5"/>
    <w:rsid w:val="004357FF"/>
    <w:rsid w:val="00435B0A"/>
    <w:rsid w:val="00436DF0"/>
    <w:rsid w:val="00441705"/>
    <w:rsid w:val="00442203"/>
    <w:rsid w:val="00444FFD"/>
    <w:rsid w:val="004508AC"/>
    <w:rsid w:val="004512AB"/>
    <w:rsid w:val="0045151F"/>
    <w:rsid w:val="00453ABB"/>
    <w:rsid w:val="00454346"/>
    <w:rsid w:val="004576FA"/>
    <w:rsid w:val="004609C2"/>
    <w:rsid w:val="004616FF"/>
    <w:rsid w:val="00462552"/>
    <w:rsid w:val="0046283B"/>
    <w:rsid w:val="0046312A"/>
    <w:rsid w:val="00464B61"/>
    <w:rsid w:val="00465DCC"/>
    <w:rsid w:val="004708F0"/>
    <w:rsid w:val="00473CAC"/>
    <w:rsid w:val="00476FBC"/>
    <w:rsid w:val="00477C49"/>
    <w:rsid w:val="00482FBF"/>
    <w:rsid w:val="004831FE"/>
    <w:rsid w:val="00483A9F"/>
    <w:rsid w:val="00485C90"/>
    <w:rsid w:val="0048695A"/>
    <w:rsid w:val="00486DC1"/>
    <w:rsid w:val="004920DA"/>
    <w:rsid w:val="00493F91"/>
    <w:rsid w:val="00495BE6"/>
    <w:rsid w:val="00495E97"/>
    <w:rsid w:val="00497AC9"/>
    <w:rsid w:val="004A15AC"/>
    <w:rsid w:val="004A1C7B"/>
    <w:rsid w:val="004A4099"/>
    <w:rsid w:val="004A4349"/>
    <w:rsid w:val="004A56AD"/>
    <w:rsid w:val="004A5EF7"/>
    <w:rsid w:val="004A7C51"/>
    <w:rsid w:val="004B1710"/>
    <w:rsid w:val="004B3807"/>
    <w:rsid w:val="004C02CB"/>
    <w:rsid w:val="004C1346"/>
    <w:rsid w:val="004C21AF"/>
    <w:rsid w:val="004C5BCC"/>
    <w:rsid w:val="004C645A"/>
    <w:rsid w:val="004C746C"/>
    <w:rsid w:val="004D02DB"/>
    <w:rsid w:val="004D16FE"/>
    <w:rsid w:val="004D1775"/>
    <w:rsid w:val="004D208F"/>
    <w:rsid w:val="004D396D"/>
    <w:rsid w:val="004D427C"/>
    <w:rsid w:val="004D52FC"/>
    <w:rsid w:val="004D7222"/>
    <w:rsid w:val="004E0209"/>
    <w:rsid w:val="004E0237"/>
    <w:rsid w:val="004E0928"/>
    <w:rsid w:val="004E09F7"/>
    <w:rsid w:val="004E1E64"/>
    <w:rsid w:val="004E1E94"/>
    <w:rsid w:val="004E2ADE"/>
    <w:rsid w:val="004E328D"/>
    <w:rsid w:val="004E5895"/>
    <w:rsid w:val="004E6669"/>
    <w:rsid w:val="004F0419"/>
    <w:rsid w:val="004F2C96"/>
    <w:rsid w:val="004F301E"/>
    <w:rsid w:val="004F3D36"/>
    <w:rsid w:val="004F41B5"/>
    <w:rsid w:val="004F58AA"/>
    <w:rsid w:val="0050075A"/>
    <w:rsid w:val="0050450F"/>
    <w:rsid w:val="00504694"/>
    <w:rsid w:val="00506E8A"/>
    <w:rsid w:val="00507672"/>
    <w:rsid w:val="00507BD2"/>
    <w:rsid w:val="005111E8"/>
    <w:rsid w:val="005114B8"/>
    <w:rsid w:val="00512D67"/>
    <w:rsid w:val="0051318E"/>
    <w:rsid w:val="005137CF"/>
    <w:rsid w:val="00514BBE"/>
    <w:rsid w:val="00515302"/>
    <w:rsid w:val="00521C34"/>
    <w:rsid w:val="0052319A"/>
    <w:rsid w:val="00523DC1"/>
    <w:rsid w:val="005250E0"/>
    <w:rsid w:val="00525435"/>
    <w:rsid w:val="00525593"/>
    <w:rsid w:val="00525C15"/>
    <w:rsid w:val="005311F7"/>
    <w:rsid w:val="0053158B"/>
    <w:rsid w:val="0053498A"/>
    <w:rsid w:val="00534F00"/>
    <w:rsid w:val="0053577C"/>
    <w:rsid w:val="00535812"/>
    <w:rsid w:val="005366AB"/>
    <w:rsid w:val="00536C46"/>
    <w:rsid w:val="00537A99"/>
    <w:rsid w:val="00537C4B"/>
    <w:rsid w:val="00537EA7"/>
    <w:rsid w:val="00542BA7"/>
    <w:rsid w:val="00542FAE"/>
    <w:rsid w:val="005447F8"/>
    <w:rsid w:val="0054656F"/>
    <w:rsid w:val="00546944"/>
    <w:rsid w:val="00550783"/>
    <w:rsid w:val="00552F32"/>
    <w:rsid w:val="00553478"/>
    <w:rsid w:val="005544DF"/>
    <w:rsid w:val="0055506E"/>
    <w:rsid w:val="005553CD"/>
    <w:rsid w:val="00555E18"/>
    <w:rsid w:val="00556F8C"/>
    <w:rsid w:val="00557753"/>
    <w:rsid w:val="0055784D"/>
    <w:rsid w:val="005607C8"/>
    <w:rsid w:val="0056082C"/>
    <w:rsid w:val="00562EEF"/>
    <w:rsid w:val="0056350D"/>
    <w:rsid w:val="00563C72"/>
    <w:rsid w:val="00564028"/>
    <w:rsid w:val="00564849"/>
    <w:rsid w:val="0056643B"/>
    <w:rsid w:val="005673CF"/>
    <w:rsid w:val="00567E11"/>
    <w:rsid w:val="00570DB1"/>
    <w:rsid w:val="0057152D"/>
    <w:rsid w:val="00571DE6"/>
    <w:rsid w:val="00571EAF"/>
    <w:rsid w:val="00573767"/>
    <w:rsid w:val="00573D46"/>
    <w:rsid w:val="0057651F"/>
    <w:rsid w:val="00576759"/>
    <w:rsid w:val="00576917"/>
    <w:rsid w:val="00577B88"/>
    <w:rsid w:val="00581D86"/>
    <w:rsid w:val="0058236D"/>
    <w:rsid w:val="00582B2E"/>
    <w:rsid w:val="00584AB1"/>
    <w:rsid w:val="00586724"/>
    <w:rsid w:val="00590AD4"/>
    <w:rsid w:val="00591143"/>
    <w:rsid w:val="0059147E"/>
    <w:rsid w:val="00592D66"/>
    <w:rsid w:val="005947A9"/>
    <w:rsid w:val="0059521E"/>
    <w:rsid w:val="00597DB6"/>
    <w:rsid w:val="005A0B1D"/>
    <w:rsid w:val="005A34CC"/>
    <w:rsid w:val="005A372F"/>
    <w:rsid w:val="005A3A42"/>
    <w:rsid w:val="005A4D43"/>
    <w:rsid w:val="005A50E3"/>
    <w:rsid w:val="005A5188"/>
    <w:rsid w:val="005A7E1E"/>
    <w:rsid w:val="005B2B6E"/>
    <w:rsid w:val="005B528F"/>
    <w:rsid w:val="005B57A1"/>
    <w:rsid w:val="005B5896"/>
    <w:rsid w:val="005B715C"/>
    <w:rsid w:val="005C008F"/>
    <w:rsid w:val="005C0657"/>
    <w:rsid w:val="005C094E"/>
    <w:rsid w:val="005C14B5"/>
    <w:rsid w:val="005C317F"/>
    <w:rsid w:val="005C3C50"/>
    <w:rsid w:val="005C5F17"/>
    <w:rsid w:val="005C6040"/>
    <w:rsid w:val="005C68DA"/>
    <w:rsid w:val="005C6CF7"/>
    <w:rsid w:val="005D0A48"/>
    <w:rsid w:val="005D0C7F"/>
    <w:rsid w:val="005D4C11"/>
    <w:rsid w:val="005D6DB8"/>
    <w:rsid w:val="005D7851"/>
    <w:rsid w:val="005E187F"/>
    <w:rsid w:val="005E3009"/>
    <w:rsid w:val="005E3274"/>
    <w:rsid w:val="005E3403"/>
    <w:rsid w:val="005E482C"/>
    <w:rsid w:val="005E51B8"/>
    <w:rsid w:val="005E5A32"/>
    <w:rsid w:val="005E699E"/>
    <w:rsid w:val="005F0147"/>
    <w:rsid w:val="005F11D5"/>
    <w:rsid w:val="005F1FC1"/>
    <w:rsid w:val="005F26CD"/>
    <w:rsid w:val="005F2F16"/>
    <w:rsid w:val="005F4766"/>
    <w:rsid w:val="005F4783"/>
    <w:rsid w:val="005F4908"/>
    <w:rsid w:val="005F5D0C"/>
    <w:rsid w:val="00601D66"/>
    <w:rsid w:val="006024DB"/>
    <w:rsid w:val="00602C0F"/>
    <w:rsid w:val="00605367"/>
    <w:rsid w:val="00606492"/>
    <w:rsid w:val="00606974"/>
    <w:rsid w:val="00606BA6"/>
    <w:rsid w:val="0060733A"/>
    <w:rsid w:val="0061262E"/>
    <w:rsid w:val="00613B4D"/>
    <w:rsid w:val="00614B09"/>
    <w:rsid w:val="00615B6E"/>
    <w:rsid w:val="00615C35"/>
    <w:rsid w:val="00616409"/>
    <w:rsid w:val="00620F28"/>
    <w:rsid w:val="00621751"/>
    <w:rsid w:val="00622D66"/>
    <w:rsid w:val="00626F66"/>
    <w:rsid w:val="006272EA"/>
    <w:rsid w:val="006300D0"/>
    <w:rsid w:val="00633C3C"/>
    <w:rsid w:val="0063421C"/>
    <w:rsid w:val="00634535"/>
    <w:rsid w:val="00635604"/>
    <w:rsid w:val="00636FA2"/>
    <w:rsid w:val="0063722D"/>
    <w:rsid w:val="00640264"/>
    <w:rsid w:val="00641C65"/>
    <w:rsid w:val="00641DF1"/>
    <w:rsid w:val="006422D0"/>
    <w:rsid w:val="0064290C"/>
    <w:rsid w:val="00644B0A"/>
    <w:rsid w:val="0064546F"/>
    <w:rsid w:val="00646E38"/>
    <w:rsid w:val="00646F44"/>
    <w:rsid w:val="0065019A"/>
    <w:rsid w:val="00652696"/>
    <w:rsid w:val="00652B04"/>
    <w:rsid w:val="006543EA"/>
    <w:rsid w:val="006560E7"/>
    <w:rsid w:val="00657AD6"/>
    <w:rsid w:val="00657D90"/>
    <w:rsid w:val="006602BA"/>
    <w:rsid w:val="00660DD0"/>
    <w:rsid w:val="0066164B"/>
    <w:rsid w:val="00663153"/>
    <w:rsid w:val="0066319E"/>
    <w:rsid w:val="00664AA7"/>
    <w:rsid w:val="0066617B"/>
    <w:rsid w:val="0066702B"/>
    <w:rsid w:val="00667331"/>
    <w:rsid w:val="00667390"/>
    <w:rsid w:val="00671E4F"/>
    <w:rsid w:val="0067360F"/>
    <w:rsid w:val="0067437D"/>
    <w:rsid w:val="00674509"/>
    <w:rsid w:val="006805DA"/>
    <w:rsid w:val="00681B57"/>
    <w:rsid w:val="0068297C"/>
    <w:rsid w:val="00682BBE"/>
    <w:rsid w:val="0068305D"/>
    <w:rsid w:val="00683CE3"/>
    <w:rsid w:val="006841B5"/>
    <w:rsid w:val="006855E8"/>
    <w:rsid w:val="00685972"/>
    <w:rsid w:val="0068603B"/>
    <w:rsid w:val="0068733B"/>
    <w:rsid w:val="006877DA"/>
    <w:rsid w:val="00687EE4"/>
    <w:rsid w:val="006906EE"/>
    <w:rsid w:val="0069215A"/>
    <w:rsid w:val="006946F1"/>
    <w:rsid w:val="0069520C"/>
    <w:rsid w:val="00696880"/>
    <w:rsid w:val="006970E2"/>
    <w:rsid w:val="0069747F"/>
    <w:rsid w:val="00697A9C"/>
    <w:rsid w:val="00697FF5"/>
    <w:rsid w:val="006A0020"/>
    <w:rsid w:val="006A00DC"/>
    <w:rsid w:val="006A3D88"/>
    <w:rsid w:val="006A42DF"/>
    <w:rsid w:val="006A69D0"/>
    <w:rsid w:val="006A6FC0"/>
    <w:rsid w:val="006A75A8"/>
    <w:rsid w:val="006B2897"/>
    <w:rsid w:val="006B33B6"/>
    <w:rsid w:val="006B35B9"/>
    <w:rsid w:val="006B3789"/>
    <w:rsid w:val="006B6484"/>
    <w:rsid w:val="006C1591"/>
    <w:rsid w:val="006C2883"/>
    <w:rsid w:val="006C2AC0"/>
    <w:rsid w:val="006C4DC8"/>
    <w:rsid w:val="006C6126"/>
    <w:rsid w:val="006C647E"/>
    <w:rsid w:val="006C6ABB"/>
    <w:rsid w:val="006C7983"/>
    <w:rsid w:val="006D246D"/>
    <w:rsid w:val="006D6B8F"/>
    <w:rsid w:val="006D6C13"/>
    <w:rsid w:val="006D7470"/>
    <w:rsid w:val="006D7D04"/>
    <w:rsid w:val="006E079E"/>
    <w:rsid w:val="006E12FB"/>
    <w:rsid w:val="006E4650"/>
    <w:rsid w:val="006E4C71"/>
    <w:rsid w:val="006E52A3"/>
    <w:rsid w:val="006E5CE6"/>
    <w:rsid w:val="006F30AD"/>
    <w:rsid w:val="006F4F13"/>
    <w:rsid w:val="006F537C"/>
    <w:rsid w:val="006F6EDE"/>
    <w:rsid w:val="006F7682"/>
    <w:rsid w:val="00700E58"/>
    <w:rsid w:val="00701E79"/>
    <w:rsid w:val="00702E6A"/>
    <w:rsid w:val="00702F96"/>
    <w:rsid w:val="00704512"/>
    <w:rsid w:val="00707868"/>
    <w:rsid w:val="007109D4"/>
    <w:rsid w:val="00710ADC"/>
    <w:rsid w:val="00711D90"/>
    <w:rsid w:val="007123A8"/>
    <w:rsid w:val="007123AC"/>
    <w:rsid w:val="00714512"/>
    <w:rsid w:val="00714C78"/>
    <w:rsid w:val="00714EF9"/>
    <w:rsid w:val="00715D91"/>
    <w:rsid w:val="007166E3"/>
    <w:rsid w:val="007171D9"/>
    <w:rsid w:val="00721585"/>
    <w:rsid w:val="00721BCE"/>
    <w:rsid w:val="00721F48"/>
    <w:rsid w:val="00721FBE"/>
    <w:rsid w:val="00723526"/>
    <w:rsid w:val="00724CD5"/>
    <w:rsid w:val="0072667A"/>
    <w:rsid w:val="00726BE9"/>
    <w:rsid w:val="007306E8"/>
    <w:rsid w:val="00730F53"/>
    <w:rsid w:val="00731058"/>
    <w:rsid w:val="007311F1"/>
    <w:rsid w:val="00731B78"/>
    <w:rsid w:val="00732E27"/>
    <w:rsid w:val="00733C60"/>
    <w:rsid w:val="00734830"/>
    <w:rsid w:val="007405DA"/>
    <w:rsid w:val="007407CA"/>
    <w:rsid w:val="00742AC2"/>
    <w:rsid w:val="00745984"/>
    <w:rsid w:val="007461C7"/>
    <w:rsid w:val="00746C56"/>
    <w:rsid w:val="00746CA5"/>
    <w:rsid w:val="00747E9C"/>
    <w:rsid w:val="00750034"/>
    <w:rsid w:val="00752965"/>
    <w:rsid w:val="00752B0B"/>
    <w:rsid w:val="00752B22"/>
    <w:rsid w:val="00752B76"/>
    <w:rsid w:val="007538E6"/>
    <w:rsid w:val="00754ABD"/>
    <w:rsid w:val="0075535B"/>
    <w:rsid w:val="00755921"/>
    <w:rsid w:val="00755FFE"/>
    <w:rsid w:val="007565DD"/>
    <w:rsid w:val="007578A9"/>
    <w:rsid w:val="00760803"/>
    <w:rsid w:val="00760B43"/>
    <w:rsid w:val="00762A1E"/>
    <w:rsid w:val="0076437C"/>
    <w:rsid w:val="007729E0"/>
    <w:rsid w:val="00772C80"/>
    <w:rsid w:val="00772F2E"/>
    <w:rsid w:val="00773686"/>
    <w:rsid w:val="007741C9"/>
    <w:rsid w:val="0077446E"/>
    <w:rsid w:val="00775957"/>
    <w:rsid w:val="00775F1C"/>
    <w:rsid w:val="00776647"/>
    <w:rsid w:val="00776E8E"/>
    <w:rsid w:val="007804D1"/>
    <w:rsid w:val="00781827"/>
    <w:rsid w:val="007837E9"/>
    <w:rsid w:val="00784D04"/>
    <w:rsid w:val="00786971"/>
    <w:rsid w:val="00787207"/>
    <w:rsid w:val="00787D7A"/>
    <w:rsid w:val="00791CA6"/>
    <w:rsid w:val="00793035"/>
    <w:rsid w:val="0079330E"/>
    <w:rsid w:val="00793BEB"/>
    <w:rsid w:val="00794AAF"/>
    <w:rsid w:val="00794FAD"/>
    <w:rsid w:val="007950D0"/>
    <w:rsid w:val="00795932"/>
    <w:rsid w:val="007A152A"/>
    <w:rsid w:val="007A321C"/>
    <w:rsid w:val="007A363D"/>
    <w:rsid w:val="007A419C"/>
    <w:rsid w:val="007A4AB2"/>
    <w:rsid w:val="007B07E8"/>
    <w:rsid w:val="007B0E44"/>
    <w:rsid w:val="007B2344"/>
    <w:rsid w:val="007B3F5F"/>
    <w:rsid w:val="007B66E3"/>
    <w:rsid w:val="007C6388"/>
    <w:rsid w:val="007D010F"/>
    <w:rsid w:val="007D1274"/>
    <w:rsid w:val="007D1D47"/>
    <w:rsid w:val="007D1D84"/>
    <w:rsid w:val="007D2B52"/>
    <w:rsid w:val="007D31D6"/>
    <w:rsid w:val="007D36D1"/>
    <w:rsid w:val="007D458B"/>
    <w:rsid w:val="007D56BD"/>
    <w:rsid w:val="007D600D"/>
    <w:rsid w:val="007D73EC"/>
    <w:rsid w:val="007E07FB"/>
    <w:rsid w:val="007E0E87"/>
    <w:rsid w:val="007E279B"/>
    <w:rsid w:val="007E2E5E"/>
    <w:rsid w:val="007E69A1"/>
    <w:rsid w:val="007E776C"/>
    <w:rsid w:val="007F07A3"/>
    <w:rsid w:val="007F45BB"/>
    <w:rsid w:val="007F5E11"/>
    <w:rsid w:val="00800D9A"/>
    <w:rsid w:val="008010D7"/>
    <w:rsid w:val="008011C1"/>
    <w:rsid w:val="00804A0D"/>
    <w:rsid w:val="0080683D"/>
    <w:rsid w:val="008068F0"/>
    <w:rsid w:val="008101EE"/>
    <w:rsid w:val="00811652"/>
    <w:rsid w:val="008116E8"/>
    <w:rsid w:val="008142C6"/>
    <w:rsid w:val="008155F8"/>
    <w:rsid w:val="00815D19"/>
    <w:rsid w:val="00816953"/>
    <w:rsid w:val="00816B48"/>
    <w:rsid w:val="00816EAF"/>
    <w:rsid w:val="00817019"/>
    <w:rsid w:val="0081779B"/>
    <w:rsid w:val="00820762"/>
    <w:rsid w:val="00820BC9"/>
    <w:rsid w:val="00823A3F"/>
    <w:rsid w:val="00824574"/>
    <w:rsid w:val="00825A5D"/>
    <w:rsid w:val="00825C85"/>
    <w:rsid w:val="00826C0B"/>
    <w:rsid w:val="00831B77"/>
    <w:rsid w:val="0083200D"/>
    <w:rsid w:val="00832146"/>
    <w:rsid w:val="0083279C"/>
    <w:rsid w:val="008331BC"/>
    <w:rsid w:val="00833733"/>
    <w:rsid w:val="00834585"/>
    <w:rsid w:val="008364C9"/>
    <w:rsid w:val="00836C3D"/>
    <w:rsid w:val="008412E5"/>
    <w:rsid w:val="00841C5F"/>
    <w:rsid w:val="008465A7"/>
    <w:rsid w:val="00847544"/>
    <w:rsid w:val="00847C13"/>
    <w:rsid w:val="00853E91"/>
    <w:rsid w:val="00853FF7"/>
    <w:rsid w:val="00854D4A"/>
    <w:rsid w:val="008556AD"/>
    <w:rsid w:val="00856638"/>
    <w:rsid w:val="0086179F"/>
    <w:rsid w:val="00861A0F"/>
    <w:rsid w:val="008630C0"/>
    <w:rsid w:val="0086313B"/>
    <w:rsid w:val="00863D7E"/>
    <w:rsid w:val="008654BF"/>
    <w:rsid w:val="008663F5"/>
    <w:rsid w:val="008677B7"/>
    <w:rsid w:val="00870066"/>
    <w:rsid w:val="008710D3"/>
    <w:rsid w:val="008718BA"/>
    <w:rsid w:val="0087224C"/>
    <w:rsid w:val="008727EC"/>
    <w:rsid w:val="00872E54"/>
    <w:rsid w:val="008738C5"/>
    <w:rsid w:val="008742EE"/>
    <w:rsid w:val="008744ED"/>
    <w:rsid w:val="00874844"/>
    <w:rsid w:val="00874CF4"/>
    <w:rsid w:val="00876530"/>
    <w:rsid w:val="008772ED"/>
    <w:rsid w:val="00880225"/>
    <w:rsid w:val="00880D0E"/>
    <w:rsid w:val="008831D9"/>
    <w:rsid w:val="008835BC"/>
    <w:rsid w:val="008839D0"/>
    <w:rsid w:val="00884C7D"/>
    <w:rsid w:val="00886635"/>
    <w:rsid w:val="0088684C"/>
    <w:rsid w:val="00886BB1"/>
    <w:rsid w:val="00887590"/>
    <w:rsid w:val="008935FE"/>
    <w:rsid w:val="008939CC"/>
    <w:rsid w:val="00894821"/>
    <w:rsid w:val="008958CC"/>
    <w:rsid w:val="008972D9"/>
    <w:rsid w:val="00897371"/>
    <w:rsid w:val="008A0F19"/>
    <w:rsid w:val="008A12C4"/>
    <w:rsid w:val="008A42E6"/>
    <w:rsid w:val="008A450F"/>
    <w:rsid w:val="008A4C62"/>
    <w:rsid w:val="008A5ABB"/>
    <w:rsid w:val="008A6779"/>
    <w:rsid w:val="008A6DB1"/>
    <w:rsid w:val="008A6FDC"/>
    <w:rsid w:val="008B06AE"/>
    <w:rsid w:val="008B13E7"/>
    <w:rsid w:val="008B200B"/>
    <w:rsid w:val="008B28B3"/>
    <w:rsid w:val="008B2B4F"/>
    <w:rsid w:val="008B3A2D"/>
    <w:rsid w:val="008B4B61"/>
    <w:rsid w:val="008B5BFD"/>
    <w:rsid w:val="008B73B5"/>
    <w:rsid w:val="008C27D7"/>
    <w:rsid w:val="008C2E51"/>
    <w:rsid w:val="008C47B0"/>
    <w:rsid w:val="008C4D09"/>
    <w:rsid w:val="008C6728"/>
    <w:rsid w:val="008C69CB"/>
    <w:rsid w:val="008D0192"/>
    <w:rsid w:val="008D067B"/>
    <w:rsid w:val="008D0C63"/>
    <w:rsid w:val="008D127F"/>
    <w:rsid w:val="008D1736"/>
    <w:rsid w:val="008D1FA9"/>
    <w:rsid w:val="008D3B6B"/>
    <w:rsid w:val="008D4DAA"/>
    <w:rsid w:val="008E0554"/>
    <w:rsid w:val="008E0EE1"/>
    <w:rsid w:val="008E2703"/>
    <w:rsid w:val="008E62AA"/>
    <w:rsid w:val="008E71F6"/>
    <w:rsid w:val="008E7C79"/>
    <w:rsid w:val="008E7D64"/>
    <w:rsid w:val="008F01E9"/>
    <w:rsid w:val="008F0467"/>
    <w:rsid w:val="008F153E"/>
    <w:rsid w:val="008F4E22"/>
    <w:rsid w:val="00903545"/>
    <w:rsid w:val="00904DA6"/>
    <w:rsid w:val="00906983"/>
    <w:rsid w:val="00907F36"/>
    <w:rsid w:val="00910351"/>
    <w:rsid w:val="00911F78"/>
    <w:rsid w:val="0091307B"/>
    <w:rsid w:val="009137C7"/>
    <w:rsid w:val="00913E55"/>
    <w:rsid w:val="00914E04"/>
    <w:rsid w:val="0091605B"/>
    <w:rsid w:val="0091629D"/>
    <w:rsid w:val="00916887"/>
    <w:rsid w:val="00917220"/>
    <w:rsid w:val="00920E5C"/>
    <w:rsid w:val="00922621"/>
    <w:rsid w:val="00922CA9"/>
    <w:rsid w:val="00923492"/>
    <w:rsid w:val="00924358"/>
    <w:rsid w:val="009258CE"/>
    <w:rsid w:val="00926540"/>
    <w:rsid w:val="00926C0C"/>
    <w:rsid w:val="00931649"/>
    <w:rsid w:val="00932958"/>
    <w:rsid w:val="00934076"/>
    <w:rsid w:val="00934E69"/>
    <w:rsid w:val="00935EDF"/>
    <w:rsid w:val="00936359"/>
    <w:rsid w:val="00936F1D"/>
    <w:rsid w:val="00937116"/>
    <w:rsid w:val="00937391"/>
    <w:rsid w:val="00937CB8"/>
    <w:rsid w:val="00942875"/>
    <w:rsid w:val="00942E34"/>
    <w:rsid w:val="00944C93"/>
    <w:rsid w:val="00945F54"/>
    <w:rsid w:val="00950FBB"/>
    <w:rsid w:val="009513D1"/>
    <w:rsid w:val="00952856"/>
    <w:rsid w:val="009539D0"/>
    <w:rsid w:val="009559FA"/>
    <w:rsid w:val="0095799D"/>
    <w:rsid w:val="009600A8"/>
    <w:rsid w:val="00960FA7"/>
    <w:rsid w:val="00961231"/>
    <w:rsid w:val="00962124"/>
    <w:rsid w:val="009626DA"/>
    <w:rsid w:val="00962E40"/>
    <w:rsid w:val="00966322"/>
    <w:rsid w:val="00966F5A"/>
    <w:rsid w:val="0096797E"/>
    <w:rsid w:val="0097027E"/>
    <w:rsid w:val="0097040F"/>
    <w:rsid w:val="0097152F"/>
    <w:rsid w:val="00972572"/>
    <w:rsid w:val="00973224"/>
    <w:rsid w:val="00974FAC"/>
    <w:rsid w:val="00975861"/>
    <w:rsid w:val="0097704F"/>
    <w:rsid w:val="009771A9"/>
    <w:rsid w:val="009842EA"/>
    <w:rsid w:val="00985C2A"/>
    <w:rsid w:val="00986315"/>
    <w:rsid w:val="00990BEE"/>
    <w:rsid w:val="00992CD8"/>
    <w:rsid w:val="00993B85"/>
    <w:rsid w:val="0099443F"/>
    <w:rsid w:val="00994C8F"/>
    <w:rsid w:val="0099694E"/>
    <w:rsid w:val="009A0CBC"/>
    <w:rsid w:val="009A2D26"/>
    <w:rsid w:val="009A5FC3"/>
    <w:rsid w:val="009B040D"/>
    <w:rsid w:val="009B16DF"/>
    <w:rsid w:val="009B1E6E"/>
    <w:rsid w:val="009B525C"/>
    <w:rsid w:val="009B5BE3"/>
    <w:rsid w:val="009B709F"/>
    <w:rsid w:val="009B716D"/>
    <w:rsid w:val="009C0245"/>
    <w:rsid w:val="009C154D"/>
    <w:rsid w:val="009C15B5"/>
    <w:rsid w:val="009C31BC"/>
    <w:rsid w:val="009C4DE0"/>
    <w:rsid w:val="009C65D4"/>
    <w:rsid w:val="009C690D"/>
    <w:rsid w:val="009C7D73"/>
    <w:rsid w:val="009D131E"/>
    <w:rsid w:val="009D1BC0"/>
    <w:rsid w:val="009D1F81"/>
    <w:rsid w:val="009D4713"/>
    <w:rsid w:val="009D4F38"/>
    <w:rsid w:val="009D5DA7"/>
    <w:rsid w:val="009D661E"/>
    <w:rsid w:val="009E3BD1"/>
    <w:rsid w:val="009E4CF2"/>
    <w:rsid w:val="009E60A2"/>
    <w:rsid w:val="009E616C"/>
    <w:rsid w:val="009E6FE0"/>
    <w:rsid w:val="009E778B"/>
    <w:rsid w:val="009E7A7C"/>
    <w:rsid w:val="009E7B7C"/>
    <w:rsid w:val="009F26CD"/>
    <w:rsid w:val="009F4B3D"/>
    <w:rsid w:val="009F56EB"/>
    <w:rsid w:val="009F69FE"/>
    <w:rsid w:val="009F70E2"/>
    <w:rsid w:val="009F79BA"/>
    <w:rsid w:val="00A001E0"/>
    <w:rsid w:val="00A0053E"/>
    <w:rsid w:val="00A012A2"/>
    <w:rsid w:val="00A02649"/>
    <w:rsid w:val="00A02B98"/>
    <w:rsid w:val="00A035F3"/>
    <w:rsid w:val="00A0529F"/>
    <w:rsid w:val="00A052C0"/>
    <w:rsid w:val="00A055DB"/>
    <w:rsid w:val="00A06414"/>
    <w:rsid w:val="00A06644"/>
    <w:rsid w:val="00A06EEE"/>
    <w:rsid w:val="00A07947"/>
    <w:rsid w:val="00A0796C"/>
    <w:rsid w:val="00A07EDA"/>
    <w:rsid w:val="00A1294A"/>
    <w:rsid w:val="00A1336F"/>
    <w:rsid w:val="00A174A0"/>
    <w:rsid w:val="00A21020"/>
    <w:rsid w:val="00A240BC"/>
    <w:rsid w:val="00A2420A"/>
    <w:rsid w:val="00A242FA"/>
    <w:rsid w:val="00A24BF4"/>
    <w:rsid w:val="00A25CE5"/>
    <w:rsid w:val="00A25DE9"/>
    <w:rsid w:val="00A266DF"/>
    <w:rsid w:val="00A315AD"/>
    <w:rsid w:val="00A326F0"/>
    <w:rsid w:val="00A3281C"/>
    <w:rsid w:val="00A330C7"/>
    <w:rsid w:val="00A332BF"/>
    <w:rsid w:val="00A357D1"/>
    <w:rsid w:val="00A36C41"/>
    <w:rsid w:val="00A36C9A"/>
    <w:rsid w:val="00A36EF5"/>
    <w:rsid w:val="00A414D4"/>
    <w:rsid w:val="00A416A7"/>
    <w:rsid w:val="00A41AE6"/>
    <w:rsid w:val="00A421C5"/>
    <w:rsid w:val="00A42362"/>
    <w:rsid w:val="00A424D5"/>
    <w:rsid w:val="00A46B34"/>
    <w:rsid w:val="00A47C0A"/>
    <w:rsid w:val="00A527AA"/>
    <w:rsid w:val="00A52EE6"/>
    <w:rsid w:val="00A53BB3"/>
    <w:rsid w:val="00A56D20"/>
    <w:rsid w:val="00A5774C"/>
    <w:rsid w:val="00A61744"/>
    <w:rsid w:val="00A61B70"/>
    <w:rsid w:val="00A62665"/>
    <w:rsid w:val="00A640BB"/>
    <w:rsid w:val="00A646DF"/>
    <w:rsid w:val="00A6632F"/>
    <w:rsid w:val="00A711C2"/>
    <w:rsid w:val="00A71439"/>
    <w:rsid w:val="00A73F4D"/>
    <w:rsid w:val="00A741CA"/>
    <w:rsid w:val="00A74337"/>
    <w:rsid w:val="00A74AA9"/>
    <w:rsid w:val="00A768D9"/>
    <w:rsid w:val="00A80F20"/>
    <w:rsid w:val="00A824B4"/>
    <w:rsid w:val="00A835FC"/>
    <w:rsid w:val="00A85313"/>
    <w:rsid w:val="00A865A4"/>
    <w:rsid w:val="00A87BA9"/>
    <w:rsid w:val="00A90FBF"/>
    <w:rsid w:val="00A9134A"/>
    <w:rsid w:val="00A91BDC"/>
    <w:rsid w:val="00A93576"/>
    <w:rsid w:val="00A944E6"/>
    <w:rsid w:val="00AA0223"/>
    <w:rsid w:val="00AA2497"/>
    <w:rsid w:val="00AA27DA"/>
    <w:rsid w:val="00AA3292"/>
    <w:rsid w:val="00AA348C"/>
    <w:rsid w:val="00AA3B94"/>
    <w:rsid w:val="00AA4D23"/>
    <w:rsid w:val="00AA511E"/>
    <w:rsid w:val="00AA5123"/>
    <w:rsid w:val="00AA75C3"/>
    <w:rsid w:val="00AA777F"/>
    <w:rsid w:val="00AA7BFF"/>
    <w:rsid w:val="00AB0D2B"/>
    <w:rsid w:val="00AB1098"/>
    <w:rsid w:val="00AB1478"/>
    <w:rsid w:val="00AB1DDA"/>
    <w:rsid w:val="00AB473D"/>
    <w:rsid w:val="00AB5653"/>
    <w:rsid w:val="00AB5902"/>
    <w:rsid w:val="00AB6A85"/>
    <w:rsid w:val="00AC0341"/>
    <w:rsid w:val="00AC10DE"/>
    <w:rsid w:val="00AC13CC"/>
    <w:rsid w:val="00AC157F"/>
    <w:rsid w:val="00AC179E"/>
    <w:rsid w:val="00AC193B"/>
    <w:rsid w:val="00AC1AD8"/>
    <w:rsid w:val="00AC263A"/>
    <w:rsid w:val="00AC404A"/>
    <w:rsid w:val="00AC4058"/>
    <w:rsid w:val="00AC41E5"/>
    <w:rsid w:val="00AC4D5C"/>
    <w:rsid w:val="00AC512F"/>
    <w:rsid w:val="00AC5A67"/>
    <w:rsid w:val="00AC79FA"/>
    <w:rsid w:val="00AD03FF"/>
    <w:rsid w:val="00AD23AD"/>
    <w:rsid w:val="00AD4343"/>
    <w:rsid w:val="00AD4773"/>
    <w:rsid w:val="00AD53B6"/>
    <w:rsid w:val="00AD7779"/>
    <w:rsid w:val="00AE035D"/>
    <w:rsid w:val="00AE0394"/>
    <w:rsid w:val="00AE1944"/>
    <w:rsid w:val="00AE2E70"/>
    <w:rsid w:val="00AE7DEE"/>
    <w:rsid w:val="00AF009D"/>
    <w:rsid w:val="00AF2E19"/>
    <w:rsid w:val="00AF4248"/>
    <w:rsid w:val="00AF4DAA"/>
    <w:rsid w:val="00AF659C"/>
    <w:rsid w:val="00B02979"/>
    <w:rsid w:val="00B0397A"/>
    <w:rsid w:val="00B05FDB"/>
    <w:rsid w:val="00B07115"/>
    <w:rsid w:val="00B07C02"/>
    <w:rsid w:val="00B1052C"/>
    <w:rsid w:val="00B10991"/>
    <w:rsid w:val="00B11C1F"/>
    <w:rsid w:val="00B13B5D"/>
    <w:rsid w:val="00B16787"/>
    <w:rsid w:val="00B175C3"/>
    <w:rsid w:val="00B1795B"/>
    <w:rsid w:val="00B17A79"/>
    <w:rsid w:val="00B2068C"/>
    <w:rsid w:val="00B219DB"/>
    <w:rsid w:val="00B22C07"/>
    <w:rsid w:val="00B2622E"/>
    <w:rsid w:val="00B2747C"/>
    <w:rsid w:val="00B30375"/>
    <w:rsid w:val="00B314CB"/>
    <w:rsid w:val="00B3453B"/>
    <w:rsid w:val="00B35C64"/>
    <w:rsid w:val="00B36B4C"/>
    <w:rsid w:val="00B40C8B"/>
    <w:rsid w:val="00B4128E"/>
    <w:rsid w:val="00B4208C"/>
    <w:rsid w:val="00B43384"/>
    <w:rsid w:val="00B44325"/>
    <w:rsid w:val="00B475E4"/>
    <w:rsid w:val="00B47B47"/>
    <w:rsid w:val="00B47FB2"/>
    <w:rsid w:val="00B50B1F"/>
    <w:rsid w:val="00B51884"/>
    <w:rsid w:val="00B5650E"/>
    <w:rsid w:val="00B57546"/>
    <w:rsid w:val="00B57721"/>
    <w:rsid w:val="00B619B4"/>
    <w:rsid w:val="00B61B53"/>
    <w:rsid w:val="00B61ED2"/>
    <w:rsid w:val="00B6446C"/>
    <w:rsid w:val="00B65910"/>
    <w:rsid w:val="00B67CF1"/>
    <w:rsid w:val="00B718FD"/>
    <w:rsid w:val="00B71B02"/>
    <w:rsid w:val="00B724D2"/>
    <w:rsid w:val="00B7411B"/>
    <w:rsid w:val="00B74531"/>
    <w:rsid w:val="00B75D58"/>
    <w:rsid w:val="00B76699"/>
    <w:rsid w:val="00B7682F"/>
    <w:rsid w:val="00B8209E"/>
    <w:rsid w:val="00B82BE8"/>
    <w:rsid w:val="00B849AB"/>
    <w:rsid w:val="00B85AB2"/>
    <w:rsid w:val="00B87704"/>
    <w:rsid w:val="00B87F27"/>
    <w:rsid w:val="00B91B49"/>
    <w:rsid w:val="00B91FDE"/>
    <w:rsid w:val="00B92738"/>
    <w:rsid w:val="00B92E14"/>
    <w:rsid w:val="00B93233"/>
    <w:rsid w:val="00B93504"/>
    <w:rsid w:val="00B940B6"/>
    <w:rsid w:val="00B95298"/>
    <w:rsid w:val="00B96AFE"/>
    <w:rsid w:val="00B974DA"/>
    <w:rsid w:val="00BA03D5"/>
    <w:rsid w:val="00BA089F"/>
    <w:rsid w:val="00BA1067"/>
    <w:rsid w:val="00BA23F3"/>
    <w:rsid w:val="00BA2C72"/>
    <w:rsid w:val="00BA3EEB"/>
    <w:rsid w:val="00BA4615"/>
    <w:rsid w:val="00BA4895"/>
    <w:rsid w:val="00BA4E98"/>
    <w:rsid w:val="00BA4EAC"/>
    <w:rsid w:val="00BA5665"/>
    <w:rsid w:val="00BA5858"/>
    <w:rsid w:val="00BA5E89"/>
    <w:rsid w:val="00BB5980"/>
    <w:rsid w:val="00BB5E00"/>
    <w:rsid w:val="00BB636F"/>
    <w:rsid w:val="00BC00BF"/>
    <w:rsid w:val="00BC0FEA"/>
    <w:rsid w:val="00BC16BB"/>
    <w:rsid w:val="00BC2B80"/>
    <w:rsid w:val="00BC3B19"/>
    <w:rsid w:val="00BC4B04"/>
    <w:rsid w:val="00BC6A8E"/>
    <w:rsid w:val="00BC6B6E"/>
    <w:rsid w:val="00BC7D76"/>
    <w:rsid w:val="00BC7E3E"/>
    <w:rsid w:val="00BD0CEC"/>
    <w:rsid w:val="00BD2241"/>
    <w:rsid w:val="00BD47C9"/>
    <w:rsid w:val="00BE341F"/>
    <w:rsid w:val="00BE34B0"/>
    <w:rsid w:val="00BE3922"/>
    <w:rsid w:val="00BE3924"/>
    <w:rsid w:val="00BE46DC"/>
    <w:rsid w:val="00BE4C88"/>
    <w:rsid w:val="00BE576B"/>
    <w:rsid w:val="00BE6597"/>
    <w:rsid w:val="00BF149B"/>
    <w:rsid w:val="00BF2C11"/>
    <w:rsid w:val="00BF330E"/>
    <w:rsid w:val="00BF3690"/>
    <w:rsid w:val="00BF70E5"/>
    <w:rsid w:val="00C000C6"/>
    <w:rsid w:val="00C001D6"/>
    <w:rsid w:val="00C01014"/>
    <w:rsid w:val="00C014F5"/>
    <w:rsid w:val="00C07D77"/>
    <w:rsid w:val="00C10AC9"/>
    <w:rsid w:val="00C10DB1"/>
    <w:rsid w:val="00C10E2E"/>
    <w:rsid w:val="00C1239F"/>
    <w:rsid w:val="00C137F7"/>
    <w:rsid w:val="00C13A6D"/>
    <w:rsid w:val="00C14974"/>
    <w:rsid w:val="00C156C8"/>
    <w:rsid w:val="00C164F2"/>
    <w:rsid w:val="00C171FE"/>
    <w:rsid w:val="00C17BB7"/>
    <w:rsid w:val="00C26DEC"/>
    <w:rsid w:val="00C30783"/>
    <w:rsid w:val="00C311E0"/>
    <w:rsid w:val="00C32FFE"/>
    <w:rsid w:val="00C33537"/>
    <w:rsid w:val="00C348C8"/>
    <w:rsid w:val="00C34DC1"/>
    <w:rsid w:val="00C3646E"/>
    <w:rsid w:val="00C36792"/>
    <w:rsid w:val="00C37B8B"/>
    <w:rsid w:val="00C402B3"/>
    <w:rsid w:val="00C40A0B"/>
    <w:rsid w:val="00C4170E"/>
    <w:rsid w:val="00C4193F"/>
    <w:rsid w:val="00C41D4F"/>
    <w:rsid w:val="00C4235B"/>
    <w:rsid w:val="00C423A8"/>
    <w:rsid w:val="00C431A6"/>
    <w:rsid w:val="00C43A7C"/>
    <w:rsid w:val="00C43E16"/>
    <w:rsid w:val="00C43F29"/>
    <w:rsid w:val="00C43F93"/>
    <w:rsid w:val="00C44D25"/>
    <w:rsid w:val="00C471D7"/>
    <w:rsid w:val="00C47D52"/>
    <w:rsid w:val="00C50086"/>
    <w:rsid w:val="00C516C7"/>
    <w:rsid w:val="00C52BB3"/>
    <w:rsid w:val="00C543AE"/>
    <w:rsid w:val="00C56020"/>
    <w:rsid w:val="00C57811"/>
    <w:rsid w:val="00C57FBA"/>
    <w:rsid w:val="00C6150C"/>
    <w:rsid w:val="00C678D2"/>
    <w:rsid w:val="00C70873"/>
    <w:rsid w:val="00C70AA5"/>
    <w:rsid w:val="00C72116"/>
    <w:rsid w:val="00C75122"/>
    <w:rsid w:val="00C80656"/>
    <w:rsid w:val="00C80704"/>
    <w:rsid w:val="00C81BD6"/>
    <w:rsid w:val="00C83635"/>
    <w:rsid w:val="00C84742"/>
    <w:rsid w:val="00C85452"/>
    <w:rsid w:val="00C865A6"/>
    <w:rsid w:val="00C86BA6"/>
    <w:rsid w:val="00C87AFD"/>
    <w:rsid w:val="00C907A3"/>
    <w:rsid w:val="00C91F78"/>
    <w:rsid w:val="00C91F83"/>
    <w:rsid w:val="00C92683"/>
    <w:rsid w:val="00C92D4F"/>
    <w:rsid w:val="00C93CDE"/>
    <w:rsid w:val="00C93E1E"/>
    <w:rsid w:val="00C94591"/>
    <w:rsid w:val="00C95A71"/>
    <w:rsid w:val="00C96F6A"/>
    <w:rsid w:val="00C975B8"/>
    <w:rsid w:val="00C97B95"/>
    <w:rsid w:val="00C97CB9"/>
    <w:rsid w:val="00CA0839"/>
    <w:rsid w:val="00CA0E02"/>
    <w:rsid w:val="00CA285D"/>
    <w:rsid w:val="00CA32DB"/>
    <w:rsid w:val="00CA358F"/>
    <w:rsid w:val="00CA42E8"/>
    <w:rsid w:val="00CA7C9D"/>
    <w:rsid w:val="00CB01FD"/>
    <w:rsid w:val="00CB3917"/>
    <w:rsid w:val="00CB43EF"/>
    <w:rsid w:val="00CB78E1"/>
    <w:rsid w:val="00CB7FE4"/>
    <w:rsid w:val="00CC0D32"/>
    <w:rsid w:val="00CC23CD"/>
    <w:rsid w:val="00CC2ADA"/>
    <w:rsid w:val="00CC391C"/>
    <w:rsid w:val="00CC3A5A"/>
    <w:rsid w:val="00CC70CD"/>
    <w:rsid w:val="00CD04A9"/>
    <w:rsid w:val="00CD05A9"/>
    <w:rsid w:val="00CD1964"/>
    <w:rsid w:val="00CD1CC2"/>
    <w:rsid w:val="00CD2089"/>
    <w:rsid w:val="00CD69CE"/>
    <w:rsid w:val="00CD78CB"/>
    <w:rsid w:val="00CD7FE7"/>
    <w:rsid w:val="00CE1945"/>
    <w:rsid w:val="00CE2772"/>
    <w:rsid w:val="00CE2AA6"/>
    <w:rsid w:val="00CE4F3A"/>
    <w:rsid w:val="00CE5664"/>
    <w:rsid w:val="00CE73A6"/>
    <w:rsid w:val="00CE7A4F"/>
    <w:rsid w:val="00CF07CB"/>
    <w:rsid w:val="00CF0D2E"/>
    <w:rsid w:val="00CF2633"/>
    <w:rsid w:val="00CF2B59"/>
    <w:rsid w:val="00CF32C4"/>
    <w:rsid w:val="00CF3866"/>
    <w:rsid w:val="00CF5708"/>
    <w:rsid w:val="00CF6072"/>
    <w:rsid w:val="00D00226"/>
    <w:rsid w:val="00D0116E"/>
    <w:rsid w:val="00D011E4"/>
    <w:rsid w:val="00D01355"/>
    <w:rsid w:val="00D01427"/>
    <w:rsid w:val="00D026F9"/>
    <w:rsid w:val="00D0327D"/>
    <w:rsid w:val="00D05113"/>
    <w:rsid w:val="00D05BD3"/>
    <w:rsid w:val="00D05FBF"/>
    <w:rsid w:val="00D10434"/>
    <w:rsid w:val="00D108FF"/>
    <w:rsid w:val="00D10F3A"/>
    <w:rsid w:val="00D114EE"/>
    <w:rsid w:val="00D12EDE"/>
    <w:rsid w:val="00D13796"/>
    <w:rsid w:val="00D13F2C"/>
    <w:rsid w:val="00D15FBE"/>
    <w:rsid w:val="00D17CF8"/>
    <w:rsid w:val="00D2025C"/>
    <w:rsid w:val="00D20A9C"/>
    <w:rsid w:val="00D22D7C"/>
    <w:rsid w:val="00D23316"/>
    <w:rsid w:val="00D235CE"/>
    <w:rsid w:val="00D2446F"/>
    <w:rsid w:val="00D244E5"/>
    <w:rsid w:val="00D254E5"/>
    <w:rsid w:val="00D26CA0"/>
    <w:rsid w:val="00D27BFB"/>
    <w:rsid w:val="00D27EB8"/>
    <w:rsid w:val="00D316FE"/>
    <w:rsid w:val="00D3263D"/>
    <w:rsid w:val="00D33513"/>
    <w:rsid w:val="00D33737"/>
    <w:rsid w:val="00D35809"/>
    <w:rsid w:val="00D36410"/>
    <w:rsid w:val="00D3775C"/>
    <w:rsid w:val="00D40B7A"/>
    <w:rsid w:val="00D412E8"/>
    <w:rsid w:val="00D41384"/>
    <w:rsid w:val="00D435FB"/>
    <w:rsid w:val="00D44B94"/>
    <w:rsid w:val="00D44E21"/>
    <w:rsid w:val="00D46629"/>
    <w:rsid w:val="00D4720F"/>
    <w:rsid w:val="00D5023B"/>
    <w:rsid w:val="00D51C8D"/>
    <w:rsid w:val="00D51DC9"/>
    <w:rsid w:val="00D542CD"/>
    <w:rsid w:val="00D54901"/>
    <w:rsid w:val="00D5569E"/>
    <w:rsid w:val="00D57119"/>
    <w:rsid w:val="00D57523"/>
    <w:rsid w:val="00D63111"/>
    <w:rsid w:val="00D643A2"/>
    <w:rsid w:val="00D64CF3"/>
    <w:rsid w:val="00D65011"/>
    <w:rsid w:val="00D652DB"/>
    <w:rsid w:val="00D66CB9"/>
    <w:rsid w:val="00D66ED6"/>
    <w:rsid w:val="00D71B54"/>
    <w:rsid w:val="00D745BC"/>
    <w:rsid w:val="00D75912"/>
    <w:rsid w:val="00D7604C"/>
    <w:rsid w:val="00D76F1B"/>
    <w:rsid w:val="00D77A50"/>
    <w:rsid w:val="00D80B0B"/>
    <w:rsid w:val="00D81FD5"/>
    <w:rsid w:val="00D82006"/>
    <w:rsid w:val="00D85F52"/>
    <w:rsid w:val="00D86EC8"/>
    <w:rsid w:val="00D9142E"/>
    <w:rsid w:val="00D91AB6"/>
    <w:rsid w:val="00D9223B"/>
    <w:rsid w:val="00D92902"/>
    <w:rsid w:val="00D93D58"/>
    <w:rsid w:val="00D952A4"/>
    <w:rsid w:val="00D95583"/>
    <w:rsid w:val="00D95BC0"/>
    <w:rsid w:val="00D97347"/>
    <w:rsid w:val="00DA1047"/>
    <w:rsid w:val="00DA141E"/>
    <w:rsid w:val="00DA1A31"/>
    <w:rsid w:val="00DA1AC6"/>
    <w:rsid w:val="00DA208F"/>
    <w:rsid w:val="00DA2BB9"/>
    <w:rsid w:val="00DA344E"/>
    <w:rsid w:val="00DA3784"/>
    <w:rsid w:val="00DA4558"/>
    <w:rsid w:val="00DA47F9"/>
    <w:rsid w:val="00DA6221"/>
    <w:rsid w:val="00DA7373"/>
    <w:rsid w:val="00DB1294"/>
    <w:rsid w:val="00DB19EB"/>
    <w:rsid w:val="00DB3018"/>
    <w:rsid w:val="00DB3170"/>
    <w:rsid w:val="00DB598B"/>
    <w:rsid w:val="00DB5F1A"/>
    <w:rsid w:val="00DB7105"/>
    <w:rsid w:val="00DC30CB"/>
    <w:rsid w:val="00DC3B28"/>
    <w:rsid w:val="00DC6B22"/>
    <w:rsid w:val="00DC7AF9"/>
    <w:rsid w:val="00DD0420"/>
    <w:rsid w:val="00DD1E72"/>
    <w:rsid w:val="00DD4765"/>
    <w:rsid w:val="00DD5AAF"/>
    <w:rsid w:val="00DD5BC1"/>
    <w:rsid w:val="00DD6AE6"/>
    <w:rsid w:val="00DD6B39"/>
    <w:rsid w:val="00DD70C3"/>
    <w:rsid w:val="00DE05D4"/>
    <w:rsid w:val="00DE06F0"/>
    <w:rsid w:val="00DE074B"/>
    <w:rsid w:val="00DE0857"/>
    <w:rsid w:val="00DE0EFA"/>
    <w:rsid w:val="00DE15E3"/>
    <w:rsid w:val="00DE2F8C"/>
    <w:rsid w:val="00DE3801"/>
    <w:rsid w:val="00DE3CAD"/>
    <w:rsid w:val="00DE4535"/>
    <w:rsid w:val="00DE48B0"/>
    <w:rsid w:val="00DE62D8"/>
    <w:rsid w:val="00DE7479"/>
    <w:rsid w:val="00DF0592"/>
    <w:rsid w:val="00DF4606"/>
    <w:rsid w:val="00DF4AA1"/>
    <w:rsid w:val="00DF6CAB"/>
    <w:rsid w:val="00DF7B52"/>
    <w:rsid w:val="00E02739"/>
    <w:rsid w:val="00E06AD3"/>
    <w:rsid w:val="00E06E13"/>
    <w:rsid w:val="00E07348"/>
    <w:rsid w:val="00E07D05"/>
    <w:rsid w:val="00E07D7A"/>
    <w:rsid w:val="00E07E0C"/>
    <w:rsid w:val="00E12D10"/>
    <w:rsid w:val="00E13F2E"/>
    <w:rsid w:val="00E14FB6"/>
    <w:rsid w:val="00E20A91"/>
    <w:rsid w:val="00E21057"/>
    <w:rsid w:val="00E21348"/>
    <w:rsid w:val="00E225F7"/>
    <w:rsid w:val="00E22D1B"/>
    <w:rsid w:val="00E234A7"/>
    <w:rsid w:val="00E23A81"/>
    <w:rsid w:val="00E244E4"/>
    <w:rsid w:val="00E24DA9"/>
    <w:rsid w:val="00E2511A"/>
    <w:rsid w:val="00E259FB"/>
    <w:rsid w:val="00E25A75"/>
    <w:rsid w:val="00E3259C"/>
    <w:rsid w:val="00E330AD"/>
    <w:rsid w:val="00E33A85"/>
    <w:rsid w:val="00E35F20"/>
    <w:rsid w:val="00E411FD"/>
    <w:rsid w:val="00E41948"/>
    <w:rsid w:val="00E42AA6"/>
    <w:rsid w:val="00E4355C"/>
    <w:rsid w:val="00E441E0"/>
    <w:rsid w:val="00E44AEB"/>
    <w:rsid w:val="00E45505"/>
    <w:rsid w:val="00E46B9B"/>
    <w:rsid w:val="00E46D31"/>
    <w:rsid w:val="00E5027B"/>
    <w:rsid w:val="00E509C6"/>
    <w:rsid w:val="00E5190E"/>
    <w:rsid w:val="00E5197C"/>
    <w:rsid w:val="00E5270D"/>
    <w:rsid w:val="00E565B7"/>
    <w:rsid w:val="00E57D5E"/>
    <w:rsid w:val="00E60DAC"/>
    <w:rsid w:val="00E61906"/>
    <w:rsid w:val="00E61DC3"/>
    <w:rsid w:val="00E62BED"/>
    <w:rsid w:val="00E63076"/>
    <w:rsid w:val="00E64557"/>
    <w:rsid w:val="00E66186"/>
    <w:rsid w:val="00E66A19"/>
    <w:rsid w:val="00E700F3"/>
    <w:rsid w:val="00E70261"/>
    <w:rsid w:val="00E71107"/>
    <w:rsid w:val="00E7171D"/>
    <w:rsid w:val="00E71AEF"/>
    <w:rsid w:val="00E71F22"/>
    <w:rsid w:val="00E72020"/>
    <w:rsid w:val="00E749F9"/>
    <w:rsid w:val="00E81C1A"/>
    <w:rsid w:val="00E81F68"/>
    <w:rsid w:val="00E82C23"/>
    <w:rsid w:val="00E83B76"/>
    <w:rsid w:val="00E84452"/>
    <w:rsid w:val="00E84DCC"/>
    <w:rsid w:val="00E853BE"/>
    <w:rsid w:val="00E86032"/>
    <w:rsid w:val="00E86413"/>
    <w:rsid w:val="00E865CC"/>
    <w:rsid w:val="00E86E19"/>
    <w:rsid w:val="00E90712"/>
    <w:rsid w:val="00E936E0"/>
    <w:rsid w:val="00E97555"/>
    <w:rsid w:val="00EA00D6"/>
    <w:rsid w:val="00EA7126"/>
    <w:rsid w:val="00EB1C99"/>
    <w:rsid w:val="00EB261F"/>
    <w:rsid w:val="00EB4266"/>
    <w:rsid w:val="00EB4CE6"/>
    <w:rsid w:val="00EB788E"/>
    <w:rsid w:val="00EC0283"/>
    <w:rsid w:val="00EC3169"/>
    <w:rsid w:val="00EC447D"/>
    <w:rsid w:val="00EC4A0E"/>
    <w:rsid w:val="00EC4F8B"/>
    <w:rsid w:val="00EC5743"/>
    <w:rsid w:val="00EC6C2F"/>
    <w:rsid w:val="00EC71EE"/>
    <w:rsid w:val="00EC7BB9"/>
    <w:rsid w:val="00EC7F4A"/>
    <w:rsid w:val="00EC7F85"/>
    <w:rsid w:val="00ED0F3A"/>
    <w:rsid w:val="00ED1555"/>
    <w:rsid w:val="00ED19CA"/>
    <w:rsid w:val="00ED1B10"/>
    <w:rsid w:val="00ED22A4"/>
    <w:rsid w:val="00ED2C9A"/>
    <w:rsid w:val="00ED31A6"/>
    <w:rsid w:val="00ED3E78"/>
    <w:rsid w:val="00ED3FC1"/>
    <w:rsid w:val="00ED4097"/>
    <w:rsid w:val="00ED4E10"/>
    <w:rsid w:val="00ED5957"/>
    <w:rsid w:val="00ED684D"/>
    <w:rsid w:val="00ED7511"/>
    <w:rsid w:val="00ED77EF"/>
    <w:rsid w:val="00EE183A"/>
    <w:rsid w:val="00EE1F79"/>
    <w:rsid w:val="00EE3010"/>
    <w:rsid w:val="00EE391C"/>
    <w:rsid w:val="00EE4EEC"/>
    <w:rsid w:val="00EE623C"/>
    <w:rsid w:val="00EE7139"/>
    <w:rsid w:val="00EF2926"/>
    <w:rsid w:val="00EF48F9"/>
    <w:rsid w:val="00EF4F04"/>
    <w:rsid w:val="00EF5544"/>
    <w:rsid w:val="00F00744"/>
    <w:rsid w:val="00F010C2"/>
    <w:rsid w:val="00F04B91"/>
    <w:rsid w:val="00F0590B"/>
    <w:rsid w:val="00F0699C"/>
    <w:rsid w:val="00F1086B"/>
    <w:rsid w:val="00F10FCC"/>
    <w:rsid w:val="00F11AEC"/>
    <w:rsid w:val="00F12173"/>
    <w:rsid w:val="00F127A1"/>
    <w:rsid w:val="00F12D45"/>
    <w:rsid w:val="00F13603"/>
    <w:rsid w:val="00F13E8D"/>
    <w:rsid w:val="00F15409"/>
    <w:rsid w:val="00F16B07"/>
    <w:rsid w:val="00F16DCD"/>
    <w:rsid w:val="00F175B5"/>
    <w:rsid w:val="00F23C10"/>
    <w:rsid w:val="00F24DD4"/>
    <w:rsid w:val="00F24DEA"/>
    <w:rsid w:val="00F2629C"/>
    <w:rsid w:val="00F26A69"/>
    <w:rsid w:val="00F2736D"/>
    <w:rsid w:val="00F27491"/>
    <w:rsid w:val="00F27929"/>
    <w:rsid w:val="00F306C1"/>
    <w:rsid w:val="00F30F00"/>
    <w:rsid w:val="00F3289E"/>
    <w:rsid w:val="00F32BF9"/>
    <w:rsid w:val="00F33EED"/>
    <w:rsid w:val="00F33F12"/>
    <w:rsid w:val="00F35CFC"/>
    <w:rsid w:val="00F3681B"/>
    <w:rsid w:val="00F36E7C"/>
    <w:rsid w:val="00F378A9"/>
    <w:rsid w:val="00F40476"/>
    <w:rsid w:val="00F41758"/>
    <w:rsid w:val="00F42B57"/>
    <w:rsid w:val="00F42B58"/>
    <w:rsid w:val="00F45304"/>
    <w:rsid w:val="00F45637"/>
    <w:rsid w:val="00F457BF"/>
    <w:rsid w:val="00F45B34"/>
    <w:rsid w:val="00F45D12"/>
    <w:rsid w:val="00F45DF4"/>
    <w:rsid w:val="00F473D3"/>
    <w:rsid w:val="00F47C4D"/>
    <w:rsid w:val="00F505EC"/>
    <w:rsid w:val="00F517BB"/>
    <w:rsid w:val="00F5227A"/>
    <w:rsid w:val="00F53087"/>
    <w:rsid w:val="00F60F2E"/>
    <w:rsid w:val="00F628D1"/>
    <w:rsid w:val="00F63AF4"/>
    <w:rsid w:val="00F63E00"/>
    <w:rsid w:val="00F661F2"/>
    <w:rsid w:val="00F70816"/>
    <w:rsid w:val="00F715CB"/>
    <w:rsid w:val="00F737F0"/>
    <w:rsid w:val="00F73B8C"/>
    <w:rsid w:val="00F744DB"/>
    <w:rsid w:val="00F74C2E"/>
    <w:rsid w:val="00F753BE"/>
    <w:rsid w:val="00F8088A"/>
    <w:rsid w:val="00F81860"/>
    <w:rsid w:val="00F824F1"/>
    <w:rsid w:val="00F834C8"/>
    <w:rsid w:val="00F84115"/>
    <w:rsid w:val="00F84584"/>
    <w:rsid w:val="00F85AA3"/>
    <w:rsid w:val="00F869EB"/>
    <w:rsid w:val="00F875E6"/>
    <w:rsid w:val="00F91259"/>
    <w:rsid w:val="00F92292"/>
    <w:rsid w:val="00F94EDC"/>
    <w:rsid w:val="00F9597C"/>
    <w:rsid w:val="00F96912"/>
    <w:rsid w:val="00FA089D"/>
    <w:rsid w:val="00FA0B64"/>
    <w:rsid w:val="00FA1A89"/>
    <w:rsid w:val="00FA2E93"/>
    <w:rsid w:val="00FA4AA2"/>
    <w:rsid w:val="00FA63BA"/>
    <w:rsid w:val="00FA7F24"/>
    <w:rsid w:val="00FB083B"/>
    <w:rsid w:val="00FB18A6"/>
    <w:rsid w:val="00FB2299"/>
    <w:rsid w:val="00FB2F14"/>
    <w:rsid w:val="00FB70F0"/>
    <w:rsid w:val="00FB7171"/>
    <w:rsid w:val="00FB72D7"/>
    <w:rsid w:val="00FB7F1B"/>
    <w:rsid w:val="00FC1CD4"/>
    <w:rsid w:val="00FC2C68"/>
    <w:rsid w:val="00FC417F"/>
    <w:rsid w:val="00FC5DE6"/>
    <w:rsid w:val="00FC7A45"/>
    <w:rsid w:val="00FC7C02"/>
    <w:rsid w:val="00FD0FFC"/>
    <w:rsid w:val="00FD360B"/>
    <w:rsid w:val="00FD441C"/>
    <w:rsid w:val="00FD688C"/>
    <w:rsid w:val="00FD6DF4"/>
    <w:rsid w:val="00FD7174"/>
    <w:rsid w:val="00FD7431"/>
    <w:rsid w:val="00FD7F1A"/>
    <w:rsid w:val="00FE086E"/>
    <w:rsid w:val="00FE0874"/>
    <w:rsid w:val="00FE26CD"/>
    <w:rsid w:val="00FE361E"/>
    <w:rsid w:val="00FE5445"/>
    <w:rsid w:val="00FE772B"/>
    <w:rsid w:val="00FE7D91"/>
    <w:rsid w:val="00FF05F7"/>
    <w:rsid w:val="00FF1D23"/>
    <w:rsid w:val="00FF48A2"/>
    <w:rsid w:val="00FF5FFB"/>
    <w:rsid w:val="00FF6AF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1520"/>
  <w15:chartTrackingRefBased/>
  <w15:docId w15:val="{CD1993D1-70F2-4B6D-864A-7BD70D88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C8"/>
  </w:style>
  <w:style w:type="paragraph" w:styleId="Heading1">
    <w:name w:val="heading 1"/>
    <w:basedOn w:val="Normal"/>
    <w:next w:val="Normal"/>
    <w:link w:val="Heading1Char"/>
    <w:uiPriority w:val="9"/>
    <w:qFormat/>
    <w:rsid w:val="001B19AE"/>
    <w:pPr>
      <w:keepNext/>
      <w:keepLines/>
      <w:numPr>
        <w:numId w:val="7"/>
      </w:numPr>
      <w:spacing w:before="360" w:after="120" w:line="240" w:lineRule="auto"/>
      <w:jc w:val="center"/>
      <w:outlineLvl w:val="0"/>
    </w:pPr>
    <w:rPr>
      <w:rFonts w:ascii="Times New Roman" w:eastAsia="Times New Roman" w:hAnsi="Times New Roman" w:cs="Times New Roman"/>
      <w:b/>
      <w:sz w:val="28"/>
      <w:szCs w:val="32"/>
      <w:lang w:eastAsia="sq-AL"/>
    </w:rPr>
  </w:style>
  <w:style w:type="paragraph" w:styleId="Heading2">
    <w:name w:val="heading 2"/>
    <w:basedOn w:val="Normal"/>
    <w:next w:val="Normal"/>
    <w:link w:val="Heading2Char"/>
    <w:uiPriority w:val="9"/>
    <w:unhideWhenUsed/>
    <w:qFormat/>
    <w:rsid w:val="001B19AE"/>
    <w:pPr>
      <w:keepNext/>
      <w:keepLines/>
      <w:numPr>
        <w:ilvl w:val="1"/>
        <w:numId w:val="7"/>
      </w:numPr>
      <w:spacing w:before="160" w:after="120" w:line="240" w:lineRule="auto"/>
      <w:outlineLvl w:val="1"/>
    </w:pPr>
    <w:rPr>
      <w:rFonts w:ascii="Times New Roman" w:eastAsia="Times New Roman" w:hAnsi="Times New Roman" w:cs="Times New Roman"/>
      <w:b/>
      <w:sz w:val="24"/>
      <w:szCs w:val="26"/>
      <w:lang w:eastAsia="sq-AL"/>
    </w:rPr>
  </w:style>
  <w:style w:type="paragraph" w:styleId="Heading3">
    <w:name w:val="heading 3"/>
    <w:basedOn w:val="Normal"/>
    <w:next w:val="Normal"/>
    <w:link w:val="Heading3Char"/>
    <w:uiPriority w:val="9"/>
    <w:unhideWhenUsed/>
    <w:qFormat/>
    <w:rsid w:val="0031151C"/>
    <w:pPr>
      <w:keepNext/>
      <w:keepLines/>
      <w:numPr>
        <w:ilvl w:val="2"/>
        <w:numId w:val="7"/>
      </w:numPr>
      <w:spacing w:before="40" w:after="0" w:line="240" w:lineRule="auto"/>
      <w:outlineLvl w:val="2"/>
    </w:pPr>
    <w:rPr>
      <w:rFonts w:ascii="Calibri Light" w:eastAsia="Times New Roman" w:hAnsi="Calibri Light" w:cs="Times New Roman"/>
      <w:color w:val="1F3763"/>
      <w:sz w:val="20"/>
      <w:szCs w:val="20"/>
      <w:lang w:eastAsia="sq-AL"/>
    </w:rPr>
  </w:style>
  <w:style w:type="paragraph" w:styleId="Heading4">
    <w:name w:val="heading 4"/>
    <w:basedOn w:val="Normal"/>
    <w:next w:val="Normal"/>
    <w:link w:val="Heading4Char"/>
    <w:uiPriority w:val="9"/>
    <w:semiHidden/>
    <w:unhideWhenUsed/>
    <w:qFormat/>
    <w:rsid w:val="0031151C"/>
    <w:pPr>
      <w:keepNext/>
      <w:keepLines/>
      <w:numPr>
        <w:ilvl w:val="3"/>
        <w:numId w:val="7"/>
      </w:numPr>
      <w:spacing w:before="40" w:after="0" w:line="240" w:lineRule="auto"/>
      <w:outlineLvl w:val="3"/>
    </w:pPr>
    <w:rPr>
      <w:rFonts w:ascii="Calibri Light" w:eastAsia="Times New Roman" w:hAnsi="Calibri Light" w:cs="Times New Roman"/>
      <w:i/>
      <w:iCs/>
      <w:color w:val="2F5496"/>
      <w:sz w:val="20"/>
      <w:szCs w:val="20"/>
      <w:lang w:eastAsia="sq-AL"/>
    </w:rPr>
  </w:style>
  <w:style w:type="paragraph" w:styleId="Heading5">
    <w:name w:val="heading 5"/>
    <w:basedOn w:val="Normal"/>
    <w:next w:val="Normal"/>
    <w:link w:val="Heading5Char"/>
    <w:uiPriority w:val="9"/>
    <w:semiHidden/>
    <w:unhideWhenUsed/>
    <w:qFormat/>
    <w:rsid w:val="0031151C"/>
    <w:pPr>
      <w:keepNext/>
      <w:keepLines/>
      <w:numPr>
        <w:ilvl w:val="4"/>
        <w:numId w:val="7"/>
      </w:numPr>
      <w:spacing w:before="40" w:after="0" w:line="240" w:lineRule="auto"/>
      <w:outlineLvl w:val="4"/>
    </w:pPr>
    <w:rPr>
      <w:rFonts w:ascii="Calibri Light" w:eastAsia="Times New Roman" w:hAnsi="Calibri Light" w:cs="Times New Roman"/>
      <w:color w:val="2F5496"/>
      <w:sz w:val="20"/>
      <w:szCs w:val="20"/>
      <w:lang w:eastAsia="sq-AL"/>
    </w:rPr>
  </w:style>
  <w:style w:type="paragraph" w:styleId="Heading6">
    <w:name w:val="heading 6"/>
    <w:basedOn w:val="Normal"/>
    <w:next w:val="Normal"/>
    <w:link w:val="Heading6Char"/>
    <w:uiPriority w:val="9"/>
    <w:semiHidden/>
    <w:unhideWhenUsed/>
    <w:qFormat/>
    <w:rsid w:val="0031151C"/>
    <w:pPr>
      <w:keepNext/>
      <w:keepLines/>
      <w:numPr>
        <w:ilvl w:val="5"/>
        <w:numId w:val="7"/>
      </w:numPr>
      <w:spacing w:before="40" w:after="0" w:line="240" w:lineRule="auto"/>
      <w:outlineLvl w:val="5"/>
    </w:pPr>
    <w:rPr>
      <w:rFonts w:ascii="Calibri Light" w:eastAsia="Times New Roman" w:hAnsi="Calibri Light" w:cs="Times New Roman"/>
      <w:color w:val="1F3763"/>
      <w:sz w:val="20"/>
      <w:szCs w:val="20"/>
      <w:lang w:eastAsia="sq-AL"/>
    </w:rPr>
  </w:style>
  <w:style w:type="paragraph" w:styleId="Heading7">
    <w:name w:val="heading 7"/>
    <w:basedOn w:val="Normal"/>
    <w:next w:val="Normal"/>
    <w:link w:val="Heading7Char"/>
    <w:uiPriority w:val="9"/>
    <w:semiHidden/>
    <w:unhideWhenUsed/>
    <w:qFormat/>
    <w:rsid w:val="0031151C"/>
    <w:pPr>
      <w:keepNext/>
      <w:keepLines/>
      <w:numPr>
        <w:ilvl w:val="6"/>
        <w:numId w:val="7"/>
      </w:numPr>
      <w:spacing w:before="40" w:after="0" w:line="240" w:lineRule="auto"/>
      <w:outlineLvl w:val="6"/>
    </w:pPr>
    <w:rPr>
      <w:rFonts w:ascii="Calibri Light" w:eastAsia="Times New Roman" w:hAnsi="Calibri Light" w:cs="Times New Roman"/>
      <w:i/>
      <w:iCs/>
      <w:color w:val="1F3763"/>
      <w:sz w:val="20"/>
      <w:szCs w:val="20"/>
      <w:lang w:eastAsia="sq-AL"/>
    </w:rPr>
  </w:style>
  <w:style w:type="paragraph" w:styleId="Heading8">
    <w:name w:val="heading 8"/>
    <w:basedOn w:val="Normal"/>
    <w:next w:val="Normal"/>
    <w:link w:val="Heading8Char"/>
    <w:uiPriority w:val="9"/>
    <w:semiHidden/>
    <w:unhideWhenUsed/>
    <w:qFormat/>
    <w:rsid w:val="0031151C"/>
    <w:pPr>
      <w:keepNext/>
      <w:keepLines/>
      <w:numPr>
        <w:ilvl w:val="7"/>
        <w:numId w:val="7"/>
      </w:numPr>
      <w:spacing w:before="40" w:after="0" w:line="240" w:lineRule="auto"/>
      <w:outlineLvl w:val="7"/>
    </w:pPr>
    <w:rPr>
      <w:rFonts w:ascii="Calibri Light" w:eastAsia="Times New Roman" w:hAnsi="Calibri Light" w:cs="Times New Roman"/>
      <w:color w:val="272727"/>
      <w:sz w:val="21"/>
      <w:szCs w:val="21"/>
      <w:lang w:eastAsia="sq-AL"/>
    </w:rPr>
  </w:style>
  <w:style w:type="paragraph" w:styleId="Heading9">
    <w:name w:val="heading 9"/>
    <w:basedOn w:val="Normal"/>
    <w:next w:val="Normal"/>
    <w:link w:val="Heading9Char"/>
    <w:uiPriority w:val="9"/>
    <w:semiHidden/>
    <w:unhideWhenUsed/>
    <w:qFormat/>
    <w:rsid w:val="0031151C"/>
    <w:pPr>
      <w:keepNext/>
      <w:keepLines/>
      <w:numPr>
        <w:ilvl w:val="8"/>
        <w:numId w:val="7"/>
      </w:numPr>
      <w:spacing w:before="40" w:after="0" w:line="240" w:lineRule="auto"/>
      <w:outlineLvl w:val="8"/>
    </w:pPr>
    <w:rPr>
      <w:rFonts w:ascii="Calibri Light" w:eastAsia="Times New Roman" w:hAnsi="Calibri Light" w:cs="Times New Roman"/>
      <w:i/>
      <w:iCs/>
      <w:color w:val="272727"/>
      <w:sz w:val="21"/>
      <w:szCs w:val="21"/>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5AA3"/>
    <w:pPr>
      <w:pageBreakBefore/>
      <w:numPr>
        <w:ilvl w:val="1"/>
      </w:numPr>
      <w:outlineLvl w:val="0"/>
    </w:pPr>
    <w:rPr>
      <w:rFonts w:asciiTheme="majorHAnsi" w:eastAsiaTheme="minorEastAsia" w:hAnsiTheme="majorHAnsi"/>
      <w:bCs/>
      <w:color w:val="5A5A5A" w:themeColor="text1" w:themeTint="A5"/>
      <w:spacing w:val="15"/>
    </w:rPr>
  </w:style>
  <w:style w:type="character" w:customStyle="1" w:styleId="SubtitleChar">
    <w:name w:val="Subtitle Char"/>
    <w:basedOn w:val="DefaultParagraphFont"/>
    <w:link w:val="Subtitle"/>
    <w:uiPriority w:val="11"/>
    <w:rsid w:val="00F85AA3"/>
    <w:rPr>
      <w:rFonts w:asciiTheme="majorHAnsi" w:eastAsiaTheme="minorEastAsia" w:hAnsiTheme="majorHAnsi"/>
      <w:bCs/>
      <w:color w:val="5A5A5A" w:themeColor="text1" w:themeTint="A5"/>
      <w:spacing w:val="15"/>
      <w:lang w:val="en-US"/>
    </w:rPr>
  </w:style>
  <w:style w:type="paragraph" w:styleId="ListParagraph">
    <w:name w:val="List Paragraph"/>
    <w:aliases w:val="List Paragraph (numbered (a)),Normal 1,List Paragraph 1,Akapit z listą BS,Bullets"/>
    <w:basedOn w:val="Normal"/>
    <w:link w:val="ListParagraphChar"/>
    <w:uiPriority w:val="1"/>
    <w:qFormat/>
    <w:rsid w:val="00C83635"/>
    <w:pPr>
      <w:ind w:left="720"/>
      <w:contextualSpacing/>
    </w:pPr>
  </w:style>
  <w:style w:type="character" w:customStyle="1" w:styleId="ListParagraphChar">
    <w:name w:val="List Paragraph Char"/>
    <w:aliases w:val="List Paragraph (numbered (a)) Char,Normal 1 Char,List Paragraph 1 Char,Akapit z listą BS Char,Bullets Char"/>
    <w:link w:val="ListParagraph"/>
    <w:uiPriority w:val="34"/>
    <w:rsid w:val="0031151C"/>
    <w:rPr>
      <w:lang w:val="en-US"/>
    </w:rPr>
  </w:style>
  <w:style w:type="character" w:customStyle="1" w:styleId="Heading1Char">
    <w:name w:val="Heading 1 Char"/>
    <w:basedOn w:val="DefaultParagraphFont"/>
    <w:link w:val="Heading1"/>
    <w:uiPriority w:val="9"/>
    <w:rsid w:val="001B19AE"/>
    <w:rPr>
      <w:rFonts w:ascii="Times New Roman" w:eastAsia="Times New Roman" w:hAnsi="Times New Roman" w:cs="Times New Roman"/>
      <w:b/>
      <w:sz w:val="28"/>
      <w:szCs w:val="32"/>
      <w:lang w:val="en-US" w:eastAsia="sq-AL"/>
    </w:rPr>
  </w:style>
  <w:style w:type="character" w:customStyle="1" w:styleId="Heading2Char">
    <w:name w:val="Heading 2 Char"/>
    <w:basedOn w:val="DefaultParagraphFont"/>
    <w:link w:val="Heading2"/>
    <w:uiPriority w:val="9"/>
    <w:rsid w:val="001B19AE"/>
    <w:rPr>
      <w:rFonts w:ascii="Times New Roman" w:eastAsia="Times New Roman" w:hAnsi="Times New Roman" w:cs="Times New Roman"/>
      <w:b/>
      <w:sz w:val="24"/>
      <w:szCs w:val="26"/>
      <w:lang w:val="en-US" w:eastAsia="sq-AL"/>
    </w:rPr>
  </w:style>
  <w:style w:type="character" w:customStyle="1" w:styleId="Heading3Char">
    <w:name w:val="Heading 3 Char"/>
    <w:basedOn w:val="DefaultParagraphFont"/>
    <w:link w:val="Heading3"/>
    <w:uiPriority w:val="9"/>
    <w:rsid w:val="0031151C"/>
    <w:rPr>
      <w:rFonts w:ascii="Calibri Light" w:eastAsia="Times New Roman" w:hAnsi="Calibri Light" w:cs="Times New Roman"/>
      <w:color w:val="1F3763"/>
      <w:sz w:val="20"/>
      <w:szCs w:val="20"/>
      <w:lang w:val="en-US" w:eastAsia="sq-AL"/>
    </w:rPr>
  </w:style>
  <w:style w:type="character" w:customStyle="1" w:styleId="Heading4Char">
    <w:name w:val="Heading 4 Char"/>
    <w:basedOn w:val="DefaultParagraphFont"/>
    <w:link w:val="Heading4"/>
    <w:uiPriority w:val="9"/>
    <w:semiHidden/>
    <w:rsid w:val="0031151C"/>
    <w:rPr>
      <w:rFonts w:ascii="Calibri Light" w:eastAsia="Times New Roman" w:hAnsi="Calibri Light" w:cs="Times New Roman"/>
      <w:i/>
      <w:iCs/>
      <w:color w:val="2F5496"/>
      <w:sz w:val="20"/>
      <w:szCs w:val="20"/>
      <w:lang w:val="en-US" w:eastAsia="sq-AL"/>
    </w:rPr>
  </w:style>
  <w:style w:type="character" w:customStyle="1" w:styleId="Heading5Char">
    <w:name w:val="Heading 5 Char"/>
    <w:basedOn w:val="DefaultParagraphFont"/>
    <w:link w:val="Heading5"/>
    <w:uiPriority w:val="9"/>
    <w:semiHidden/>
    <w:rsid w:val="0031151C"/>
    <w:rPr>
      <w:rFonts w:ascii="Calibri Light" w:eastAsia="Times New Roman" w:hAnsi="Calibri Light" w:cs="Times New Roman"/>
      <w:color w:val="2F5496"/>
      <w:sz w:val="20"/>
      <w:szCs w:val="20"/>
      <w:lang w:val="en-US" w:eastAsia="sq-AL"/>
    </w:rPr>
  </w:style>
  <w:style w:type="character" w:customStyle="1" w:styleId="Heading6Char">
    <w:name w:val="Heading 6 Char"/>
    <w:basedOn w:val="DefaultParagraphFont"/>
    <w:link w:val="Heading6"/>
    <w:uiPriority w:val="9"/>
    <w:semiHidden/>
    <w:rsid w:val="0031151C"/>
    <w:rPr>
      <w:rFonts w:ascii="Calibri Light" w:eastAsia="Times New Roman" w:hAnsi="Calibri Light" w:cs="Times New Roman"/>
      <w:color w:val="1F3763"/>
      <w:sz w:val="20"/>
      <w:szCs w:val="20"/>
      <w:lang w:val="en-US" w:eastAsia="sq-AL"/>
    </w:rPr>
  </w:style>
  <w:style w:type="character" w:customStyle="1" w:styleId="Heading7Char">
    <w:name w:val="Heading 7 Char"/>
    <w:basedOn w:val="DefaultParagraphFont"/>
    <w:link w:val="Heading7"/>
    <w:uiPriority w:val="9"/>
    <w:semiHidden/>
    <w:rsid w:val="0031151C"/>
    <w:rPr>
      <w:rFonts w:ascii="Calibri Light" w:eastAsia="Times New Roman" w:hAnsi="Calibri Light" w:cs="Times New Roman"/>
      <w:i/>
      <w:iCs/>
      <w:color w:val="1F3763"/>
      <w:sz w:val="20"/>
      <w:szCs w:val="20"/>
      <w:lang w:val="en-US" w:eastAsia="sq-AL"/>
    </w:rPr>
  </w:style>
  <w:style w:type="character" w:customStyle="1" w:styleId="Heading8Char">
    <w:name w:val="Heading 8 Char"/>
    <w:basedOn w:val="DefaultParagraphFont"/>
    <w:link w:val="Heading8"/>
    <w:uiPriority w:val="9"/>
    <w:semiHidden/>
    <w:rsid w:val="0031151C"/>
    <w:rPr>
      <w:rFonts w:ascii="Calibri Light" w:eastAsia="Times New Roman" w:hAnsi="Calibri Light" w:cs="Times New Roman"/>
      <w:color w:val="272727"/>
      <w:sz w:val="21"/>
      <w:szCs w:val="21"/>
      <w:lang w:val="en-US" w:eastAsia="sq-AL"/>
    </w:rPr>
  </w:style>
  <w:style w:type="character" w:customStyle="1" w:styleId="Heading9Char">
    <w:name w:val="Heading 9 Char"/>
    <w:basedOn w:val="DefaultParagraphFont"/>
    <w:link w:val="Heading9"/>
    <w:uiPriority w:val="9"/>
    <w:semiHidden/>
    <w:rsid w:val="0031151C"/>
    <w:rPr>
      <w:rFonts w:ascii="Calibri Light" w:eastAsia="Times New Roman" w:hAnsi="Calibri Light" w:cs="Times New Roman"/>
      <w:i/>
      <w:iCs/>
      <w:color w:val="272727"/>
      <w:sz w:val="21"/>
      <w:szCs w:val="21"/>
      <w:lang w:val="en-US" w:eastAsia="sq-AL"/>
    </w:rPr>
  </w:style>
  <w:style w:type="paragraph" w:styleId="BalloonText">
    <w:name w:val="Balloon Text"/>
    <w:basedOn w:val="Normal"/>
    <w:link w:val="BalloonTextChar"/>
    <w:uiPriority w:val="99"/>
    <w:semiHidden/>
    <w:unhideWhenUsed/>
    <w:rsid w:val="006F3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AD"/>
    <w:rPr>
      <w:rFonts w:ascii="Segoe UI" w:hAnsi="Segoe UI" w:cs="Segoe UI"/>
      <w:sz w:val="18"/>
      <w:szCs w:val="18"/>
      <w:lang w:val="en-US"/>
    </w:rPr>
  </w:style>
  <w:style w:type="character" w:styleId="Emphasis">
    <w:name w:val="Emphasis"/>
    <w:basedOn w:val="DefaultParagraphFont"/>
    <w:uiPriority w:val="20"/>
    <w:qFormat/>
    <w:rsid w:val="00776647"/>
    <w:rPr>
      <w:i/>
      <w:iCs/>
    </w:rPr>
  </w:style>
  <w:style w:type="paragraph" w:styleId="Header">
    <w:name w:val="header"/>
    <w:basedOn w:val="Normal"/>
    <w:link w:val="HeaderChar"/>
    <w:uiPriority w:val="99"/>
    <w:unhideWhenUsed/>
    <w:rsid w:val="00BC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80"/>
    <w:rPr>
      <w:lang w:val="en-US"/>
    </w:rPr>
  </w:style>
  <w:style w:type="paragraph" w:styleId="Footer">
    <w:name w:val="footer"/>
    <w:basedOn w:val="Normal"/>
    <w:link w:val="FooterChar"/>
    <w:uiPriority w:val="99"/>
    <w:unhideWhenUsed/>
    <w:rsid w:val="00BC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80"/>
    <w:rPr>
      <w:lang w:val="en-US"/>
    </w:rPr>
  </w:style>
  <w:style w:type="paragraph" w:styleId="TOCHeading">
    <w:name w:val="TOC Heading"/>
    <w:basedOn w:val="Heading1"/>
    <w:next w:val="Normal"/>
    <w:uiPriority w:val="39"/>
    <w:unhideWhenUsed/>
    <w:qFormat/>
    <w:rsid w:val="00615B6E"/>
    <w:pPr>
      <w:numPr>
        <w:numId w:val="0"/>
      </w:numPr>
      <w:spacing w:line="259" w:lineRule="auto"/>
      <w:outlineLvl w:val="9"/>
    </w:pPr>
    <w:rPr>
      <w:rFonts w:asciiTheme="majorHAnsi" w:eastAsiaTheme="majorEastAsia" w:hAnsiTheme="majorHAnsi" w:cstheme="majorBidi"/>
      <w:color w:val="2E74B5" w:themeColor="accent1" w:themeShade="BF"/>
      <w:lang w:eastAsia="en-US"/>
    </w:rPr>
  </w:style>
  <w:style w:type="paragraph" w:styleId="TOC1">
    <w:name w:val="toc 1"/>
    <w:basedOn w:val="Normal"/>
    <w:next w:val="Normal"/>
    <w:autoRedefine/>
    <w:uiPriority w:val="39"/>
    <w:unhideWhenUsed/>
    <w:rsid w:val="00615B6E"/>
    <w:pPr>
      <w:spacing w:after="100"/>
    </w:pPr>
  </w:style>
  <w:style w:type="character" w:styleId="Hyperlink">
    <w:name w:val="Hyperlink"/>
    <w:basedOn w:val="DefaultParagraphFont"/>
    <w:uiPriority w:val="99"/>
    <w:unhideWhenUsed/>
    <w:rsid w:val="00615B6E"/>
    <w:rPr>
      <w:color w:val="0563C1" w:themeColor="hyperlink"/>
      <w:u w:val="single"/>
    </w:rPr>
  </w:style>
  <w:style w:type="paragraph" w:styleId="BodyText">
    <w:name w:val="Body Text"/>
    <w:basedOn w:val="Normal"/>
    <w:link w:val="BodyTextChar"/>
    <w:uiPriority w:val="1"/>
    <w:qFormat/>
    <w:rsid w:val="00F13E8D"/>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F13E8D"/>
    <w:rPr>
      <w:rFonts w:ascii="Tahoma" w:eastAsia="Tahoma" w:hAnsi="Tahoma" w:cs="Tahoma"/>
      <w:sz w:val="20"/>
      <w:szCs w:val="20"/>
      <w:lang w:val="en-US"/>
    </w:rPr>
  </w:style>
  <w:style w:type="paragraph" w:styleId="TOC2">
    <w:name w:val="toc 2"/>
    <w:basedOn w:val="Normal"/>
    <w:next w:val="Normal"/>
    <w:autoRedefine/>
    <w:uiPriority w:val="39"/>
    <w:unhideWhenUsed/>
    <w:rsid w:val="00C43A7C"/>
    <w:pPr>
      <w:tabs>
        <w:tab w:val="left" w:pos="660"/>
        <w:tab w:val="right" w:leader="dot" w:pos="9350"/>
      </w:tabs>
      <w:spacing w:after="100"/>
      <w:ind w:left="220"/>
    </w:pPr>
  </w:style>
  <w:style w:type="character" w:styleId="CommentReference">
    <w:name w:val="annotation reference"/>
    <w:basedOn w:val="DefaultParagraphFont"/>
    <w:uiPriority w:val="99"/>
    <w:semiHidden/>
    <w:unhideWhenUsed/>
    <w:rsid w:val="00E60DAC"/>
    <w:rPr>
      <w:sz w:val="16"/>
      <w:szCs w:val="16"/>
    </w:rPr>
  </w:style>
  <w:style w:type="paragraph" w:styleId="CommentText">
    <w:name w:val="annotation text"/>
    <w:basedOn w:val="Normal"/>
    <w:link w:val="CommentTextChar"/>
    <w:uiPriority w:val="99"/>
    <w:semiHidden/>
    <w:unhideWhenUsed/>
    <w:rsid w:val="00E60DAC"/>
    <w:pPr>
      <w:spacing w:line="240" w:lineRule="auto"/>
    </w:pPr>
    <w:rPr>
      <w:sz w:val="20"/>
      <w:szCs w:val="20"/>
    </w:rPr>
  </w:style>
  <w:style w:type="character" w:customStyle="1" w:styleId="CommentTextChar">
    <w:name w:val="Comment Text Char"/>
    <w:basedOn w:val="DefaultParagraphFont"/>
    <w:link w:val="CommentText"/>
    <w:uiPriority w:val="99"/>
    <w:semiHidden/>
    <w:rsid w:val="00E60DAC"/>
    <w:rPr>
      <w:sz w:val="20"/>
      <w:szCs w:val="20"/>
      <w:lang w:val="en-US"/>
    </w:rPr>
  </w:style>
  <w:style w:type="paragraph" w:styleId="CommentSubject">
    <w:name w:val="annotation subject"/>
    <w:basedOn w:val="CommentText"/>
    <w:next w:val="CommentText"/>
    <w:link w:val="CommentSubjectChar"/>
    <w:uiPriority w:val="99"/>
    <w:semiHidden/>
    <w:unhideWhenUsed/>
    <w:rsid w:val="00E60DAC"/>
    <w:rPr>
      <w:b/>
      <w:bCs/>
    </w:rPr>
  </w:style>
  <w:style w:type="character" w:customStyle="1" w:styleId="CommentSubjectChar">
    <w:name w:val="Comment Subject Char"/>
    <w:basedOn w:val="CommentTextChar"/>
    <w:link w:val="CommentSubject"/>
    <w:uiPriority w:val="99"/>
    <w:semiHidden/>
    <w:rsid w:val="00E60DAC"/>
    <w:rPr>
      <w:b/>
      <w:bCs/>
      <w:sz w:val="20"/>
      <w:szCs w:val="20"/>
      <w:lang w:val="en-US"/>
    </w:rPr>
  </w:style>
  <w:style w:type="paragraph" w:styleId="NormalWeb">
    <w:name w:val="Normal (Web)"/>
    <w:basedOn w:val="Normal"/>
    <w:uiPriority w:val="99"/>
    <w:unhideWhenUsed/>
    <w:rsid w:val="00950F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keta.suka\AppData\Local\Microsoft\Windows\INetCache\Content.Outlook\VJOV2YYU\Raporti%20pe&#776;r%20mbikqyrjen%20e%20raportit%20te&#776;%20PZSEK-se&#776;%20pe&#776;r%20Janar-%20Qershor%202025.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Percentage of objective achievement January - June 2025</a:t>
            </a:r>
            <a:endParaRPr lang="en-US" sz="1100">
              <a:latin typeface="Times New Roman" panose="02020603050405020304" pitchFamily="18" charset="0"/>
              <a:cs typeface="Times New Roman" panose="02020603050405020304" pitchFamily="18" charset="0"/>
            </a:endParaRPr>
          </a:p>
        </c:rich>
      </c:tx>
      <c:layout>
        <c:manualLayout>
          <c:xMode val="edge"/>
          <c:yMode val="edge"/>
          <c:x val="0.14229747887018709"/>
          <c:y val="4.5007645072403332E-2"/>
        </c:manualLayout>
      </c:layout>
      <c:overlay val="0"/>
      <c:spPr>
        <a:noFill/>
        <a:ln w="25400">
          <a:noFill/>
        </a:ln>
      </c:spPr>
    </c:title>
    <c:autoTitleDeleted val="0"/>
    <c:view3D>
      <c:rotX val="15"/>
      <c:rotY val="2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5B9BD5"/>
            </a:solidFill>
            <a:ln w="25400">
              <a:noFill/>
            </a:ln>
          </c:spPr>
          <c:invertIfNegative val="0"/>
          <c:dLbls>
            <c:dLbl>
              <c:idx val="0"/>
              <c:layout>
                <c:manualLayout>
                  <c:x val="2.5515886411583609E-2"/>
                  <c:y val="-4.1666734895657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DB-432A-A639-2E0CB68EAA89}"/>
                </c:ext>
              </c:extLst>
            </c:dLbl>
            <c:dLbl>
              <c:idx val="1"/>
              <c:layout>
                <c:manualLayout>
                  <c:x val="1.7511904181245416E-2"/>
                  <c:y val="-6.4814702616030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DB-432A-A639-2E0CB68EAA89}"/>
                </c:ext>
              </c:extLst>
            </c:dLbl>
            <c:dLbl>
              <c:idx val="2"/>
              <c:layout>
                <c:manualLayout>
                  <c:x val="2.0137484883005596E-2"/>
                  <c:y val="-4.704296101155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DB-432A-A639-2E0CB68EAA89}"/>
                </c:ext>
              </c:extLst>
            </c:dLbl>
            <c:dLbl>
              <c:idx val="3"/>
              <c:layout>
                <c:manualLayout>
                  <c:x val="1.4075456864344483E-2"/>
                  <c:y val="-5.0529844506676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DB-432A-A639-2E0CB68EAA89}"/>
                </c:ext>
              </c:extLst>
            </c:dLbl>
            <c:dLbl>
              <c:idx val="4"/>
              <c:layout>
                <c:manualLayout>
                  <c:x val="2.0815134942972324E-2"/>
                  <c:y val="-2.7449341612075288E-2"/>
                </c:manualLayout>
              </c:layout>
              <c:spPr>
                <a:noFill/>
                <a:ln w="25400">
                  <a:noFill/>
                </a:ln>
              </c:spPr>
              <c:txPr>
                <a:bodyPr rot="0" spcFirstLastPara="1" vertOverflow="ellipsis" vert="horz" wrap="square" lIns="38100" tIns="19050" rIns="38100" bIns="19050"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ABDB-432A-A639-2E0CB68EAA89}"/>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Sheet1!$G$5:$G$9</c:f>
              <c:strCache>
                <c:ptCount val="5"/>
                <c:pt idx="0">
                  <c:v>Objektivi 1</c:v>
                </c:pt>
                <c:pt idx="1">
                  <c:v>Objektivi 2</c:v>
                </c:pt>
                <c:pt idx="2">
                  <c:v>Objektivi 3</c:v>
                </c:pt>
                <c:pt idx="3">
                  <c:v>Objektivi 4</c:v>
                </c:pt>
                <c:pt idx="4">
                  <c:v>Objektivi 5</c:v>
                </c:pt>
              </c:strCache>
            </c:strRef>
          </c:cat>
          <c:val>
            <c:numRef>
              <c:f>Sheet1!$H$5:$H$9</c:f>
              <c:numCache>
                <c:formatCode>0%</c:formatCode>
                <c:ptCount val="5"/>
                <c:pt idx="0">
                  <c:v>0.39</c:v>
                </c:pt>
                <c:pt idx="1">
                  <c:v>0.38</c:v>
                </c:pt>
                <c:pt idx="2">
                  <c:v>0.49</c:v>
                </c:pt>
                <c:pt idx="3">
                  <c:v>0.21</c:v>
                </c:pt>
                <c:pt idx="4">
                  <c:v>0.8</c:v>
                </c:pt>
              </c:numCache>
            </c:numRef>
          </c:val>
          <c:extLst>
            <c:ext xmlns:c16="http://schemas.microsoft.com/office/drawing/2014/chart" uri="{C3380CC4-5D6E-409C-BE32-E72D297353CC}">
              <c16:uniqueId val="{00000005-ABDB-432A-A639-2E0CB68EAA89}"/>
            </c:ext>
          </c:extLst>
        </c:ser>
        <c:dLbls>
          <c:showLegendKey val="0"/>
          <c:showVal val="0"/>
          <c:showCatName val="0"/>
          <c:showSerName val="0"/>
          <c:showPercent val="0"/>
          <c:showBubbleSize val="0"/>
        </c:dLbls>
        <c:gapWidth val="150"/>
        <c:shape val="box"/>
        <c:axId val="680995040"/>
        <c:axId val="680998848"/>
        <c:axId val="0"/>
      </c:bar3DChart>
      <c:catAx>
        <c:axId val="680995040"/>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80998848"/>
        <c:crosses val="autoZero"/>
        <c:auto val="1"/>
        <c:lblAlgn val="ctr"/>
        <c:lblOffset val="100"/>
        <c:noMultiLvlLbl val="0"/>
      </c:catAx>
      <c:valAx>
        <c:axId val="680998848"/>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995040"/>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sz="1050" b="0" i="0" u="none" strike="noStrike" kern="1200" spc="0" baseline="0">
                <a:solidFill>
                  <a:sysClr val="windowText" lastClr="000000">
                    <a:lumMod val="65000"/>
                    <a:lumOff val="35000"/>
                  </a:sysClr>
                </a:solidFill>
                <a:latin typeface="+mn-lt"/>
                <a:ea typeface="+mn-ea"/>
                <a:cs typeface="+mn-cs"/>
              </a:defRPr>
            </a:pPr>
            <a:r>
              <a:rPr lang="en-US" sz="1050" b="0" i="0" baseline="0">
                <a:effectLst/>
              </a:rPr>
              <a:t>Percentage of objective achievement January - June 2025</a:t>
            </a:r>
            <a:endParaRPr lang="en-US" sz="1050">
              <a:effectLst/>
            </a:endParaRPr>
          </a:p>
        </c:rich>
      </c:tx>
      <c:layout>
        <c:manualLayout>
          <c:xMode val="edge"/>
          <c:yMode val="edge"/>
          <c:x val="0.14668939371084361"/>
          <c:y val="3.9915523804557547E-2"/>
        </c:manualLayout>
      </c:layout>
      <c:overlay val="0"/>
      <c:spPr>
        <a:noFill/>
        <a:ln w="25400">
          <a:noFill/>
        </a:ln>
      </c:spPr>
    </c:title>
    <c:autoTitleDeleted val="0"/>
    <c:view3D>
      <c:rotX val="15"/>
      <c:rotY val="2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5B9BD5"/>
            </a:solidFill>
            <a:ln w="25400">
              <a:noFill/>
            </a:ln>
          </c:spPr>
          <c:invertIfNegative val="0"/>
          <c:dLbls>
            <c:dLbl>
              <c:idx val="0"/>
              <c:layout>
                <c:manualLayout>
                  <c:x val="2.6992625556364246E-2"/>
                  <c:y val="-7.247630827120069E-2"/>
                </c:manualLayout>
              </c:layout>
              <c:spPr>
                <a:noFill/>
                <a:ln w="25400">
                  <a:noFill/>
                </a:ln>
              </c:spPr>
              <c:txPr>
                <a:bodyPr rot="0" spcFirstLastPara="1" vertOverflow="ellipsis" vert="horz" wrap="square" lIns="38100" tIns="19050" rIns="38100" bIns="19050"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DA76-4E26-9C6D-A0000FE561EE}"/>
                </c:ext>
              </c:extLst>
            </c:dLbl>
            <c:dLbl>
              <c:idx val="1"/>
              <c:layout>
                <c:manualLayout>
                  <c:x val="3.1320250049919715E-2"/>
                  <c:y val="-4.4698627273360741E-2"/>
                </c:manualLayout>
              </c:layout>
              <c:spPr>
                <a:noFill/>
                <a:ln w="25400">
                  <a:noFill/>
                </a:ln>
              </c:spPr>
              <c:txPr>
                <a:bodyPr rot="0" spcFirstLastPara="1" vertOverflow="ellipsis" vert="horz" wrap="square" lIns="38100" tIns="19050" rIns="38100" bIns="19050"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DA76-4E26-9C6D-A0000FE561EE}"/>
                </c:ext>
              </c:extLst>
            </c:dLbl>
            <c:dLbl>
              <c:idx val="2"/>
              <c:layout>
                <c:manualLayout>
                  <c:x val="2.0651904360092496E-2"/>
                  <c:y val="-5.6579855062364993E-2"/>
                </c:manualLayout>
              </c:layout>
              <c:spPr>
                <a:noFill/>
                <a:ln w="25400">
                  <a:noFill/>
                </a:ln>
              </c:spPr>
              <c:txPr>
                <a:bodyPr rot="0" spcFirstLastPara="1" vertOverflow="ellipsis" vert="horz" wrap="square" lIns="38100" tIns="19050" rIns="38100" bIns="19050"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DA76-4E26-9C6D-A0000FE561EE}"/>
                </c:ext>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Sheet1!$G$20:$G$22</c:f>
              <c:strCache>
                <c:ptCount val="3"/>
                <c:pt idx="0">
                  <c:v>Fully implemented</c:v>
                </c:pt>
                <c:pt idx="1">
                  <c:v>Partially implemented</c:v>
                </c:pt>
                <c:pt idx="2">
                  <c:v>Unimplemented</c:v>
                </c:pt>
              </c:strCache>
            </c:strRef>
          </c:cat>
          <c:val>
            <c:numRef>
              <c:f>Sheet1!$J$20:$J$22</c:f>
              <c:numCache>
                <c:formatCode>0.00%</c:formatCode>
                <c:ptCount val="3"/>
                <c:pt idx="0">
                  <c:v>5.3600000000000002E-2</c:v>
                </c:pt>
                <c:pt idx="1">
                  <c:v>0.66069999999999995</c:v>
                </c:pt>
                <c:pt idx="2">
                  <c:v>0.28570000000000001</c:v>
                </c:pt>
              </c:numCache>
            </c:numRef>
          </c:val>
          <c:extLst>
            <c:ext xmlns:c16="http://schemas.microsoft.com/office/drawing/2014/chart" uri="{C3380CC4-5D6E-409C-BE32-E72D297353CC}">
              <c16:uniqueId val="{00000003-DA76-4E26-9C6D-A0000FE561EE}"/>
            </c:ext>
          </c:extLst>
        </c:ser>
        <c:dLbls>
          <c:showLegendKey val="0"/>
          <c:showVal val="0"/>
          <c:showCatName val="0"/>
          <c:showSerName val="0"/>
          <c:showPercent val="0"/>
          <c:showBubbleSize val="0"/>
        </c:dLbls>
        <c:gapWidth val="150"/>
        <c:shape val="box"/>
        <c:axId val="680984704"/>
        <c:axId val="680990688"/>
        <c:axId val="0"/>
      </c:bar3DChart>
      <c:catAx>
        <c:axId val="680984704"/>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80990688"/>
        <c:crosses val="autoZero"/>
        <c:auto val="1"/>
        <c:lblAlgn val="ctr"/>
        <c:lblOffset val="100"/>
        <c:noMultiLvlLbl val="0"/>
      </c:catAx>
      <c:valAx>
        <c:axId val="680990688"/>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984704"/>
        <c:crosses val="autoZero"/>
        <c:crossBetween val="between"/>
      </c:valAx>
      <c:spPr>
        <a:noFill/>
        <a:ln w="25400">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3224-BD4B-4A51-A526-E5CC436D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14759</Words>
  <Characters>84131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Behije Tahiri</dc:creator>
  <cp:lastModifiedBy>Sahit.Shabani</cp:lastModifiedBy>
  <cp:revision>2</cp:revision>
  <cp:lastPrinted>2024-08-23T07:23:00Z</cp:lastPrinted>
  <dcterms:created xsi:type="dcterms:W3CDTF">2025-09-08T09:07:00Z</dcterms:created>
  <dcterms:modified xsi:type="dcterms:W3CDTF">2025-09-08T09:07:00Z</dcterms:modified>
</cp:coreProperties>
</file>