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AC24C" w14:textId="77777777" w:rsidR="00F85AA3" w:rsidRPr="0077446E" w:rsidRDefault="00F85AA3" w:rsidP="00F85AA3">
      <w:pPr>
        <w:jc w:val="center"/>
        <w:rPr>
          <w:rFonts w:ascii="Times New Roman" w:hAnsi="Times New Roman"/>
          <w:b/>
          <w:bCs/>
          <w:sz w:val="24"/>
          <w:szCs w:val="24"/>
        </w:rPr>
      </w:pPr>
    </w:p>
    <w:p w14:paraId="0F6CC6AA" w14:textId="77777777" w:rsidR="00F85AA3" w:rsidRPr="0077446E" w:rsidRDefault="00F85AA3" w:rsidP="00F85AA3">
      <w:pPr>
        <w:jc w:val="center"/>
        <w:rPr>
          <w:rFonts w:ascii="Times New Roman" w:hAnsi="Times New Roman"/>
          <w:b/>
          <w:bCs/>
          <w:sz w:val="24"/>
          <w:szCs w:val="24"/>
        </w:rPr>
      </w:pPr>
    </w:p>
    <w:p w14:paraId="5B0E0E58" w14:textId="77777777" w:rsidR="00F85AA3" w:rsidRPr="0077446E" w:rsidRDefault="00F85AA3" w:rsidP="00F85AA3">
      <w:pPr>
        <w:jc w:val="center"/>
        <w:rPr>
          <w:rFonts w:ascii="Times New Roman" w:hAnsi="Times New Roman"/>
          <w:b/>
          <w:bCs/>
          <w:sz w:val="24"/>
          <w:szCs w:val="24"/>
        </w:rPr>
      </w:pPr>
    </w:p>
    <w:p w14:paraId="454934B6" w14:textId="77777777" w:rsidR="00F85AA3" w:rsidRPr="0077446E" w:rsidRDefault="00F85AA3" w:rsidP="00F85AA3">
      <w:pPr>
        <w:pBdr>
          <w:bottom w:val="single" w:sz="4" w:space="1" w:color="auto"/>
        </w:pBdr>
        <w:jc w:val="center"/>
        <w:rPr>
          <w:rFonts w:ascii="Book Antiqua" w:hAnsi="Book Antiqua"/>
          <w:b/>
          <w:bCs/>
          <w:iCs/>
          <w:sz w:val="24"/>
          <w:szCs w:val="24"/>
        </w:rPr>
      </w:pPr>
      <w:r>
        <w:rPr>
          <w:rFonts w:ascii="Book Antiqua" w:hAnsi="Book Antiqua"/>
          <w:noProof/>
          <w:sz w:val="28"/>
        </w:rPr>
        <w:drawing>
          <wp:anchor distT="0" distB="0" distL="114300" distR="114300" simplePos="0" relativeHeight="251659264" behindDoc="1" locked="0" layoutInCell="1" allowOverlap="1" wp14:anchorId="78321A27" wp14:editId="3522364A">
            <wp:simplePos x="0" y="0"/>
            <wp:positionH relativeFrom="column">
              <wp:align>center</wp:align>
            </wp:positionH>
            <wp:positionV relativeFrom="paragraph">
              <wp:posOffset>-1047750</wp:posOffset>
            </wp:positionV>
            <wp:extent cx="890270" cy="94297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90270" cy="942975"/>
                    </a:xfrm>
                    <a:prstGeom prst="rect">
                      <a:avLst/>
                    </a:prstGeom>
                    <a:noFill/>
                  </pic:spPr>
                </pic:pic>
              </a:graphicData>
            </a:graphic>
          </wp:anchor>
        </w:drawing>
      </w:r>
      <w:bookmarkStart w:id="0" w:name="OLE_LINK3"/>
      <w:proofErr w:type="spellStart"/>
      <w:r>
        <w:rPr>
          <w:rFonts w:ascii="Book Antiqua" w:hAnsi="Book Antiqua"/>
          <w:b/>
          <w:sz w:val="28"/>
        </w:rPr>
        <w:t>Republika</w:t>
      </w:r>
      <w:proofErr w:type="spellEnd"/>
      <w:r>
        <w:rPr>
          <w:rFonts w:ascii="Book Antiqua" w:hAnsi="Book Antiqua"/>
          <w:b/>
          <w:sz w:val="28"/>
        </w:rPr>
        <w:t xml:space="preserve"> e </w:t>
      </w:r>
      <w:proofErr w:type="spellStart"/>
      <w:r>
        <w:rPr>
          <w:rFonts w:ascii="Book Antiqua" w:hAnsi="Book Antiqua"/>
          <w:b/>
          <w:sz w:val="28"/>
        </w:rPr>
        <w:t>Kosovës</w:t>
      </w:r>
      <w:proofErr w:type="spellEnd"/>
      <w:r>
        <w:rPr>
          <w:rFonts w:ascii="Book Antiqua" w:hAnsi="Book Antiqua"/>
          <w:b/>
          <w:sz w:val="24"/>
        </w:rPr>
        <w:br/>
        <w:t xml:space="preserve"> </w:t>
      </w:r>
      <w:proofErr w:type="spellStart"/>
      <w:r>
        <w:rPr>
          <w:rFonts w:ascii="Book Antiqua" w:hAnsi="Book Antiqua"/>
          <w:b/>
          <w:sz w:val="24"/>
        </w:rPr>
        <w:t>Republika</w:t>
      </w:r>
      <w:proofErr w:type="spellEnd"/>
      <w:r>
        <w:rPr>
          <w:rFonts w:ascii="Book Antiqua" w:hAnsi="Book Antiqua"/>
          <w:b/>
          <w:sz w:val="24"/>
        </w:rPr>
        <w:t xml:space="preserve"> </w:t>
      </w:r>
      <w:proofErr w:type="spellStart"/>
      <w:r>
        <w:rPr>
          <w:rFonts w:ascii="Book Antiqua" w:hAnsi="Book Antiqua"/>
          <w:b/>
          <w:sz w:val="24"/>
        </w:rPr>
        <w:t>Kosova</w:t>
      </w:r>
      <w:proofErr w:type="spellEnd"/>
      <w:r>
        <w:rPr>
          <w:rFonts w:ascii="Book Antiqua" w:hAnsi="Book Antiqua"/>
          <w:b/>
          <w:sz w:val="24"/>
        </w:rPr>
        <w:t>-Republic of Kosovo</w:t>
      </w:r>
      <w:bookmarkEnd w:id="0"/>
      <w:r>
        <w:rPr>
          <w:rFonts w:ascii="Book Antiqua" w:hAnsi="Book Antiqua"/>
          <w:b/>
          <w:sz w:val="24"/>
        </w:rPr>
        <w:br/>
      </w:r>
      <w:proofErr w:type="spellStart"/>
      <w:r>
        <w:rPr>
          <w:rFonts w:ascii="Book Antiqua" w:hAnsi="Book Antiqua"/>
          <w:i/>
          <w:sz w:val="24"/>
        </w:rPr>
        <w:t>Qeveria</w:t>
      </w:r>
      <w:proofErr w:type="spellEnd"/>
      <w:r>
        <w:rPr>
          <w:rFonts w:ascii="Book Antiqua" w:hAnsi="Book Antiqua"/>
          <w:i/>
          <w:sz w:val="24"/>
        </w:rPr>
        <w:t>-</w:t>
      </w:r>
      <w:proofErr w:type="spellStart"/>
      <w:r>
        <w:rPr>
          <w:rFonts w:ascii="Book Antiqua" w:hAnsi="Book Antiqua"/>
          <w:i/>
          <w:sz w:val="24"/>
        </w:rPr>
        <w:t>Vlada</w:t>
      </w:r>
      <w:proofErr w:type="spellEnd"/>
      <w:r>
        <w:rPr>
          <w:rFonts w:ascii="Book Antiqua" w:hAnsi="Book Antiqua"/>
          <w:i/>
          <w:sz w:val="24"/>
        </w:rPr>
        <w:t>-Government</w:t>
      </w:r>
      <w:r>
        <w:rPr>
          <w:rFonts w:ascii="Book Antiqua" w:hAnsi="Book Antiqua"/>
          <w:i/>
          <w:sz w:val="24"/>
        </w:rPr>
        <w:br/>
      </w:r>
      <w:r>
        <w:rPr>
          <w:rFonts w:ascii="Book Antiqua" w:hAnsi="Book Antiqua"/>
          <w:b/>
          <w:sz w:val="24"/>
        </w:rPr>
        <w:t>Ministria e Ekonomisë</w:t>
      </w:r>
      <w:r>
        <w:rPr>
          <w:rFonts w:ascii="Book Antiqua" w:hAnsi="Book Antiqua"/>
          <w:b/>
          <w:sz w:val="24"/>
        </w:rPr>
        <w:br/>
      </w:r>
      <w:proofErr w:type="spellStart"/>
      <w:r>
        <w:rPr>
          <w:rFonts w:ascii="Book Antiqua" w:hAnsi="Book Antiqua"/>
          <w:b/>
          <w:color w:val="000000"/>
          <w:sz w:val="24"/>
        </w:rPr>
        <w:t>Ministarstvo</w:t>
      </w:r>
      <w:proofErr w:type="spellEnd"/>
      <w:r>
        <w:rPr>
          <w:rFonts w:ascii="Book Antiqua" w:hAnsi="Book Antiqua"/>
          <w:b/>
          <w:color w:val="000000"/>
          <w:sz w:val="24"/>
        </w:rPr>
        <w:t xml:space="preserve"> </w:t>
      </w:r>
      <w:proofErr w:type="spellStart"/>
      <w:r>
        <w:rPr>
          <w:rFonts w:ascii="Book Antiqua" w:hAnsi="Book Antiqua"/>
          <w:b/>
          <w:color w:val="000000"/>
          <w:sz w:val="24"/>
        </w:rPr>
        <w:t>Ekonomije</w:t>
      </w:r>
      <w:proofErr w:type="spellEnd"/>
      <w:r>
        <w:rPr>
          <w:rFonts w:ascii="Book Antiqua" w:hAnsi="Book Antiqua"/>
          <w:b/>
          <w:color w:val="000000"/>
          <w:sz w:val="24"/>
        </w:rPr>
        <w:t xml:space="preserve"> </w:t>
      </w:r>
      <w:r>
        <w:rPr>
          <w:rFonts w:ascii="Book Antiqua" w:hAnsi="Book Antiqua"/>
          <w:b/>
          <w:sz w:val="24"/>
        </w:rPr>
        <w:t>-Ministry of Economy</w:t>
      </w:r>
    </w:p>
    <w:p w14:paraId="247815CB" w14:textId="77777777" w:rsidR="00F85AA3" w:rsidRPr="00A2420A" w:rsidRDefault="00F85AA3" w:rsidP="00F85AA3">
      <w:pPr>
        <w:tabs>
          <w:tab w:val="left" w:pos="8820"/>
        </w:tabs>
        <w:rPr>
          <w:rFonts w:ascii="Times New Roman" w:hAnsi="Times New Roman" w:cs="Times New Roman"/>
        </w:rPr>
      </w:pPr>
    </w:p>
    <w:p w14:paraId="2DE8C0E6" w14:textId="77777777" w:rsidR="00F85AA3" w:rsidRDefault="00F85AA3" w:rsidP="00F85AA3">
      <w:pPr>
        <w:tabs>
          <w:tab w:val="left" w:pos="8820"/>
        </w:tabs>
        <w:rPr>
          <w:rFonts w:ascii="Times New Roman" w:hAnsi="Times New Roman" w:cs="Times New Roman"/>
        </w:rPr>
      </w:pPr>
    </w:p>
    <w:p w14:paraId="553CFB37" w14:textId="77777777" w:rsidR="00F85AA3" w:rsidRDefault="00F85AA3" w:rsidP="00F85AA3">
      <w:pPr>
        <w:tabs>
          <w:tab w:val="left" w:pos="8820"/>
        </w:tabs>
        <w:rPr>
          <w:rFonts w:ascii="Times New Roman" w:hAnsi="Times New Roman" w:cs="Times New Roman"/>
        </w:rPr>
      </w:pPr>
    </w:p>
    <w:p w14:paraId="1F7E47A5" w14:textId="77777777" w:rsidR="00F85AA3" w:rsidRDefault="00F85AA3" w:rsidP="00F85AA3">
      <w:pPr>
        <w:tabs>
          <w:tab w:val="left" w:pos="8820"/>
        </w:tabs>
        <w:rPr>
          <w:rFonts w:ascii="Times New Roman" w:hAnsi="Times New Roman" w:cs="Times New Roman"/>
        </w:rPr>
      </w:pPr>
    </w:p>
    <w:p w14:paraId="4A8F568A" w14:textId="77777777" w:rsidR="00F85AA3" w:rsidRPr="00A2420A" w:rsidRDefault="00F85AA3" w:rsidP="00F85AA3">
      <w:pPr>
        <w:tabs>
          <w:tab w:val="left" w:pos="8820"/>
        </w:tabs>
        <w:rPr>
          <w:rFonts w:ascii="Times New Roman" w:hAnsi="Times New Roman" w:cs="Times New Roman"/>
        </w:rPr>
      </w:pPr>
    </w:p>
    <w:p w14:paraId="77F7BE8D" w14:textId="77777777" w:rsidR="00F85AA3" w:rsidRDefault="00F85AA3" w:rsidP="00F85AA3">
      <w:pPr>
        <w:tabs>
          <w:tab w:val="left" w:pos="8820"/>
        </w:tabs>
        <w:jc w:val="right"/>
        <w:rPr>
          <w:rFonts w:ascii="Times New Roman" w:hAnsi="Times New Roman" w:cs="Times New Roman"/>
        </w:rPr>
      </w:pPr>
    </w:p>
    <w:p w14:paraId="76561FEE" w14:textId="77777777" w:rsidR="00F85AA3" w:rsidRPr="00A2420A" w:rsidRDefault="00F85AA3" w:rsidP="00F85AA3">
      <w:pPr>
        <w:tabs>
          <w:tab w:val="left" w:pos="8820"/>
        </w:tabs>
        <w:jc w:val="right"/>
        <w:rPr>
          <w:rFonts w:ascii="Times New Roman" w:hAnsi="Times New Roman" w:cs="Times New Roman"/>
        </w:rPr>
      </w:pPr>
    </w:p>
    <w:p w14:paraId="6113DF46" w14:textId="77777777" w:rsidR="00F85AA3" w:rsidRPr="00FC346A" w:rsidRDefault="00F85AA3" w:rsidP="00F85AA3">
      <w:pPr>
        <w:tabs>
          <w:tab w:val="left" w:pos="8820"/>
        </w:tabs>
        <w:jc w:val="center"/>
        <w:rPr>
          <w:rFonts w:ascii="Times New Roman" w:hAnsi="Times New Roman" w:cs="Times New Roman"/>
          <w:b/>
          <w:sz w:val="32"/>
          <w:szCs w:val="32"/>
        </w:rPr>
      </w:pPr>
      <w:r>
        <w:rPr>
          <w:rFonts w:ascii="Times New Roman" w:hAnsi="Times New Roman"/>
          <w:b/>
          <w:sz w:val="32"/>
        </w:rPr>
        <w:t>PROGRESS REPORT FOR 2024</w:t>
      </w:r>
    </w:p>
    <w:p w14:paraId="52697D56" w14:textId="77777777" w:rsidR="00F85AA3" w:rsidRPr="00FC346A" w:rsidRDefault="00F85AA3" w:rsidP="00F85AA3">
      <w:pPr>
        <w:tabs>
          <w:tab w:val="left" w:pos="8820"/>
        </w:tabs>
        <w:spacing w:before="240" w:after="240"/>
        <w:jc w:val="center"/>
        <w:rPr>
          <w:rFonts w:ascii="Times New Roman" w:hAnsi="Times New Roman" w:cs="Times New Roman"/>
          <w:b/>
          <w:sz w:val="32"/>
          <w:szCs w:val="32"/>
        </w:rPr>
      </w:pPr>
      <w:r>
        <w:rPr>
          <w:rFonts w:ascii="Times New Roman" w:hAnsi="Times New Roman"/>
          <w:b/>
          <w:sz w:val="32"/>
        </w:rPr>
        <w:t>OF THE</w:t>
      </w:r>
    </w:p>
    <w:p w14:paraId="33FA1E37" w14:textId="77777777" w:rsidR="002668B9" w:rsidRPr="00FC346A" w:rsidRDefault="000F34C2" w:rsidP="00F85AA3">
      <w:pPr>
        <w:tabs>
          <w:tab w:val="left" w:pos="8820"/>
        </w:tabs>
        <w:jc w:val="center"/>
        <w:rPr>
          <w:rFonts w:ascii="Times New Roman" w:hAnsi="Times New Roman" w:cs="Times New Roman"/>
          <w:b/>
          <w:sz w:val="32"/>
          <w:szCs w:val="32"/>
        </w:rPr>
      </w:pPr>
      <w:r>
        <w:rPr>
          <w:rFonts w:ascii="Times New Roman" w:hAnsi="Times New Roman"/>
          <w:b/>
          <w:sz w:val="32"/>
        </w:rPr>
        <w:t xml:space="preserve">KOSOVO ENERGY STRATEGY IMPLEMENTATION PROGRAM (KESIP) </w:t>
      </w:r>
    </w:p>
    <w:p w14:paraId="6B2385D7" w14:textId="77777777" w:rsidR="00F85AA3" w:rsidRPr="00FC346A" w:rsidRDefault="00207235" w:rsidP="00207235">
      <w:pPr>
        <w:tabs>
          <w:tab w:val="left" w:pos="8820"/>
        </w:tabs>
        <w:rPr>
          <w:rFonts w:ascii="Times New Roman" w:hAnsi="Times New Roman" w:cs="Times New Roman"/>
          <w:b/>
          <w:sz w:val="32"/>
          <w:szCs w:val="32"/>
        </w:rPr>
      </w:pPr>
      <w:r>
        <w:rPr>
          <w:rFonts w:ascii="Times New Roman" w:hAnsi="Times New Roman"/>
          <w:b/>
          <w:sz w:val="32"/>
        </w:rPr>
        <w:t xml:space="preserve">                                  </w:t>
      </w:r>
      <w:r>
        <w:rPr>
          <w:rFonts w:ascii="Times New Roman" w:hAnsi="Times New Roman"/>
          <w:b/>
          <w:bCs/>
          <w:sz w:val="32"/>
        </w:rPr>
        <w:t>FOR THE PERIOD 2022 - 2025</w:t>
      </w:r>
    </w:p>
    <w:p w14:paraId="4CD27CB8" w14:textId="77777777" w:rsidR="00F85AA3" w:rsidRPr="00FC346A" w:rsidRDefault="00F85AA3" w:rsidP="00F85AA3">
      <w:pPr>
        <w:tabs>
          <w:tab w:val="left" w:pos="8820"/>
        </w:tabs>
        <w:jc w:val="center"/>
        <w:rPr>
          <w:rFonts w:ascii="Times New Roman" w:hAnsi="Times New Roman" w:cs="Times New Roman"/>
          <w:b/>
          <w:sz w:val="32"/>
          <w:szCs w:val="32"/>
        </w:rPr>
      </w:pPr>
    </w:p>
    <w:p w14:paraId="4207832C" w14:textId="77777777" w:rsidR="00F85AA3" w:rsidRPr="00FC346A" w:rsidRDefault="00F85AA3" w:rsidP="00F85AA3">
      <w:pPr>
        <w:tabs>
          <w:tab w:val="left" w:pos="8820"/>
        </w:tabs>
        <w:jc w:val="center"/>
        <w:rPr>
          <w:rFonts w:ascii="Times New Roman" w:hAnsi="Times New Roman" w:cs="Times New Roman"/>
          <w:b/>
          <w:sz w:val="32"/>
          <w:szCs w:val="32"/>
        </w:rPr>
      </w:pPr>
    </w:p>
    <w:p w14:paraId="35401124" w14:textId="77777777" w:rsidR="00C83635" w:rsidRDefault="00C83635" w:rsidP="004170F7">
      <w:pPr>
        <w:tabs>
          <w:tab w:val="left" w:pos="8820"/>
        </w:tabs>
        <w:rPr>
          <w:rFonts w:ascii="Times New Roman" w:hAnsi="Times New Roman" w:cs="Times New Roman"/>
          <w:b/>
          <w:sz w:val="32"/>
          <w:szCs w:val="32"/>
        </w:rPr>
      </w:pPr>
    </w:p>
    <w:p w14:paraId="75DE69F7" w14:textId="77777777" w:rsidR="004170F7" w:rsidRDefault="004170F7" w:rsidP="004170F7">
      <w:pPr>
        <w:tabs>
          <w:tab w:val="left" w:pos="8820"/>
        </w:tabs>
        <w:rPr>
          <w:rFonts w:ascii="Times New Roman" w:hAnsi="Times New Roman" w:cs="Times New Roman"/>
          <w:b/>
          <w:sz w:val="32"/>
          <w:szCs w:val="32"/>
        </w:rPr>
      </w:pPr>
    </w:p>
    <w:p w14:paraId="7F52063A" w14:textId="77777777" w:rsidR="00944124" w:rsidRDefault="00944124" w:rsidP="004170F7">
      <w:pPr>
        <w:tabs>
          <w:tab w:val="left" w:pos="8820"/>
        </w:tabs>
        <w:rPr>
          <w:rFonts w:ascii="Times New Roman" w:hAnsi="Times New Roman" w:cs="Times New Roman"/>
          <w:b/>
          <w:sz w:val="32"/>
          <w:szCs w:val="32"/>
        </w:rPr>
      </w:pPr>
    </w:p>
    <w:p w14:paraId="08C5C9FF" w14:textId="0176F693" w:rsidR="004170F7" w:rsidRPr="00944124" w:rsidRDefault="004170F7" w:rsidP="00944124">
      <w:pPr>
        <w:tabs>
          <w:tab w:val="left" w:pos="8820"/>
        </w:tabs>
        <w:rPr>
          <w:rFonts w:ascii="Times New Roman" w:hAnsi="Times New Roman" w:cs="Times New Roman"/>
          <w:b/>
          <w:sz w:val="24"/>
          <w:szCs w:val="24"/>
        </w:rPr>
      </w:pPr>
      <w:r>
        <w:rPr>
          <w:rFonts w:ascii="Times New Roman" w:hAnsi="Times New Roman"/>
          <w:b/>
          <w:sz w:val="24"/>
        </w:rPr>
        <w:t xml:space="preserve">                                                          Prishtina, April 2025</w:t>
      </w:r>
    </w:p>
    <w:p w14:paraId="26E2F6E8" w14:textId="77777777" w:rsidR="00615B6E" w:rsidRDefault="00615B6E" w:rsidP="00CF2633">
      <w:pPr>
        <w:pStyle w:val="TOC1"/>
        <w:tabs>
          <w:tab w:val="left" w:pos="440"/>
          <w:tab w:val="right" w:leader="dot" w:pos="9350"/>
        </w:tabs>
      </w:pPr>
    </w:p>
    <w:sdt>
      <w:sdtPr>
        <w:rPr>
          <w:rFonts w:asciiTheme="minorHAnsi" w:eastAsiaTheme="minorHAnsi" w:hAnsiTheme="minorHAnsi" w:cstheme="minorBidi"/>
          <w:b w:val="0"/>
          <w:color w:val="auto"/>
          <w:sz w:val="22"/>
          <w:szCs w:val="22"/>
        </w:rPr>
        <w:id w:val="1793164189"/>
        <w:docPartObj>
          <w:docPartGallery w:val="Table of Contents"/>
          <w:docPartUnique/>
        </w:docPartObj>
      </w:sdtPr>
      <w:sdtEndPr>
        <w:rPr>
          <w:bCs/>
          <w:noProof/>
        </w:rPr>
      </w:sdtEndPr>
      <w:sdtContent>
        <w:p w14:paraId="6C26EFC1" w14:textId="77777777" w:rsidR="001B19AE" w:rsidRPr="00FC346A" w:rsidRDefault="001B19AE">
          <w:pPr>
            <w:pStyle w:val="TOCHeading"/>
            <w:rPr>
              <w:rFonts w:ascii="Times New Roman" w:hAnsi="Times New Roman" w:cs="Times New Roman"/>
              <w:color w:val="auto"/>
            </w:rPr>
          </w:pPr>
          <w:r>
            <w:rPr>
              <w:rFonts w:ascii="Times New Roman" w:hAnsi="Times New Roman"/>
              <w:color w:val="auto"/>
            </w:rPr>
            <w:t>Contents</w:t>
          </w:r>
        </w:p>
        <w:p w14:paraId="2D14A975" w14:textId="2A7002F7" w:rsidR="008F2F6A" w:rsidRDefault="001B19AE">
          <w:pPr>
            <w:pStyle w:val="TOC1"/>
            <w:tabs>
              <w:tab w:val="left" w:pos="440"/>
              <w:tab w:val="right" w:leader="dot" w:pos="9350"/>
            </w:tabs>
            <w:rPr>
              <w:rFonts w:eastAsiaTheme="minorEastAsia"/>
              <w:noProof/>
            </w:rPr>
          </w:pPr>
          <w:r w:rsidRPr="00FC346A">
            <w:rPr>
              <w:rFonts w:ascii="Times New Roman" w:hAnsi="Times New Roman" w:cs="Times New Roman"/>
            </w:rPr>
            <w:fldChar w:fldCharType="begin"/>
          </w:r>
          <w:r w:rsidRPr="00FC346A">
            <w:rPr>
              <w:rFonts w:ascii="Times New Roman" w:hAnsi="Times New Roman" w:cs="Times New Roman"/>
            </w:rPr>
            <w:instrText xml:space="preserve"> TOC \o "1-3" \h \z \u </w:instrText>
          </w:r>
          <w:r w:rsidRPr="00FC346A">
            <w:rPr>
              <w:rFonts w:ascii="Times New Roman" w:hAnsi="Times New Roman" w:cs="Times New Roman"/>
            </w:rPr>
            <w:fldChar w:fldCharType="separate"/>
          </w:r>
          <w:hyperlink w:anchor="_Toc195271844" w:history="1">
            <w:r w:rsidR="008F2F6A" w:rsidRPr="00272157">
              <w:rPr>
                <w:rStyle w:val="Hyperlink"/>
                <w:noProof/>
              </w:rPr>
              <w:t>1</w:t>
            </w:r>
            <w:r w:rsidR="008F2F6A">
              <w:rPr>
                <w:rFonts w:eastAsiaTheme="minorEastAsia"/>
                <w:noProof/>
              </w:rPr>
              <w:tab/>
            </w:r>
            <w:r w:rsidR="008F2F6A" w:rsidRPr="00272157">
              <w:rPr>
                <w:rStyle w:val="Hyperlink"/>
                <w:noProof/>
              </w:rPr>
              <w:t>Abbreviations:</w:t>
            </w:r>
            <w:r w:rsidR="008F2F6A">
              <w:rPr>
                <w:noProof/>
                <w:webHidden/>
              </w:rPr>
              <w:tab/>
            </w:r>
            <w:r w:rsidR="008F2F6A">
              <w:rPr>
                <w:noProof/>
                <w:webHidden/>
              </w:rPr>
              <w:fldChar w:fldCharType="begin"/>
            </w:r>
            <w:r w:rsidR="008F2F6A">
              <w:rPr>
                <w:noProof/>
                <w:webHidden/>
              </w:rPr>
              <w:instrText xml:space="preserve"> PAGEREF _Toc195271844 \h </w:instrText>
            </w:r>
            <w:r w:rsidR="008F2F6A">
              <w:rPr>
                <w:noProof/>
                <w:webHidden/>
              </w:rPr>
            </w:r>
            <w:r w:rsidR="008F2F6A">
              <w:rPr>
                <w:noProof/>
                <w:webHidden/>
              </w:rPr>
              <w:fldChar w:fldCharType="separate"/>
            </w:r>
            <w:r w:rsidR="008F2F6A">
              <w:rPr>
                <w:noProof/>
                <w:webHidden/>
              </w:rPr>
              <w:t>3</w:t>
            </w:r>
            <w:r w:rsidR="008F2F6A">
              <w:rPr>
                <w:noProof/>
                <w:webHidden/>
              </w:rPr>
              <w:fldChar w:fldCharType="end"/>
            </w:r>
          </w:hyperlink>
        </w:p>
        <w:p w14:paraId="0CB5BA89" w14:textId="2F4FC26C" w:rsidR="008F2F6A" w:rsidRDefault="00AD7D07">
          <w:pPr>
            <w:pStyle w:val="TOC1"/>
            <w:tabs>
              <w:tab w:val="left" w:pos="440"/>
              <w:tab w:val="right" w:leader="dot" w:pos="9350"/>
            </w:tabs>
            <w:rPr>
              <w:rFonts w:eastAsiaTheme="minorEastAsia"/>
              <w:noProof/>
            </w:rPr>
          </w:pPr>
          <w:hyperlink w:anchor="_Toc195271845" w:history="1">
            <w:r w:rsidR="008F2F6A" w:rsidRPr="00272157">
              <w:rPr>
                <w:rStyle w:val="Hyperlink"/>
                <w:noProof/>
              </w:rPr>
              <w:t>2</w:t>
            </w:r>
            <w:r w:rsidR="008F2F6A">
              <w:rPr>
                <w:rFonts w:eastAsiaTheme="minorEastAsia"/>
                <w:noProof/>
              </w:rPr>
              <w:tab/>
            </w:r>
            <w:r w:rsidR="008F2F6A" w:rsidRPr="00272157">
              <w:rPr>
                <w:rStyle w:val="Hyperlink"/>
                <w:noProof/>
              </w:rPr>
              <w:t>EXECUTIVE SUMMARY</w:t>
            </w:r>
            <w:r w:rsidR="008F2F6A">
              <w:rPr>
                <w:noProof/>
                <w:webHidden/>
              </w:rPr>
              <w:tab/>
            </w:r>
            <w:r w:rsidR="008F2F6A">
              <w:rPr>
                <w:noProof/>
                <w:webHidden/>
              </w:rPr>
              <w:fldChar w:fldCharType="begin"/>
            </w:r>
            <w:r w:rsidR="008F2F6A">
              <w:rPr>
                <w:noProof/>
                <w:webHidden/>
              </w:rPr>
              <w:instrText xml:space="preserve"> PAGEREF _Toc195271845 \h </w:instrText>
            </w:r>
            <w:r w:rsidR="008F2F6A">
              <w:rPr>
                <w:noProof/>
                <w:webHidden/>
              </w:rPr>
            </w:r>
            <w:r w:rsidR="008F2F6A">
              <w:rPr>
                <w:noProof/>
                <w:webHidden/>
              </w:rPr>
              <w:fldChar w:fldCharType="separate"/>
            </w:r>
            <w:r w:rsidR="008F2F6A">
              <w:rPr>
                <w:noProof/>
                <w:webHidden/>
              </w:rPr>
              <w:t>4</w:t>
            </w:r>
            <w:r w:rsidR="008F2F6A">
              <w:rPr>
                <w:noProof/>
                <w:webHidden/>
              </w:rPr>
              <w:fldChar w:fldCharType="end"/>
            </w:r>
          </w:hyperlink>
        </w:p>
        <w:p w14:paraId="32C1C2C2" w14:textId="5C14BD21" w:rsidR="008F2F6A" w:rsidRDefault="00AD7D07">
          <w:pPr>
            <w:pStyle w:val="TOC1"/>
            <w:tabs>
              <w:tab w:val="left" w:pos="440"/>
              <w:tab w:val="right" w:leader="dot" w:pos="9350"/>
            </w:tabs>
            <w:rPr>
              <w:rFonts w:eastAsiaTheme="minorEastAsia"/>
              <w:noProof/>
            </w:rPr>
          </w:pPr>
          <w:hyperlink w:anchor="_Toc195271846" w:history="1">
            <w:r w:rsidR="008F2F6A" w:rsidRPr="00272157">
              <w:rPr>
                <w:rStyle w:val="Hyperlink"/>
                <w:noProof/>
              </w:rPr>
              <w:t>3</w:t>
            </w:r>
            <w:r w:rsidR="008F2F6A">
              <w:rPr>
                <w:rFonts w:eastAsiaTheme="minorEastAsia"/>
                <w:noProof/>
              </w:rPr>
              <w:tab/>
            </w:r>
            <w:r w:rsidR="008F2F6A" w:rsidRPr="00272157">
              <w:rPr>
                <w:rStyle w:val="Hyperlink"/>
                <w:noProof/>
              </w:rPr>
              <w:t>PROGRESS IN THE IMPLEMENTATION OF THE OBJECTIVES OF THE STRATEGIC DOCUMENTS</w:t>
            </w:r>
            <w:r w:rsidR="008F2F6A">
              <w:rPr>
                <w:noProof/>
                <w:webHidden/>
              </w:rPr>
              <w:tab/>
            </w:r>
            <w:r w:rsidR="008F2F6A">
              <w:rPr>
                <w:noProof/>
                <w:webHidden/>
              </w:rPr>
              <w:fldChar w:fldCharType="begin"/>
            </w:r>
            <w:r w:rsidR="008F2F6A">
              <w:rPr>
                <w:noProof/>
                <w:webHidden/>
              </w:rPr>
              <w:instrText xml:space="preserve"> PAGEREF _Toc195271846 \h </w:instrText>
            </w:r>
            <w:r w:rsidR="008F2F6A">
              <w:rPr>
                <w:noProof/>
                <w:webHidden/>
              </w:rPr>
            </w:r>
            <w:r w:rsidR="008F2F6A">
              <w:rPr>
                <w:noProof/>
                <w:webHidden/>
              </w:rPr>
              <w:fldChar w:fldCharType="separate"/>
            </w:r>
            <w:r w:rsidR="008F2F6A">
              <w:rPr>
                <w:noProof/>
                <w:webHidden/>
              </w:rPr>
              <w:t>7</w:t>
            </w:r>
            <w:r w:rsidR="008F2F6A">
              <w:rPr>
                <w:noProof/>
                <w:webHidden/>
              </w:rPr>
              <w:fldChar w:fldCharType="end"/>
            </w:r>
          </w:hyperlink>
        </w:p>
        <w:p w14:paraId="4E594DAA" w14:textId="058A79A9" w:rsidR="008F2F6A" w:rsidRDefault="00AD7D07">
          <w:pPr>
            <w:pStyle w:val="TOC1"/>
            <w:tabs>
              <w:tab w:val="left" w:pos="440"/>
              <w:tab w:val="right" w:leader="dot" w:pos="9350"/>
            </w:tabs>
            <w:rPr>
              <w:rFonts w:eastAsiaTheme="minorEastAsia"/>
              <w:noProof/>
            </w:rPr>
          </w:pPr>
          <w:hyperlink w:anchor="_Toc195271847" w:history="1">
            <w:r w:rsidR="008F2F6A" w:rsidRPr="00272157">
              <w:rPr>
                <w:rStyle w:val="Hyperlink"/>
                <w:noProof/>
              </w:rPr>
              <w:t>4</w:t>
            </w:r>
            <w:r w:rsidR="008F2F6A">
              <w:rPr>
                <w:rFonts w:eastAsiaTheme="minorEastAsia"/>
                <w:noProof/>
              </w:rPr>
              <w:tab/>
            </w:r>
            <w:r w:rsidR="008F2F6A" w:rsidRPr="00272157">
              <w:rPr>
                <w:rStyle w:val="Hyperlink"/>
                <w:noProof/>
              </w:rPr>
              <w:t>PROGRESS AGAINST THE OBJECTIVES</w:t>
            </w:r>
            <w:r w:rsidR="008F2F6A">
              <w:rPr>
                <w:noProof/>
                <w:webHidden/>
              </w:rPr>
              <w:tab/>
            </w:r>
            <w:r w:rsidR="008F2F6A">
              <w:rPr>
                <w:noProof/>
                <w:webHidden/>
              </w:rPr>
              <w:fldChar w:fldCharType="begin"/>
            </w:r>
            <w:r w:rsidR="008F2F6A">
              <w:rPr>
                <w:noProof/>
                <w:webHidden/>
              </w:rPr>
              <w:instrText xml:space="preserve"> PAGEREF _Toc195271847 \h </w:instrText>
            </w:r>
            <w:r w:rsidR="008F2F6A">
              <w:rPr>
                <w:noProof/>
                <w:webHidden/>
              </w:rPr>
            </w:r>
            <w:r w:rsidR="008F2F6A">
              <w:rPr>
                <w:noProof/>
                <w:webHidden/>
              </w:rPr>
              <w:fldChar w:fldCharType="separate"/>
            </w:r>
            <w:r w:rsidR="008F2F6A">
              <w:rPr>
                <w:noProof/>
                <w:webHidden/>
              </w:rPr>
              <w:t>7</w:t>
            </w:r>
            <w:r w:rsidR="008F2F6A">
              <w:rPr>
                <w:noProof/>
                <w:webHidden/>
              </w:rPr>
              <w:fldChar w:fldCharType="end"/>
            </w:r>
          </w:hyperlink>
        </w:p>
        <w:p w14:paraId="53054DA5" w14:textId="62FB6D79" w:rsidR="008F2F6A" w:rsidRDefault="00AD7D07">
          <w:pPr>
            <w:pStyle w:val="TOC1"/>
            <w:tabs>
              <w:tab w:val="left" w:pos="440"/>
              <w:tab w:val="right" w:leader="dot" w:pos="9350"/>
            </w:tabs>
            <w:rPr>
              <w:rFonts w:eastAsiaTheme="minorEastAsia"/>
              <w:noProof/>
            </w:rPr>
          </w:pPr>
          <w:hyperlink w:anchor="_Toc195271848" w:history="1">
            <w:r w:rsidR="008F2F6A" w:rsidRPr="00272157">
              <w:rPr>
                <w:rStyle w:val="Hyperlink"/>
                <w:noProof/>
              </w:rPr>
              <w:t>5</w:t>
            </w:r>
            <w:r w:rsidR="008F2F6A">
              <w:rPr>
                <w:rFonts w:eastAsiaTheme="minorEastAsia"/>
                <w:noProof/>
              </w:rPr>
              <w:tab/>
            </w:r>
            <w:r w:rsidR="008F2F6A" w:rsidRPr="00272157">
              <w:rPr>
                <w:rStyle w:val="Hyperlink"/>
                <w:noProof/>
              </w:rPr>
              <w:t>RISKS AND STEPS TO ADDRESS THEM</w:t>
            </w:r>
            <w:r w:rsidR="008F2F6A">
              <w:rPr>
                <w:noProof/>
                <w:webHidden/>
              </w:rPr>
              <w:tab/>
            </w:r>
            <w:r w:rsidR="008F2F6A">
              <w:rPr>
                <w:noProof/>
                <w:webHidden/>
              </w:rPr>
              <w:fldChar w:fldCharType="begin"/>
            </w:r>
            <w:r w:rsidR="008F2F6A">
              <w:rPr>
                <w:noProof/>
                <w:webHidden/>
              </w:rPr>
              <w:instrText xml:space="preserve"> PAGEREF _Toc195271848 \h </w:instrText>
            </w:r>
            <w:r w:rsidR="008F2F6A">
              <w:rPr>
                <w:noProof/>
                <w:webHidden/>
              </w:rPr>
            </w:r>
            <w:r w:rsidR="008F2F6A">
              <w:rPr>
                <w:noProof/>
                <w:webHidden/>
              </w:rPr>
              <w:fldChar w:fldCharType="separate"/>
            </w:r>
            <w:r w:rsidR="008F2F6A">
              <w:rPr>
                <w:noProof/>
                <w:webHidden/>
              </w:rPr>
              <w:t>9</w:t>
            </w:r>
            <w:r w:rsidR="008F2F6A">
              <w:rPr>
                <w:noProof/>
                <w:webHidden/>
              </w:rPr>
              <w:fldChar w:fldCharType="end"/>
            </w:r>
          </w:hyperlink>
        </w:p>
        <w:p w14:paraId="0D809972" w14:textId="457653A4" w:rsidR="008F2F6A" w:rsidRDefault="00AD7D07">
          <w:pPr>
            <w:pStyle w:val="TOC1"/>
            <w:tabs>
              <w:tab w:val="left" w:pos="440"/>
              <w:tab w:val="right" w:leader="dot" w:pos="9350"/>
            </w:tabs>
            <w:rPr>
              <w:rFonts w:eastAsiaTheme="minorEastAsia"/>
              <w:noProof/>
            </w:rPr>
          </w:pPr>
          <w:hyperlink w:anchor="_Toc195271849" w:history="1">
            <w:r w:rsidR="008F2F6A" w:rsidRPr="00272157">
              <w:rPr>
                <w:rStyle w:val="Hyperlink"/>
                <w:noProof/>
              </w:rPr>
              <w:t>6</w:t>
            </w:r>
            <w:r w:rsidR="008F2F6A">
              <w:rPr>
                <w:rFonts w:eastAsiaTheme="minorEastAsia"/>
                <w:noProof/>
              </w:rPr>
              <w:tab/>
            </w:r>
            <w:r w:rsidR="008F2F6A" w:rsidRPr="00272157">
              <w:rPr>
                <w:rStyle w:val="Hyperlink"/>
                <w:noProof/>
              </w:rPr>
              <w:t>ANNEX - PROGRESS REPORT MATRIX FOR 2024</w:t>
            </w:r>
            <w:r w:rsidR="008F2F6A">
              <w:rPr>
                <w:noProof/>
                <w:webHidden/>
              </w:rPr>
              <w:tab/>
            </w:r>
            <w:r w:rsidR="008F2F6A">
              <w:rPr>
                <w:noProof/>
                <w:webHidden/>
              </w:rPr>
              <w:fldChar w:fldCharType="begin"/>
            </w:r>
            <w:r w:rsidR="008F2F6A">
              <w:rPr>
                <w:noProof/>
                <w:webHidden/>
              </w:rPr>
              <w:instrText xml:space="preserve"> PAGEREF _Toc195271849 \h </w:instrText>
            </w:r>
            <w:r w:rsidR="008F2F6A">
              <w:rPr>
                <w:noProof/>
                <w:webHidden/>
              </w:rPr>
            </w:r>
            <w:r w:rsidR="008F2F6A">
              <w:rPr>
                <w:noProof/>
                <w:webHidden/>
              </w:rPr>
              <w:fldChar w:fldCharType="separate"/>
            </w:r>
            <w:r w:rsidR="008F2F6A">
              <w:rPr>
                <w:noProof/>
                <w:webHidden/>
              </w:rPr>
              <w:t>12</w:t>
            </w:r>
            <w:r w:rsidR="008F2F6A">
              <w:rPr>
                <w:noProof/>
                <w:webHidden/>
              </w:rPr>
              <w:fldChar w:fldCharType="end"/>
            </w:r>
          </w:hyperlink>
        </w:p>
        <w:p w14:paraId="2EBC3B8B" w14:textId="3CD9D368" w:rsidR="001B19AE" w:rsidRDefault="001B19AE">
          <w:r w:rsidRPr="00FC346A">
            <w:rPr>
              <w:rFonts w:ascii="Times New Roman" w:hAnsi="Times New Roman" w:cs="Times New Roman"/>
              <w:b/>
            </w:rPr>
            <w:fldChar w:fldCharType="end"/>
          </w:r>
        </w:p>
      </w:sdtContent>
    </w:sdt>
    <w:p w14:paraId="06451F70" w14:textId="77777777" w:rsidR="00C83635" w:rsidRPr="004170F7" w:rsidRDefault="00C83635" w:rsidP="00615B6E">
      <w:pPr>
        <w:pStyle w:val="ListParagraph"/>
        <w:spacing w:before="120" w:after="120"/>
        <w:ind w:left="1080"/>
        <w:rPr>
          <w:rFonts w:ascii="Times New Roman" w:hAnsi="Times New Roman" w:cs="Times New Roman"/>
          <w:b/>
          <w:sz w:val="24"/>
          <w:szCs w:val="24"/>
        </w:rPr>
      </w:pPr>
    </w:p>
    <w:p w14:paraId="24D3BA4B" w14:textId="77777777" w:rsidR="00990BEE" w:rsidRPr="004170F7" w:rsidRDefault="00990BEE">
      <w:pPr>
        <w:rPr>
          <w:rFonts w:ascii="Times New Roman" w:hAnsi="Times New Roman" w:cs="Times New Roman"/>
          <w:sz w:val="24"/>
          <w:szCs w:val="24"/>
        </w:rPr>
      </w:pPr>
    </w:p>
    <w:p w14:paraId="699EA855" w14:textId="77777777" w:rsidR="00C83635" w:rsidRDefault="00C83635"/>
    <w:p w14:paraId="06ACC3F6" w14:textId="77777777" w:rsidR="00C83635" w:rsidRDefault="00C83635"/>
    <w:p w14:paraId="2CE66A3E" w14:textId="77777777" w:rsidR="00C83635" w:rsidRDefault="00C83635"/>
    <w:p w14:paraId="1E869701" w14:textId="77777777" w:rsidR="00C83635" w:rsidRDefault="00C83635"/>
    <w:p w14:paraId="2C5BC9F8" w14:textId="77777777" w:rsidR="00C83635" w:rsidRDefault="00C83635"/>
    <w:p w14:paraId="5860094E" w14:textId="77777777" w:rsidR="00C83635" w:rsidRDefault="00C83635"/>
    <w:p w14:paraId="7751E9D9" w14:textId="77777777" w:rsidR="00C83635" w:rsidRDefault="00C83635"/>
    <w:p w14:paraId="1C8514FB" w14:textId="77777777" w:rsidR="00C83635" w:rsidRDefault="00C83635"/>
    <w:p w14:paraId="3882B16F" w14:textId="77777777" w:rsidR="00F73DD4" w:rsidRDefault="00F73DD4"/>
    <w:p w14:paraId="08DDB769" w14:textId="77777777" w:rsidR="00F73DD4" w:rsidRDefault="00F73DD4"/>
    <w:p w14:paraId="3CD1E095" w14:textId="77777777" w:rsidR="00F73DD4" w:rsidRDefault="00F73DD4"/>
    <w:p w14:paraId="5AA178C3" w14:textId="77777777" w:rsidR="00C83635" w:rsidRDefault="00C83635"/>
    <w:p w14:paraId="7FA2B95C" w14:textId="77777777" w:rsidR="00C83635" w:rsidRDefault="00C83635"/>
    <w:p w14:paraId="20AE0D8A" w14:textId="77777777" w:rsidR="001023D9" w:rsidRDefault="001023D9"/>
    <w:p w14:paraId="504A1836" w14:textId="77777777" w:rsidR="00C83635" w:rsidRDefault="00C83635"/>
    <w:p w14:paraId="458FA87B" w14:textId="77777777" w:rsidR="00C83635" w:rsidRDefault="00C83635"/>
    <w:p w14:paraId="333F60DC" w14:textId="77777777" w:rsidR="00965BC5" w:rsidRDefault="00965BC5"/>
    <w:p w14:paraId="21739A29" w14:textId="77777777" w:rsidR="00C83635" w:rsidRDefault="00C83635"/>
    <w:p w14:paraId="6AEDE03F" w14:textId="77777777" w:rsidR="00C83635" w:rsidRPr="00FC346A" w:rsidRDefault="00C810EF" w:rsidP="00BD675F">
      <w:pPr>
        <w:pStyle w:val="Heading1"/>
        <w:jc w:val="left"/>
      </w:pPr>
      <w:bookmarkStart w:id="1" w:name="_Toc174005216"/>
      <w:bookmarkStart w:id="2" w:name="_Toc195271844"/>
      <w:r>
        <w:lastRenderedPageBreak/>
        <w:t>Abbreviations:</w:t>
      </w:r>
      <w:bookmarkEnd w:id="1"/>
      <w:bookmarkEnd w:id="2"/>
    </w:p>
    <w:tbl>
      <w:tblPr>
        <w:tblpPr w:leftFromText="180" w:rightFromText="180" w:vertAnchor="text"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7440"/>
      </w:tblGrid>
      <w:tr w:rsidR="005C14B5" w:rsidRPr="00FC346A" w14:paraId="364AA268" w14:textId="77777777" w:rsidTr="00E07D7A">
        <w:trPr>
          <w:trHeight w:val="20"/>
        </w:trPr>
        <w:tc>
          <w:tcPr>
            <w:tcW w:w="1825" w:type="dxa"/>
          </w:tcPr>
          <w:p w14:paraId="42C0CA6C"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EU</w:t>
            </w:r>
          </w:p>
        </w:tc>
        <w:tc>
          <w:tcPr>
            <w:tcW w:w="7440" w:type="dxa"/>
            <w:vAlign w:val="center"/>
          </w:tcPr>
          <w:p w14:paraId="79225CAF"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 xml:space="preserve">European Union </w:t>
            </w:r>
          </w:p>
        </w:tc>
      </w:tr>
      <w:tr w:rsidR="005C14B5" w:rsidRPr="00FC346A" w14:paraId="764DAB24" w14:textId="77777777" w:rsidTr="00E07D7A">
        <w:trPr>
          <w:trHeight w:val="20"/>
        </w:trPr>
        <w:tc>
          <w:tcPr>
            <w:tcW w:w="1825" w:type="dxa"/>
          </w:tcPr>
          <w:p w14:paraId="68453AEF"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RES</w:t>
            </w:r>
          </w:p>
        </w:tc>
        <w:tc>
          <w:tcPr>
            <w:tcW w:w="7440" w:type="dxa"/>
            <w:vAlign w:val="center"/>
          </w:tcPr>
          <w:p w14:paraId="42F2C3C8"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Renewable Energy Sources</w:t>
            </w:r>
          </w:p>
        </w:tc>
      </w:tr>
      <w:tr w:rsidR="005C14B5" w:rsidRPr="00FC346A" w14:paraId="4258A78B" w14:textId="77777777" w:rsidTr="00E07D7A">
        <w:trPr>
          <w:trHeight w:val="20"/>
        </w:trPr>
        <w:tc>
          <w:tcPr>
            <w:tcW w:w="1825" w:type="dxa"/>
          </w:tcPr>
          <w:p w14:paraId="1CAB7BF7"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RES-E</w:t>
            </w:r>
          </w:p>
        </w:tc>
        <w:tc>
          <w:tcPr>
            <w:tcW w:w="7440" w:type="dxa"/>
            <w:vAlign w:val="center"/>
          </w:tcPr>
          <w:p w14:paraId="79BF7E2E" w14:textId="77777777" w:rsidR="005C14B5" w:rsidRPr="00FC346A" w:rsidRDefault="005C14B5" w:rsidP="00E07D7A">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hd w:val="clear" w:color="auto" w:fill="FFFFFF"/>
              </w:rPr>
              <w:t>Electricity generated from renewable sources</w:t>
            </w:r>
          </w:p>
        </w:tc>
      </w:tr>
      <w:tr w:rsidR="005C14B5" w:rsidRPr="00FC346A" w14:paraId="06701CD5" w14:textId="77777777" w:rsidTr="00E07D7A">
        <w:trPr>
          <w:trHeight w:val="20"/>
        </w:trPr>
        <w:tc>
          <w:tcPr>
            <w:tcW w:w="1825" w:type="dxa"/>
          </w:tcPr>
          <w:p w14:paraId="5E204AA6"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CERT</w:t>
            </w:r>
          </w:p>
        </w:tc>
        <w:tc>
          <w:tcPr>
            <w:tcW w:w="7440" w:type="dxa"/>
            <w:vAlign w:val="center"/>
          </w:tcPr>
          <w:p w14:paraId="17DCA344"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r>
              <w:rPr>
                <w:rFonts w:ascii="Times New Roman" w:hAnsi="Times New Roman"/>
                <w:sz w:val="24"/>
              </w:rPr>
              <w:t>Community Emergency Response Team</w:t>
            </w:r>
          </w:p>
        </w:tc>
      </w:tr>
      <w:tr w:rsidR="005C14B5" w:rsidRPr="00FC346A" w14:paraId="631297F5" w14:textId="77777777" w:rsidTr="00E07D7A">
        <w:trPr>
          <w:trHeight w:val="20"/>
        </w:trPr>
        <w:tc>
          <w:tcPr>
            <w:tcW w:w="1825" w:type="dxa"/>
          </w:tcPr>
          <w:p w14:paraId="160EC28A"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CO</w:t>
            </w:r>
            <w:bookmarkStart w:id="3" w:name="_Hlk194521777"/>
            <w:r>
              <w:rPr>
                <w:rFonts w:ascii="Times New Roman" w:hAnsi="Times New Roman"/>
                <w:sz w:val="24"/>
                <w:vertAlign w:val="subscript"/>
              </w:rPr>
              <w:t>2</w:t>
            </w:r>
            <w:bookmarkEnd w:id="3"/>
          </w:p>
        </w:tc>
        <w:tc>
          <w:tcPr>
            <w:tcW w:w="7440" w:type="dxa"/>
            <w:vAlign w:val="center"/>
          </w:tcPr>
          <w:p w14:paraId="4F49F396"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Carbon Dioxide</w:t>
            </w:r>
          </w:p>
        </w:tc>
      </w:tr>
      <w:tr w:rsidR="005C14B5" w:rsidRPr="00FC346A" w14:paraId="3D899323" w14:textId="77777777" w:rsidTr="00E07D7A">
        <w:trPr>
          <w:trHeight w:val="20"/>
        </w:trPr>
        <w:tc>
          <w:tcPr>
            <w:tcW w:w="1825" w:type="dxa"/>
          </w:tcPr>
          <w:p w14:paraId="5B5C835E" w14:textId="77777777" w:rsidR="005C14B5" w:rsidRPr="00FC346A" w:rsidRDefault="005C14B5" w:rsidP="00E07D7A">
            <w:pPr>
              <w:tabs>
                <w:tab w:val="left" w:pos="1591"/>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EE</w:t>
            </w:r>
          </w:p>
        </w:tc>
        <w:tc>
          <w:tcPr>
            <w:tcW w:w="7440" w:type="dxa"/>
            <w:vAlign w:val="center"/>
          </w:tcPr>
          <w:p w14:paraId="0728A689"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Energy Efficiency</w:t>
            </w:r>
          </w:p>
        </w:tc>
      </w:tr>
      <w:tr w:rsidR="005C14B5" w:rsidRPr="00FC346A" w14:paraId="435C7C99" w14:textId="77777777" w:rsidTr="00E07D7A">
        <w:trPr>
          <w:trHeight w:val="20"/>
        </w:trPr>
        <w:tc>
          <w:tcPr>
            <w:tcW w:w="1825" w:type="dxa"/>
          </w:tcPr>
          <w:p w14:paraId="61DE767C" w14:textId="77777777" w:rsidR="005C14B5" w:rsidRPr="00FC346A" w:rsidRDefault="005C14B5" w:rsidP="00E07D7A">
            <w:pPr>
              <w:tabs>
                <w:tab w:val="left" w:pos="1591"/>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rPr>
              <w:t>ESCO</w:t>
            </w:r>
          </w:p>
        </w:tc>
        <w:tc>
          <w:tcPr>
            <w:tcW w:w="7440" w:type="dxa"/>
            <w:vAlign w:val="center"/>
          </w:tcPr>
          <w:p w14:paraId="2E746BE8" w14:textId="77777777" w:rsidR="005C14B5" w:rsidRPr="00FC346A" w:rsidRDefault="005C14B5" w:rsidP="00E07D7A">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hd w:val="clear" w:color="auto" w:fill="FFFFFF"/>
              </w:rPr>
              <w:t>Energy Service Company</w:t>
            </w:r>
          </w:p>
        </w:tc>
      </w:tr>
      <w:tr w:rsidR="005C14B5" w:rsidRPr="00FC346A" w14:paraId="6632B3C9" w14:textId="77777777" w:rsidTr="00E07D7A">
        <w:trPr>
          <w:trHeight w:val="20"/>
        </w:trPr>
        <w:tc>
          <w:tcPr>
            <w:tcW w:w="1825" w:type="dxa"/>
          </w:tcPr>
          <w:p w14:paraId="4E24C0D7"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ESIA</w:t>
            </w:r>
          </w:p>
        </w:tc>
        <w:tc>
          <w:tcPr>
            <w:tcW w:w="7440" w:type="dxa"/>
            <w:vAlign w:val="center"/>
          </w:tcPr>
          <w:p w14:paraId="7306C7FA"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001233"/>
              </w:rPr>
            </w:pPr>
            <w:r>
              <w:rPr>
                <w:rFonts w:ascii="Times New Roman" w:hAnsi="Times New Roman"/>
                <w:sz w:val="24"/>
              </w:rPr>
              <w:t>Environmental and Social Impact Assessment</w:t>
            </w:r>
          </w:p>
        </w:tc>
      </w:tr>
      <w:tr w:rsidR="005C14B5" w:rsidRPr="00FC346A" w14:paraId="2B549915" w14:textId="77777777" w:rsidTr="00E07D7A">
        <w:trPr>
          <w:trHeight w:val="20"/>
        </w:trPr>
        <w:tc>
          <w:tcPr>
            <w:tcW w:w="1825" w:type="dxa"/>
          </w:tcPr>
          <w:p w14:paraId="42280A80" w14:textId="77777777" w:rsidR="005C14B5" w:rsidRPr="00FC346A" w:rsidRDefault="005C14B5" w:rsidP="00E07D7A">
            <w:pPr>
              <w:tabs>
                <w:tab w:val="left" w:pos="8820"/>
              </w:tabs>
              <w:spacing w:after="0"/>
              <w:jc w:val="both"/>
              <w:rPr>
                <w:rFonts w:ascii="Times New Roman" w:hAnsi="Times New Roman" w:cs="Times New Roman"/>
                <w:sz w:val="24"/>
                <w:szCs w:val="24"/>
              </w:rPr>
            </w:pPr>
            <w:r>
              <w:rPr>
                <w:rFonts w:ascii="Times New Roman" w:hAnsi="Times New Roman"/>
                <w:sz w:val="24"/>
              </w:rPr>
              <w:t>IMES</w:t>
            </w:r>
          </w:p>
        </w:tc>
        <w:tc>
          <w:tcPr>
            <w:tcW w:w="7440" w:type="dxa"/>
          </w:tcPr>
          <w:p w14:paraId="15279A3B" w14:textId="77777777" w:rsidR="005C14B5" w:rsidRPr="00FC346A" w:rsidRDefault="005C14B5" w:rsidP="00E07D7A">
            <w:pPr>
              <w:tabs>
                <w:tab w:val="left" w:pos="8820"/>
              </w:tabs>
              <w:spacing w:after="0"/>
              <w:jc w:val="both"/>
              <w:rPr>
                <w:rFonts w:ascii="Times New Roman" w:hAnsi="Times New Roman" w:cs="Times New Roman"/>
                <w:sz w:val="24"/>
                <w:szCs w:val="24"/>
              </w:rPr>
            </w:pPr>
            <w:r>
              <w:rPr>
                <w:rFonts w:ascii="Times New Roman" w:hAnsi="Times New Roman"/>
                <w:sz w:val="24"/>
              </w:rPr>
              <w:t>Implementation Program of the Energy Strategy</w:t>
            </w:r>
          </w:p>
        </w:tc>
      </w:tr>
      <w:tr w:rsidR="005C14B5" w:rsidRPr="00FC346A" w14:paraId="688A8064" w14:textId="77777777" w:rsidTr="00E07D7A">
        <w:trPr>
          <w:trHeight w:val="20"/>
        </w:trPr>
        <w:tc>
          <w:tcPr>
            <w:tcW w:w="1825" w:type="dxa"/>
          </w:tcPr>
          <w:p w14:paraId="678197B0" w14:textId="77777777" w:rsidR="005C14B5" w:rsidRPr="00FC346A" w:rsidRDefault="005C14B5" w:rsidP="00E07D7A">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rPr>
              <w:t>KEEF</w:t>
            </w:r>
          </w:p>
        </w:tc>
        <w:tc>
          <w:tcPr>
            <w:tcW w:w="7440" w:type="dxa"/>
            <w:vAlign w:val="center"/>
          </w:tcPr>
          <w:p w14:paraId="71A52BB4" w14:textId="77777777" w:rsidR="005C14B5" w:rsidRPr="00FC346A" w:rsidRDefault="005C14B5" w:rsidP="00E07D7A">
            <w:pPr>
              <w:tabs>
                <w:tab w:val="left" w:pos="8820"/>
              </w:tabs>
              <w:spacing w:after="0" w:line="240" w:lineRule="auto"/>
              <w:jc w:val="both"/>
              <w:rPr>
                <w:rFonts w:ascii="Times New Roman" w:eastAsia="MingLiU-ExtB" w:hAnsi="Times New Roman" w:cs="Times New Roman"/>
                <w:sz w:val="24"/>
                <w:szCs w:val="24"/>
              </w:rPr>
            </w:pPr>
            <w:r>
              <w:rPr>
                <w:rFonts w:ascii="Times New Roman" w:hAnsi="Times New Roman"/>
                <w:sz w:val="24"/>
              </w:rPr>
              <w:t>Kosovo Efficient Energy Fund</w:t>
            </w:r>
          </w:p>
        </w:tc>
      </w:tr>
      <w:tr w:rsidR="005C14B5" w:rsidRPr="00FC346A" w14:paraId="6417C513" w14:textId="77777777" w:rsidTr="00E07D7A">
        <w:trPr>
          <w:trHeight w:val="20"/>
        </w:trPr>
        <w:tc>
          <w:tcPr>
            <w:tcW w:w="1825" w:type="dxa"/>
          </w:tcPr>
          <w:p w14:paraId="246C5AAA"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GG</w:t>
            </w:r>
          </w:p>
        </w:tc>
        <w:tc>
          <w:tcPr>
            <w:tcW w:w="7440" w:type="dxa"/>
            <w:vAlign w:val="center"/>
          </w:tcPr>
          <w:p w14:paraId="6BDEF988" w14:textId="59206EEF" w:rsidR="005C14B5" w:rsidRPr="00FC346A" w:rsidRDefault="005C14B5" w:rsidP="00E07D7A">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hd w:val="clear" w:color="auto" w:fill="FFFFFF"/>
              </w:rPr>
              <w:t>Greenhouse Gas</w:t>
            </w:r>
          </w:p>
        </w:tc>
      </w:tr>
      <w:tr w:rsidR="005C14B5" w:rsidRPr="00FC346A" w14:paraId="07676718" w14:textId="77777777" w:rsidTr="00E07D7A">
        <w:trPr>
          <w:trHeight w:val="20"/>
        </w:trPr>
        <w:tc>
          <w:tcPr>
            <w:tcW w:w="1825" w:type="dxa"/>
          </w:tcPr>
          <w:p w14:paraId="7EF04EAD"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IPF9</w:t>
            </w:r>
          </w:p>
        </w:tc>
        <w:tc>
          <w:tcPr>
            <w:tcW w:w="7440" w:type="dxa"/>
            <w:vAlign w:val="center"/>
          </w:tcPr>
          <w:p w14:paraId="64074ED0"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Infrastructure Project Facility - Technical Assistance 9</w:t>
            </w:r>
          </w:p>
        </w:tc>
      </w:tr>
      <w:tr w:rsidR="005C14B5" w:rsidRPr="00FC346A" w14:paraId="67005C3E" w14:textId="77777777" w:rsidTr="00E07D7A">
        <w:trPr>
          <w:trHeight w:val="20"/>
        </w:trPr>
        <w:tc>
          <w:tcPr>
            <w:tcW w:w="1825" w:type="dxa"/>
          </w:tcPr>
          <w:p w14:paraId="24EABBEB"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r>
              <w:rPr>
                <w:rFonts w:ascii="Times New Roman" w:hAnsi="Times New Roman"/>
                <w:sz w:val="24"/>
              </w:rPr>
              <w:t>KEDS</w:t>
            </w:r>
          </w:p>
        </w:tc>
        <w:tc>
          <w:tcPr>
            <w:tcW w:w="7440" w:type="dxa"/>
            <w:vAlign w:val="center"/>
          </w:tcPr>
          <w:p w14:paraId="5C37E2B0" w14:textId="77777777" w:rsidR="005C14B5" w:rsidRPr="0014539F" w:rsidRDefault="005C14B5" w:rsidP="00E07D7A">
            <w:pPr>
              <w:tabs>
                <w:tab w:val="left" w:pos="8820"/>
              </w:tabs>
              <w:spacing w:after="0"/>
              <w:jc w:val="both"/>
              <w:rPr>
                <w:rFonts w:ascii="Times New Roman" w:eastAsia="Times New Roman" w:hAnsi="Times New Roman" w:cs="Times New Roman"/>
                <w:sz w:val="24"/>
                <w:szCs w:val="24"/>
              </w:rPr>
            </w:pPr>
            <w:r>
              <w:rPr>
                <w:rFonts w:ascii="Times New Roman" w:hAnsi="Times New Roman"/>
                <w:sz w:val="24"/>
                <w:shd w:val="clear" w:color="auto" w:fill="FFFFFF"/>
              </w:rPr>
              <w:t>Kosovo Electricity Distribution Company</w:t>
            </w:r>
          </w:p>
        </w:tc>
      </w:tr>
      <w:tr w:rsidR="005C14B5" w:rsidRPr="00FC346A" w14:paraId="7056BD66" w14:textId="77777777" w:rsidTr="00E07D7A">
        <w:trPr>
          <w:trHeight w:val="20"/>
        </w:trPr>
        <w:tc>
          <w:tcPr>
            <w:tcW w:w="1825" w:type="dxa"/>
          </w:tcPr>
          <w:p w14:paraId="13DF9C5B"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r>
              <w:rPr>
                <w:rFonts w:ascii="Times New Roman" w:hAnsi="Times New Roman"/>
                <w:sz w:val="24"/>
              </w:rPr>
              <w:t>KEK</w:t>
            </w:r>
          </w:p>
        </w:tc>
        <w:tc>
          <w:tcPr>
            <w:tcW w:w="7440" w:type="dxa"/>
          </w:tcPr>
          <w:p w14:paraId="047DFCC5" w14:textId="77777777" w:rsidR="005C14B5" w:rsidRPr="00FC346A" w:rsidRDefault="005C14B5" w:rsidP="00E07D7A">
            <w:pPr>
              <w:tabs>
                <w:tab w:val="left" w:pos="8820"/>
              </w:tabs>
              <w:spacing w:after="0"/>
              <w:jc w:val="both"/>
              <w:rPr>
                <w:rFonts w:ascii="Times New Roman" w:hAnsi="Times New Roman" w:cs="Times New Roman"/>
                <w:sz w:val="24"/>
                <w:szCs w:val="24"/>
              </w:rPr>
            </w:pPr>
            <w:r>
              <w:rPr>
                <w:rFonts w:ascii="Times New Roman" w:hAnsi="Times New Roman"/>
                <w:sz w:val="24"/>
              </w:rPr>
              <w:t>Kosovo Energy Corporation</w:t>
            </w:r>
          </w:p>
        </w:tc>
      </w:tr>
      <w:tr w:rsidR="005C14B5" w:rsidRPr="00FC346A" w14:paraId="6D78B821" w14:textId="77777777" w:rsidTr="00E07D7A">
        <w:trPr>
          <w:trHeight w:val="20"/>
        </w:trPr>
        <w:tc>
          <w:tcPr>
            <w:tcW w:w="1825" w:type="dxa"/>
          </w:tcPr>
          <w:p w14:paraId="4AACD5DC"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proofErr w:type="spellStart"/>
            <w:r>
              <w:rPr>
                <w:rFonts w:ascii="Times New Roman" w:hAnsi="Times New Roman"/>
                <w:sz w:val="24"/>
              </w:rPr>
              <w:t>KfW</w:t>
            </w:r>
            <w:proofErr w:type="spellEnd"/>
          </w:p>
        </w:tc>
        <w:tc>
          <w:tcPr>
            <w:tcW w:w="7440" w:type="dxa"/>
            <w:vAlign w:val="center"/>
          </w:tcPr>
          <w:p w14:paraId="639530A9" w14:textId="77777777" w:rsidR="005C14B5" w:rsidRPr="0014539F" w:rsidRDefault="005C14B5" w:rsidP="00E07D7A">
            <w:pPr>
              <w:tabs>
                <w:tab w:val="left" w:pos="8820"/>
              </w:tabs>
              <w:spacing w:after="0" w:line="240" w:lineRule="auto"/>
              <w:jc w:val="both"/>
              <w:rPr>
                <w:rFonts w:ascii="Times New Roman" w:eastAsia="Times New Roman" w:hAnsi="Times New Roman" w:cs="Times New Roman"/>
                <w:sz w:val="24"/>
                <w:szCs w:val="24"/>
              </w:rPr>
            </w:pPr>
            <w:r>
              <w:rPr>
                <w:rFonts w:ascii="Times New Roman" w:hAnsi="Times New Roman"/>
                <w:sz w:val="24"/>
              </w:rPr>
              <w:t>Reconstruction Credit Institute</w:t>
            </w:r>
          </w:p>
        </w:tc>
      </w:tr>
      <w:tr w:rsidR="005C14B5" w:rsidRPr="00FC346A" w14:paraId="3CDA8670" w14:textId="77777777" w:rsidTr="00E07D7A">
        <w:trPr>
          <w:trHeight w:val="20"/>
        </w:trPr>
        <w:tc>
          <w:tcPr>
            <w:tcW w:w="1825" w:type="dxa"/>
            <w:vAlign w:val="center"/>
          </w:tcPr>
          <w:p w14:paraId="4B3CCA0A" w14:textId="77777777" w:rsidR="005C14B5" w:rsidRPr="00FC346A" w:rsidRDefault="005C14B5" w:rsidP="00E07D7A">
            <w:pPr>
              <w:tabs>
                <w:tab w:val="left" w:pos="8820"/>
              </w:tabs>
              <w:spacing w:after="0"/>
              <w:rPr>
                <w:rFonts w:ascii="Times New Roman" w:hAnsi="Times New Roman" w:cs="Times New Roman"/>
                <w:sz w:val="24"/>
                <w:szCs w:val="24"/>
              </w:rPr>
            </w:pPr>
            <w:r>
              <w:rPr>
                <w:rFonts w:ascii="Times New Roman" w:hAnsi="Times New Roman"/>
                <w:sz w:val="24"/>
              </w:rPr>
              <w:t>KOSTT</w:t>
            </w:r>
          </w:p>
        </w:tc>
        <w:tc>
          <w:tcPr>
            <w:tcW w:w="7440" w:type="dxa"/>
          </w:tcPr>
          <w:p w14:paraId="761FCBCE" w14:textId="77777777" w:rsidR="005C14B5" w:rsidRPr="00FC346A" w:rsidRDefault="005C14B5" w:rsidP="00E07D7A">
            <w:pPr>
              <w:tabs>
                <w:tab w:val="left" w:pos="8820"/>
              </w:tabs>
              <w:spacing w:after="0"/>
              <w:jc w:val="both"/>
              <w:rPr>
                <w:rFonts w:ascii="Times New Roman" w:hAnsi="Times New Roman" w:cs="Times New Roman"/>
                <w:sz w:val="24"/>
                <w:szCs w:val="24"/>
              </w:rPr>
            </w:pPr>
            <w:r>
              <w:rPr>
                <w:rFonts w:ascii="Times New Roman" w:hAnsi="Times New Roman"/>
                <w:sz w:val="24"/>
              </w:rPr>
              <w:t>Kosovo Transmission System and Market Operator</w:t>
            </w:r>
          </w:p>
        </w:tc>
      </w:tr>
      <w:tr w:rsidR="005C14B5" w:rsidRPr="00FC346A" w14:paraId="7D4171EC" w14:textId="77777777" w:rsidTr="00E07D7A">
        <w:trPr>
          <w:trHeight w:val="20"/>
        </w:trPr>
        <w:tc>
          <w:tcPr>
            <w:tcW w:w="1825" w:type="dxa"/>
          </w:tcPr>
          <w:p w14:paraId="2664400B" w14:textId="77777777" w:rsidR="005C14B5" w:rsidRPr="00FC346A" w:rsidRDefault="005C14B5" w:rsidP="00E07D7A">
            <w:pPr>
              <w:tabs>
                <w:tab w:val="left" w:pos="1591"/>
              </w:tabs>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sz w:val="24"/>
                <w:shd w:val="clear" w:color="auto" w:fill="FFFFFF"/>
              </w:rPr>
              <w:t>Ktoe</w:t>
            </w:r>
            <w:proofErr w:type="spellEnd"/>
          </w:p>
        </w:tc>
        <w:tc>
          <w:tcPr>
            <w:tcW w:w="7440" w:type="dxa"/>
            <w:vAlign w:val="center"/>
          </w:tcPr>
          <w:p w14:paraId="6EF9B92A"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rPr>
              <w:t>Kiloton of Oil Equivalent</w:t>
            </w:r>
          </w:p>
        </w:tc>
      </w:tr>
      <w:tr w:rsidR="005C14B5" w:rsidRPr="00FC346A" w14:paraId="4C877054" w14:textId="77777777" w:rsidTr="00E07D7A">
        <w:trPr>
          <w:trHeight w:val="20"/>
        </w:trPr>
        <w:tc>
          <w:tcPr>
            <w:tcW w:w="1825" w:type="dxa"/>
          </w:tcPr>
          <w:p w14:paraId="52BC59B4" w14:textId="77777777" w:rsidR="005C14B5" w:rsidRPr="00FC346A" w:rsidRDefault="005C14B5" w:rsidP="00E07D7A">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rPr>
              <w:t>MESTI</w:t>
            </w:r>
          </w:p>
        </w:tc>
        <w:tc>
          <w:tcPr>
            <w:tcW w:w="7440" w:type="dxa"/>
            <w:vAlign w:val="center"/>
          </w:tcPr>
          <w:p w14:paraId="1ECA28AE"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r>
              <w:rPr>
                <w:rFonts w:ascii="Times New Roman" w:hAnsi="Times New Roman"/>
                <w:sz w:val="24"/>
              </w:rPr>
              <w:t>Ministry of Education, Science, Technology and Innovation</w:t>
            </w:r>
          </w:p>
        </w:tc>
      </w:tr>
      <w:tr w:rsidR="005C14B5" w:rsidRPr="00FC346A" w14:paraId="6E33F014" w14:textId="77777777" w:rsidTr="00E07D7A">
        <w:trPr>
          <w:trHeight w:val="20"/>
        </w:trPr>
        <w:tc>
          <w:tcPr>
            <w:tcW w:w="1825" w:type="dxa"/>
          </w:tcPr>
          <w:p w14:paraId="02ED2D8C" w14:textId="77777777" w:rsidR="005C14B5" w:rsidRPr="00FC346A" w:rsidRDefault="005C14B5" w:rsidP="00E07D7A">
            <w:pPr>
              <w:tabs>
                <w:tab w:val="left" w:pos="1591"/>
              </w:tabs>
              <w:spacing w:after="0" w:line="240" w:lineRule="auto"/>
              <w:jc w:val="both"/>
              <w:rPr>
                <w:rFonts w:ascii="Times New Roman" w:eastAsia="MS Mincho" w:hAnsi="Times New Roman" w:cs="Times New Roman"/>
                <w:noProof/>
                <w:sz w:val="24"/>
                <w:szCs w:val="24"/>
              </w:rPr>
            </w:pPr>
            <w:r>
              <w:rPr>
                <w:rFonts w:ascii="Times New Roman" w:hAnsi="Times New Roman"/>
                <w:sz w:val="24"/>
              </w:rPr>
              <w:t>MCAK</w:t>
            </w:r>
          </w:p>
        </w:tc>
        <w:tc>
          <w:tcPr>
            <w:tcW w:w="7440" w:type="dxa"/>
            <w:vAlign w:val="center"/>
          </w:tcPr>
          <w:p w14:paraId="5FF8FDF8" w14:textId="77777777" w:rsidR="005C14B5" w:rsidRPr="00FC346A" w:rsidRDefault="005C14B5" w:rsidP="00E07D7A">
            <w:pPr>
              <w:tabs>
                <w:tab w:val="left" w:pos="8820"/>
              </w:tabs>
              <w:spacing w:after="0" w:line="240" w:lineRule="auto"/>
              <w:jc w:val="both"/>
              <w:rPr>
                <w:rFonts w:ascii="Times New Roman" w:eastAsia="MS Mincho" w:hAnsi="Times New Roman" w:cs="Times New Roman"/>
                <w:noProof/>
                <w:sz w:val="24"/>
                <w:szCs w:val="24"/>
                <w:highlight w:val="yellow"/>
              </w:rPr>
            </w:pPr>
            <w:r>
              <w:rPr>
                <w:rFonts w:ascii="Times New Roman" w:hAnsi="Times New Roman"/>
                <w:sz w:val="24"/>
              </w:rPr>
              <w:t>Millennium Challenge Account-Kosovo</w:t>
            </w:r>
          </w:p>
        </w:tc>
      </w:tr>
      <w:tr w:rsidR="005C14B5" w:rsidRPr="00FC346A" w14:paraId="54419916" w14:textId="77777777" w:rsidTr="00E07D7A">
        <w:trPr>
          <w:trHeight w:val="20"/>
        </w:trPr>
        <w:tc>
          <w:tcPr>
            <w:tcW w:w="1825" w:type="dxa"/>
          </w:tcPr>
          <w:p w14:paraId="598E3011" w14:textId="77777777" w:rsidR="005C14B5" w:rsidRPr="00FC346A" w:rsidRDefault="005C14B5" w:rsidP="00E07D7A">
            <w:pPr>
              <w:tabs>
                <w:tab w:val="left" w:pos="8820"/>
              </w:tabs>
              <w:spacing w:after="0"/>
              <w:jc w:val="both"/>
              <w:rPr>
                <w:rFonts w:ascii="Times New Roman" w:hAnsi="Times New Roman" w:cs="Times New Roman"/>
                <w:sz w:val="24"/>
                <w:szCs w:val="24"/>
              </w:rPr>
            </w:pPr>
            <w:r>
              <w:rPr>
                <w:rFonts w:ascii="Times New Roman" w:hAnsi="Times New Roman"/>
                <w:sz w:val="24"/>
              </w:rPr>
              <w:t>MCC</w:t>
            </w:r>
          </w:p>
        </w:tc>
        <w:tc>
          <w:tcPr>
            <w:tcW w:w="7440" w:type="dxa"/>
          </w:tcPr>
          <w:p w14:paraId="3ED6DF4E" w14:textId="77777777" w:rsidR="005C14B5" w:rsidRPr="00FC346A" w:rsidRDefault="005C14B5" w:rsidP="00E07D7A">
            <w:pPr>
              <w:tabs>
                <w:tab w:val="left" w:pos="8820"/>
              </w:tabs>
              <w:spacing w:after="0"/>
              <w:jc w:val="both"/>
              <w:rPr>
                <w:rFonts w:ascii="Times New Roman" w:hAnsi="Times New Roman" w:cs="Times New Roman"/>
                <w:sz w:val="24"/>
                <w:szCs w:val="24"/>
              </w:rPr>
            </w:pPr>
            <w:r>
              <w:rPr>
                <w:rFonts w:ascii="Times New Roman" w:hAnsi="Times New Roman"/>
                <w:sz w:val="24"/>
              </w:rPr>
              <w:t>Millennium Challenge Corporation</w:t>
            </w:r>
          </w:p>
        </w:tc>
      </w:tr>
      <w:tr w:rsidR="005C14B5" w:rsidRPr="00FC346A" w14:paraId="363CF5B8" w14:textId="77777777" w:rsidTr="00E07D7A">
        <w:trPr>
          <w:trHeight w:val="20"/>
        </w:trPr>
        <w:tc>
          <w:tcPr>
            <w:tcW w:w="1825" w:type="dxa"/>
          </w:tcPr>
          <w:p w14:paraId="739AD474" w14:textId="77777777" w:rsidR="005C14B5" w:rsidRPr="00FC346A" w:rsidRDefault="005C14B5" w:rsidP="00E07D7A">
            <w:pPr>
              <w:tabs>
                <w:tab w:val="right" w:pos="1939"/>
                <w:tab w:val="left" w:pos="8820"/>
              </w:tabs>
              <w:spacing w:after="0" w:line="240" w:lineRule="auto"/>
              <w:jc w:val="both"/>
              <w:rPr>
                <w:rFonts w:ascii="Times New Roman" w:hAnsi="Times New Roman" w:cs="Times New Roman"/>
                <w:sz w:val="24"/>
                <w:szCs w:val="24"/>
              </w:rPr>
            </w:pPr>
            <w:r>
              <w:rPr>
                <w:rFonts w:ascii="Times New Roman" w:hAnsi="Times New Roman"/>
                <w:sz w:val="24"/>
              </w:rPr>
              <w:t>ME</w:t>
            </w:r>
            <w:r>
              <w:rPr>
                <w:rFonts w:ascii="Times New Roman" w:hAnsi="Times New Roman"/>
                <w:sz w:val="24"/>
              </w:rPr>
              <w:tab/>
            </w:r>
          </w:p>
        </w:tc>
        <w:tc>
          <w:tcPr>
            <w:tcW w:w="7440" w:type="dxa"/>
            <w:vAlign w:val="center"/>
          </w:tcPr>
          <w:p w14:paraId="15D562D3" w14:textId="77777777" w:rsidR="005C14B5" w:rsidRPr="00FC346A" w:rsidRDefault="005C14B5" w:rsidP="00E07D7A">
            <w:pPr>
              <w:tabs>
                <w:tab w:val="left" w:pos="8820"/>
              </w:tabs>
              <w:spacing w:after="0" w:line="240" w:lineRule="auto"/>
              <w:jc w:val="both"/>
              <w:rPr>
                <w:rFonts w:ascii="Times New Roman" w:eastAsia="Times New Roman" w:hAnsi="Times New Roman" w:cs="Times New Roman"/>
                <w:sz w:val="24"/>
                <w:szCs w:val="24"/>
              </w:rPr>
            </w:pPr>
            <w:r>
              <w:rPr>
                <w:rFonts w:ascii="Times New Roman" w:hAnsi="Times New Roman"/>
                <w:sz w:val="24"/>
              </w:rPr>
              <w:t>Ministry of Economy</w:t>
            </w:r>
          </w:p>
        </w:tc>
      </w:tr>
      <w:tr w:rsidR="005C14B5" w:rsidRPr="00FC346A" w14:paraId="4F32BA33" w14:textId="77777777" w:rsidTr="00E07D7A">
        <w:trPr>
          <w:trHeight w:val="20"/>
        </w:trPr>
        <w:tc>
          <w:tcPr>
            <w:tcW w:w="1825" w:type="dxa"/>
          </w:tcPr>
          <w:p w14:paraId="5BAB6F1B" w14:textId="77777777" w:rsidR="005C14B5" w:rsidRPr="00FC346A" w:rsidRDefault="005C14B5" w:rsidP="00E07D7A">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rPr>
              <w:t>MFK</w:t>
            </w:r>
          </w:p>
        </w:tc>
        <w:tc>
          <w:tcPr>
            <w:tcW w:w="7440" w:type="dxa"/>
            <w:vAlign w:val="center"/>
          </w:tcPr>
          <w:p w14:paraId="5AD241CA"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001233"/>
              </w:rPr>
            </w:pPr>
            <w:r>
              <w:rPr>
                <w:rFonts w:ascii="Times New Roman" w:hAnsi="Times New Roman"/>
                <w:sz w:val="24"/>
              </w:rPr>
              <w:t>Millennium Foundation Kosovo</w:t>
            </w:r>
          </w:p>
        </w:tc>
      </w:tr>
      <w:tr w:rsidR="005C14B5" w:rsidRPr="00FC346A" w14:paraId="7B25FB3C" w14:textId="77777777" w:rsidTr="00E07D7A">
        <w:trPr>
          <w:trHeight w:val="20"/>
        </w:trPr>
        <w:tc>
          <w:tcPr>
            <w:tcW w:w="1825" w:type="dxa"/>
          </w:tcPr>
          <w:p w14:paraId="681E0BDE"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MFLT</w:t>
            </w:r>
          </w:p>
        </w:tc>
        <w:tc>
          <w:tcPr>
            <w:tcW w:w="7440" w:type="dxa"/>
            <w:vAlign w:val="center"/>
          </w:tcPr>
          <w:p w14:paraId="63BA3F94"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r>
              <w:rPr>
                <w:rFonts w:ascii="Times New Roman" w:hAnsi="Times New Roman"/>
                <w:sz w:val="24"/>
              </w:rPr>
              <w:t xml:space="preserve">Ministry of Finance, </w:t>
            </w:r>
            <w:proofErr w:type="spellStart"/>
            <w:r>
              <w:rPr>
                <w:rFonts w:ascii="Times New Roman" w:hAnsi="Times New Roman"/>
                <w:sz w:val="24"/>
              </w:rPr>
              <w:t>Labour</w:t>
            </w:r>
            <w:proofErr w:type="spellEnd"/>
            <w:r>
              <w:rPr>
                <w:rFonts w:ascii="Times New Roman" w:hAnsi="Times New Roman"/>
                <w:sz w:val="24"/>
              </w:rPr>
              <w:t xml:space="preserve"> and Transfers </w:t>
            </w:r>
          </w:p>
        </w:tc>
      </w:tr>
      <w:tr w:rsidR="005C14B5" w:rsidRPr="00FC346A" w14:paraId="5B2275B7" w14:textId="77777777" w:rsidTr="00E07D7A">
        <w:trPr>
          <w:trHeight w:val="20"/>
        </w:trPr>
        <w:tc>
          <w:tcPr>
            <w:tcW w:w="1825" w:type="dxa"/>
          </w:tcPr>
          <w:p w14:paraId="7B243144" w14:textId="77777777" w:rsidR="005C14B5" w:rsidRPr="00FC346A" w:rsidRDefault="005C14B5" w:rsidP="00E07D7A">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rPr>
              <w:t>MESPI</w:t>
            </w:r>
          </w:p>
        </w:tc>
        <w:tc>
          <w:tcPr>
            <w:tcW w:w="7440" w:type="dxa"/>
            <w:vAlign w:val="center"/>
          </w:tcPr>
          <w:p w14:paraId="3683034D"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001233"/>
              </w:rPr>
            </w:pPr>
            <w:r>
              <w:rPr>
                <w:rFonts w:ascii="Times New Roman" w:hAnsi="Times New Roman"/>
                <w:sz w:val="24"/>
              </w:rPr>
              <w:t>Ministry of Environment, Spatial Planning and Infrastructure</w:t>
            </w:r>
          </w:p>
        </w:tc>
      </w:tr>
      <w:tr w:rsidR="005C14B5" w:rsidRPr="00FC346A" w14:paraId="26F6D3E0" w14:textId="77777777" w:rsidTr="00E07D7A">
        <w:trPr>
          <w:trHeight w:val="20"/>
        </w:trPr>
        <w:tc>
          <w:tcPr>
            <w:tcW w:w="1825" w:type="dxa"/>
          </w:tcPr>
          <w:p w14:paraId="540AD807"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MW</w:t>
            </w:r>
          </w:p>
        </w:tc>
        <w:tc>
          <w:tcPr>
            <w:tcW w:w="7440" w:type="dxa"/>
            <w:vAlign w:val="center"/>
          </w:tcPr>
          <w:p w14:paraId="3F0E699F"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sz w:val="24"/>
                <w:shd w:val="clear" w:color="auto" w:fill="FFFFFF"/>
              </w:rPr>
              <w:t>Megawat</w:t>
            </w:r>
            <w:proofErr w:type="spellEnd"/>
          </w:p>
        </w:tc>
      </w:tr>
      <w:tr w:rsidR="005C14B5" w:rsidRPr="00FC346A" w14:paraId="7286FC0D" w14:textId="77777777" w:rsidTr="00E07D7A">
        <w:trPr>
          <w:trHeight w:val="20"/>
        </w:trPr>
        <w:tc>
          <w:tcPr>
            <w:tcW w:w="1825" w:type="dxa"/>
          </w:tcPr>
          <w:p w14:paraId="662B0D6B"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proofErr w:type="spellStart"/>
            <w:r>
              <w:rPr>
                <w:rFonts w:ascii="Times New Roman" w:hAnsi="Times New Roman"/>
                <w:sz w:val="24"/>
              </w:rPr>
              <w:t>MWt</w:t>
            </w:r>
            <w:proofErr w:type="spellEnd"/>
          </w:p>
        </w:tc>
        <w:tc>
          <w:tcPr>
            <w:tcW w:w="7440" w:type="dxa"/>
            <w:vAlign w:val="center"/>
          </w:tcPr>
          <w:p w14:paraId="1CAEA1EF"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Megawatt Thermal</w:t>
            </w:r>
          </w:p>
        </w:tc>
      </w:tr>
      <w:tr w:rsidR="005C14B5" w:rsidRPr="00FC346A" w14:paraId="536D7BE9" w14:textId="77777777" w:rsidTr="00E07D7A">
        <w:trPr>
          <w:trHeight w:val="20"/>
        </w:trPr>
        <w:tc>
          <w:tcPr>
            <w:tcW w:w="1825" w:type="dxa"/>
          </w:tcPr>
          <w:p w14:paraId="3F8081B3" w14:textId="77777777" w:rsidR="005C14B5" w:rsidRPr="00FC346A" w:rsidRDefault="005C14B5" w:rsidP="00E07D7A">
            <w:pPr>
              <w:tabs>
                <w:tab w:val="left" w:pos="1591"/>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NOx</w:t>
            </w:r>
          </w:p>
        </w:tc>
        <w:tc>
          <w:tcPr>
            <w:tcW w:w="7440" w:type="dxa"/>
            <w:vAlign w:val="center"/>
          </w:tcPr>
          <w:p w14:paraId="3FFC76FC" w14:textId="77777777" w:rsidR="005C14B5" w:rsidRPr="00FC346A" w:rsidRDefault="005C14B5" w:rsidP="00E07D7A">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hd w:val="clear" w:color="auto" w:fill="FFFFFF"/>
              </w:rPr>
              <w:t xml:space="preserve">Nitrogen Oxides </w:t>
            </w:r>
          </w:p>
        </w:tc>
      </w:tr>
      <w:tr w:rsidR="005C14B5" w:rsidRPr="00FC346A" w14:paraId="6D652DF3" w14:textId="77777777" w:rsidTr="00E07D7A">
        <w:trPr>
          <w:trHeight w:val="20"/>
        </w:trPr>
        <w:tc>
          <w:tcPr>
            <w:tcW w:w="1825" w:type="dxa"/>
          </w:tcPr>
          <w:p w14:paraId="2A3775BC" w14:textId="77777777" w:rsidR="005C14B5" w:rsidRPr="00FC346A" w:rsidRDefault="005C14B5" w:rsidP="00E07D7A">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rPr>
              <w:t>CH</w:t>
            </w:r>
          </w:p>
        </w:tc>
        <w:tc>
          <w:tcPr>
            <w:tcW w:w="7440" w:type="dxa"/>
            <w:vAlign w:val="center"/>
          </w:tcPr>
          <w:p w14:paraId="2CAC69D7" w14:textId="77777777" w:rsidR="005C14B5" w:rsidRPr="00FC346A" w:rsidRDefault="005C14B5" w:rsidP="00E07D7A">
            <w:pPr>
              <w:tabs>
                <w:tab w:val="left" w:pos="8820"/>
              </w:tabs>
              <w:spacing w:after="0" w:line="240" w:lineRule="auto"/>
              <w:jc w:val="both"/>
              <w:rPr>
                <w:rFonts w:ascii="Times New Roman" w:eastAsia="MS Mincho" w:hAnsi="Times New Roman" w:cs="Times New Roman"/>
                <w:noProof/>
                <w:sz w:val="24"/>
                <w:szCs w:val="24"/>
              </w:rPr>
            </w:pPr>
            <w:r>
              <w:rPr>
                <w:rFonts w:ascii="Times New Roman" w:hAnsi="Times New Roman"/>
                <w:sz w:val="24"/>
              </w:rPr>
              <w:t>Central Heating</w:t>
            </w:r>
          </w:p>
        </w:tc>
      </w:tr>
      <w:tr w:rsidR="005C14B5" w:rsidRPr="00FC346A" w14:paraId="21CA85BD" w14:textId="77777777" w:rsidTr="00E07D7A">
        <w:trPr>
          <w:trHeight w:val="20"/>
        </w:trPr>
        <w:tc>
          <w:tcPr>
            <w:tcW w:w="1825" w:type="dxa"/>
          </w:tcPr>
          <w:p w14:paraId="5DA0C31B"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DSO</w:t>
            </w:r>
          </w:p>
        </w:tc>
        <w:tc>
          <w:tcPr>
            <w:tcW w:w="7440" w:type="dxa"/>
            <w:vAlign w:val="center"/>
          </w:tcPr>
          <w:p w14:paraId="7B69B826" w14:textId="77777777" w:rsidR="005C14B5" w:rsidRPr="0014539F" w:rsidRDefault="005C14B5" w:rsidP="00E07D7A">
            <w:pPr>
              <w:tabs>
                <w:tab w:val="left" w:pos="8820"/>
              </w:tabs>
              <w:spacing w:after="0" w:line="240" w:lineRule="auto"/>
              <w:jc w:val="both"/>
              <w:rPr>
                <w:rFonts w:ascii="Times New Roman" w:eastAsia="Calibri" w:hAnsi="Times New Roman" w:cs="Times New Roman"/>
                <w:sz w:val="24"/>
                <w:szCs w:val="24"/>
              </w:rPr>
            </w:pPr>
            <w:r>
              <w:rPr>
                <w:rFonts w:ascii="Times New Roman" w:hAnsi="Times New Roman"/>
                <w:sz w:val="24"/>
                <w:shd w:val="clear" w:color="auto" w:fill="FFFFFF"/>
              </w:rPr>
              <w:t>Distribution System Operator</w:t>
            </w:r>
          </w:p>
        </w:tc>
      </w:tr>
      <w:tr w:rsidR="005C14B5" w:rsidRPr="00FC346A" w14:paraId="33287604" w14:textId="77777777" w:rsidTr="00E07D7A">
        <w:trPr>
          <w:trHeight w:val="20"/>
        </w:trPr>
        <w:tc>
          <w:tcPr>
            <w:tcW w:w="1825" w:type="dxa"/>
          </w:tcPr>
          <w:p w14:paraId="717967EB"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TSO</w:t>
            </w:r>
          </w:p>
        </w:tc>
        <w:tc>
          <w:tcPr>
            <w:tcW w:w="7440" w:type="dxa"/>
            <w:vAlign w:val="center"/>
          </w:tcPr>
          <w:p w14:paraId="59948E6B"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Transmission System Operator</w:t>
            </w:r>
          </w:p>
        </w:tc>
      </w:tr>
      <w:tr w:rsidR="005C14B5" w:rsidRPr="00FC346A" w14:paraId="038C7FDC" w14:textId="77777777" w:rsidTr="00E07D7A">
        <w:trPr>
          <w:trHeight w:val="20"/>
        </w:trPr>
        <w:tc>
          <w:tcPr>
            <w:tcW w:w="1825" w:type="dxa"/>
          </w:tcPr>
          <w:p w14:paraId="32443472" w14:textId="77777777" w:rsidR="005C14B5" w:rsidRPr="00FC346A" w:rsidRDefault="005C14B5" w:rsidP="00E07D7A">
            <w:pPr>
              <w:tabs>
                <w:tab w:val="left" w:pos="1591"/>
              </w:tabs>
              <w:spacing w:after="0" w:line="240" w:lineRule="auto"/>
              <w:jc w:val="both"/>
              <w:rPr>
                <w:rFonts w:ascii="Times New Roman" w:hAnsi="Times New Roman" w:cs="Times New Roman"/>
                <w:sz w:val="24"/>
                <w:szCs w:val="24"/>
              </w:rPr>
            </w:pPr>
            <w:r>
              <w:rPr>
                <w:rFonts w:ascii="Times New Roman" w:hAnsi="Times New Roman"/>
                <w:sz w:val="24"/>
              </w:rPr>
              <w:t>SAIDI</w:t>
            </w:r>
          </w:p>
        </w:tc>
        <w:tc>
          <w:tcPr>
            <w:tcW w:w="7440" w:type="dxa"/>
            <w:vAlign w:val="center"/>
          </w:tcPr>
          <w:p w14:paraId="7D9CCDB4" w14:textId="77777777" w:rsidR="005C14B5" w:rsidRPr="00FC346A" w:rsidRDefault="005C14B5" w:rsidP="00E07D7A">
            <w:pPr>
              <w:tabs>
                <w:tab w:val="left" w:pos="8820"/>
              </w:tabs>
              <w:spacing w:after="0" w:line="240" w:lineRule="auto"/>
              <w:jc w:val="both"/>
              <w:rPr>
                <w:rFonts w:ascii="Times New Roman" w:eastAsia="Times New Roman" w:hAnsi="Times New Roman" w:cs="Times New Roman"/>
                <w:sz w:val="24"/>
                <w:szCs w:val="24"/>
              </w:rPr>
            </w:pPr>
            <w:r>
              <w:rPr>
                <w:rFonts w:ascii="Times New Roman" w:hAnsi="Times New Roman"/>
                <w:sz w:val="24"/>
              </w:rPr>
              <w:t>System Average Interruption Duration Index</w:t>
            </w:r>
          </w:p>
        </w:tc>
      </w:tr>
      <w:tr w:rsidR="005C14B5" w:rsidRPr="00FC346A" w14:paraId="7C7DAC75" w14:textId="77777777" w:rsidTr="00E07D7A">
        <w:trPr>
          <w:trHeight w:val="20"/>
        </w:trPr>
        <w:tc>
          <w:tcPr>
            <w:tcW w:w="1825" w:type="dxa"/>
          </w:tcPr>
          <w:p w14:paraId="4011CC00" w14:textId="77777777" w:rsidR="005C14B5" w:rsidRPr="00FC346A" w:rsidRDefault="005C14B5" w:rsidP="00E07D7A">
            <w:pPr>
              <w:tabs>
                <w:tab w:val="left" w:pos="1591"/>
              </w:tabs>
              <w:spacing w:after="0" w:line="240" w:lineRule="auto"/>
              <w:jc w:val="both"/>
              <w:rPr>
                <w:rFonts w:ascii="Times New Roman" w:hAnsi="Times New Roman" w:cs="Times New Roman"/>
                <w:sz w:val="24"/>
                <w:szCs w:val="24"/>
              </w:rPr>
            </w:pPr>
            <w:r>
              <w:rPr>
                <w:rFonts w:ascii="Times New Roman" w:hAnsi="Times New Roman"/>
                <w:sz w:val="24"/>
              </w:rPr>
              <w:t>SAIFI</w:t>
            </w:r>
          </w:p>
        </w:tc>
        <w:tc>
          <w:tcPr>
            <w:tcW w:w="7440" w:type="dxa"/>
            <w:vAlign w:val="center"/>
          </w:tcPr>
          <w:p w14:paraId="05CBF4DE"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r>
              <w:rPr>
                <w:rFonts w:ascii="Times New Roman" w:hAnsi="Times New Roman"/>
                <w:sz w:val="24"/>
                <w:shd w:val="clear" w:color="auto" w:fill="FFFFFF"/>
              </w:rPr>
              <w:t>System Average Interruption Frequency Index</w:t>
            </w:r>
          </w:p>
        </w:tc>
      </w:tr>
      <w:tr w:rsidR="005C14B5" w:rsidRPr="00FC346A" w14:paraId="63F69480" w14:textId="77777777" w:rsidTr="00E07D7A">
        <w:trPr>
          <w:trHeight w:val="20"/>
        </w:trPr>
        <w:tc>
          <w:tcPr>
            <w:tcW w:w="1825" w:type="dxa"/>
          </w:tcPr>
          <w:p w14:paraId="7C4DED1A"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SCADA</w:t>
            </w:r>
          </w:p>
        </w:tc>
        <w:tc>
          <w:tcPr>
            <w:tcW w:w="7440" w:type="dxa"/>
            <w:vAlign w:val="center"/>
          </w:tcPr>
          <w:p w14:paraId="548DEE2A"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Supervisory Control and Data Acquisition</w:t>
            </w:r>
          </w:p>
        </w:tc>
      </w:tr>
      <w:tr w:rsidR="005C14B5" w:rsidRPr="00FC346A" w14:paraId="5289393F" w14:textId="77777777" w:rsidTr="00E07D7A">
        <w:trPr>
          <w:trHeight w:val="20"/>
        </w:trPr>
        <w:tc>
          <w:tcPr>
            <w:tcW w:w="1825" w:type="dxa"/>
          </w:tcPr>
          <w:p w14:paraId="05ABEB23" w14:textId="77777777" w:rsidR="005C14B5" w:rsidRPr="00FC346A" w:rsidRDefault="005C14B5" w:rsidP="00E07D7A">
            <w:pPr>
              <w:tabs>
                <w:tab w:val="left" w:pos="1591"/>
              </w:tabs>
              <w:spacing w:after="0" w:line="240" w:lineRule="auto"/>
              <w:jc w:val="both"/>
              <w:rPr>
                <w:rFonts w:ascii="Times New Roman" w:hAnsi="Times New Roman" w:cs="Times New Roman"/>
                <w:sz w:val="24"/>
                <w:szCs w:val="24"/>
              </w:rPr>
            </w:pPr>
            <w:r>
              <w:rPr>
                <w:rFonts w:ascii="Times New Roman" w:hAnsi="Times New Roman"/>
                <w:sz w:val="24"/>
              </w:rPr>
              <w:t>SO</w:t>
            </w:r>
            <w:r>
              <w:rPr>
                <w:rFonts w:ascii="Times New Roman" w:hAnsi="Times New Roman"/>
                <w:sz w:val="24"/>
                <w:vertAlign w:val="subscript"/>
              </w:rPr>
              <w:t>2</w:t>
            </w:r>
          </w:p>
        </w:tc>
        <w:tc>
          <w:tcPr>
            <w:tcW w:w="7440" w:type="dxa"/>
            <w:vAlign w:val="center"/>
          </w:tcPr>
          <w:p w14:paraId="2F686220" w14:textId="77777777" w:rsidR="005C14B5" w:rsidRPr="00FC346A" w:rsidRDefault="005C14B5" w:rsidP="00E07D7A">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hd w:val="clear" w:color="auto" w:fill="FFFFFF"/>
              </w:rPr>
              <w:t xml:space="preserve">Sulfur Dioxide  </w:t>
            </w:r>
          </w:p>
        </w:tc>
      </w:tr>
      <w:tr w:rsidR="005C14B5" w:rsidRPr="00FC346A" w14:paraId="7DC7703E" w14:textId="77777777" w:rsidTr="00E07D7A">
        <w:trPr>
          <w:trHeight w:val="20"/>
        </w:trPr>
        <w:tc>
          <w:tcPr>
            <w:tcW w:w="1825" w:type="dxa"/>
          </w:tcPr>
          <w:p w14:paraId="7565F4A2" w14:textId="77777777" w:rsidR="005C14B5" w:rsidRPr="00FC346A" w:rsidRDefault="005C14B5" w:rsidP="00E07D7A">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rPr>
              <w:t>EU ETS</w:t>
            </w:r>
          </w:p>
        </w:tc>
        <w:tc>
          <w:tcPr>
            <w:tcW w:w="7440" w:type="dxa"/>
            <w:vAlign w:val="center"/>
          </w:tcPr>
          <w:p w14:paraId="6366E761" w14:textId="77777777" w:rsidR="005C14B5" w:rsidRPr="00FC346A" w:rsidRDefault="005C14B5" w:rsidP="00E07D7A">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hd w:val="clear" w:color="auto" w:fill="FFFFFF"/>
              </w:rPr>
              <w:t>European Union Emissions Trading System</w:t>
            </w:r>
          </w:p>
        </w:tc>
      </w:tr>
      <w:tr w:rsidR="005C14B5" w:rsidRPr="00FC346A" w14:paraId="2A81FE32" w14:textId="77777777" w:rsidTr="00E07D7A">
        <w:trPr>
          <w:trHeight w:val="20"/>
        </w:trPr>
        <w:tc>
          <w:tcPr>
            <w:tcW w:w="1825" w:type="dxa"/>
          </w:tcPr>
          <w:p w14:paraId="6729EBF6" w14:textId="77777777" w:rsidR="005C14B5" w:rsidRPr="00FC346A" w:rsidRDefault="005C14B5" w:rsidP="00E07D7A">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rPr>
              <w:t>WBIF</w:t>
            </w:r>
          </w:p>
        </w:tc>
        <w:tc>
          <w:tcPr>
            <w:tcW w:w="7440" w:type="dxa"/>
            <w:vAlign w:val="center"/>
          </w:tcPr>
          <w:p w14:paraId="4E4E3CDE"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r>
              <w:rPr>
                <w:rFonts w:ascii="Times New Roman" w:hAnsi="Times New Roman"/>
                <w:sz w:val="24"/>
              </w:rPr>
              <w:t>Western Balkans Investment Framework</w:t>
            </w:r>
          </w:p>
        </w:tc>
      </w:tr>
      <w:tr w:rsidR="005C14B5" w:rsidRPr="00FC346A" w14:paraId="2E55DD5F" w14:textId="77777777" w:rsidTr="00E07D7A">
        <w:trPr>
          <w:trHeight w:val="20"/>
        </w:trPr>
        <w:tc>
          <w:tcPr>
            <w:tcW w:w="1825" w:type="dxa"/>
          </w:tcPr>
          <w:p w14:paraId="58018D11" w14:textId="77777777" w:rsidR="005C14B5" w:rsidRPr="00FC346A" w:rsidRDefault="005C14B5" w:rsidP="00E07D7A">
            <w:pPr>
              <w:tabs>
                <w:tab w:val="left" w:pos="8820"/>
              </w:tabs>
              <w:spacing w:after="0" w:line="240" w:lineRule="auto"/>
              <w:jc w:val="both"/>
              <w:rPr>
                <w:rFonts w:ascii="Times New Roman" w:hAnsi="Times New Roman" w:cs="Times New Roman"/>
                <w:sz w:val="24"/>
                <w:szCs w:val="24"/>
              </w:rPr>
            </w:pPr>
            <w:r>
              <w:rPr>
                <w:rFonts w:ascii="Times New Roman" w:hAnsi="Times New Roman"/>
                <w:sz w:val="24"/>
              </w:rPr>
              <w:t>ERO</w:t>
            </w:r>
          </w:p>
        </w:tc>
        <w:tc>
          <w:tcPr>
            <w:tcW w:w="7440" w:type="dxa"/>
            <w:vAlign w:val="center"/>
          </w:tcPr>
          <w:p w14:paraId="4E8DBB43" w14:textId="77777777" w:rsidR="005C14B5" w:rsidRPr="0014539F" w:rsidRDefault="005C14B5" w:rsidP="00E07D7A">
            <w:pPr>
              <w:tabs>
                <w:tab w:val="left" w:pos="8820"/>
              </w:tabs>
              <w:spacing w:after="0" w:line="240" w:lineRule="auto"/>
              <w:jc w:val="both"/>
              <w:rPr>
                <w:rFonts w:ascii="Times New Roman" w:eastAsia="Times New Roman" w:hAnsi="Times New Roman" w:cs="Times New Roman"/>
                <w:sz w:val="24"/>
                <w:szCs w:val="24"/>
              </w:rPr>
            </w:pPr>
            <w:r>
              <w:rPr>
                <w:rFonts w:ascii="Times New Roman" w:hAnsi="Times New Roman"/>
                <w:sz w:val="24"/>
              </w:rPr>
              <w:t>Energy Regulatory Office</w:t>
            </w:r>
          </w:p>
        </w:tc>
      </w:tr>
    </w:tbl>
    <w:p w14:paraId="2F1A4BCC" w14:textId="77777777" w:rsidR="00C43A7C" w:rsidRDefault="00C43A7C">
      <w:pPr>
        <w:rPr>
          <w:rFonts w:ascii="Times New Roman" w:hAnsi="Times New Roman" w:cs="Times New Roman"/>
          <w:sz w:val="24"/>
          <w:szCs w:val="24"/>
        </w:rPr>
      </w:pPr>
    </w:p>
    <w:p w14:paraId="1EDA9320" w14:textId="77777777" w:rsidR="00C43A7C" w:rsidRDefault="00C43A7C">
      <w:pPr>
        <w:rPr>
          <w:rFonts w:ascii="Times New Roman" w:hAnsi="Times New Roman" w:cs="Times New Roman"/>
          <w:sz w:val="24"/>
          <w:szCs w:val="24"/>
        </w:rPr>
      </w:pPr>
    </w:p>
    <w:p w14:paraId="424AE713" w14:textId="77777777" w:rsidR="00C43A7C" w:rsidRDefault="00C43A7C">
      <w:pPr>
        <w:rPr>
          <w:rFonts w:ascii="Times New Roman" w:hAnsi="Times New Roman" w:cs="Times New Roman"/>
          <w:sz w:val="24"/>
          <w:szCs w:val="24"/>
        </w:rPr>
      </w:pPr>
    </w:p>
    <w:p w14:paraId="4E8FA36F" w14:textId="77777777" w:rsidR="00042ABD" w:rsidRDefault="00944124" w:rsidP="00BD675F">
      <w:pPr>
        <w:pStyle w:val="Heading1"/>
        <w:jc w:val="left"/>
      </w:pPr>
      <w:bookmarkStart w:id="4" w:name="_Toc195271845"/>
      <w:r>
        <w:lastRenderedPageBreak/>
        <w:t>EXECUTIVE SUMMARY</w:t>
      </w:r>
      <w:bookmarkEnd w:id="4"/>
    </w:p>
    <w:p w14:paraId="777DC9DD" w14:textId="77777777" w:rsidR="00361ECE" w:rsidRPr="00361ECE" w:rsidRDefault="00361ECE" w:rsidP="00361ECE">
      <w:pPr>
        <w:rPr>
          <w:lang w:eastAsia="sq-AL"/>
        </w:rPr>
      </w:pPr>
    </w:p>
    <w:p w14:paraId="2FB61CBF" w14:textId="6C90FED6" w:rsidR="00042ABD" w:rsidRPr="00054751" w:rsidRDefault="00042ABD" w:rsidP="00F63F08">
      <w:pPr>
        <w:jc w:val="both"/>
        <w:rPr>
          <w:rFonts w:ascii="Times New Roman" w:hAnsi="Times New Roman" w:cs="Times New Roman"/>
          <w:color w:val="FF0000"/>
          <w:sz w:val="24"/>
          <w:szCs w:val="24"/>
        </w:rPr>
      </w:pPr>
      <w:r>
        <w:rPr>
          <w:rFonts w:ascii="Times New Roman" w:hAnsi="Times New Roman"/>
          <w:sz w:val="24"/>
        </w:rPr>
        <w:t>The Ministry of Economy (ME) has developed the Kosovo Energy Strategy Implementation Program (KESIP) for the period 2022–2025, which was approved on September 5, 2023, by the Government of the Republic of Kosovo (GRK).</w:t>
      </w:r>
    </w:p>
    <w:p w14:paraId="78798FCB" w14:textId="40404591" w:rsidR="00042ABD" w:rsidRDefault="00042ABD" w:rsidP="00F63F08">
      <w:pPr>
        <w:jc w:val="both"/>
        <w:rPr>
          <w:rFonts w:ascii="Times New Roman" w:hAnsi="Times New Roman" w:cs="Times New Roman"/>
          <w:sz w:val="24"/>
          <w:szCs w:val="24"/>
        </w:rPr>
      </w:pPr>
      <w:r>
        <w:rPr>
          <w:rFonts w:ascii="Times New Roman" w:hAnsi="Times New Roman"/>
          <w:sz w:val="24"/>
        </w:rPr>
        <w:t>Based on Article 7, point 7 of Law No. 05/L-081 on Energy, the Ministry of Economy (ME) has a legal obligation to monitor the implementation of the Energy Strategy of Kosovo. Accordingly, the Ministry has prepared the Annual Report for 2024 on the Kosovo Energy Strategy Implementation Program (KESIP) for the period 2022–2025, as well as the level of implementation of the Energy Strategy for the period 2022–2031, which is in line with the requirements of the Administrative Instruction (AI) of the Government of the Republic of Kosovo (GRK) No. 07/2018 on Planning and Drafting Strategic Documents and Action Plans (APs).</w:t>
      </w:r>
    </w:p>
    <w:p w14:paraId="6A8E58BA" w14:textId="77777777" w:rsidR="00042ABD" w:rsidRDefault="001C153A" w:rsidP="00F63F08">
      <w:pPr>
        <w:jc w:val="both"/>
        <w:rPr>
          <w:rFonts w:ascii="Times New Roman" w:hAnsi="Times New Roman" w:cs="Times New Roman"/>
          <w:sz w:val="24"/>
          <w:szCs w:val="24"/>
        </w:rPr>
      </w:pPr>
      <w:r>
        <w:rPr>
          <w:rFonts w:ascii="Times New Roman" w:hAnsi="Times New Roman"/>
          <w:sz w:val="24"/>
        </w:rPr>
        <w:t>The Progress Report on the Implementation of the Energy Strategy for 2024 is drafted based on the implementation of activities of the Kosovo Energy Strategy Implementation Program (KESIP) for the period 2022-2025 and it presents detailed activities for the implementation of the objectives outlined in the Energy Strategy of the Republic of Kosovo for the period 2022-2031.</w:t>
      </w:r>
    </w:p>
    <w:p w14:paraId="71EECCAE" w14:textId="309F99B6" w:rsidR="00042ABD" w:rsidRDefault="00042ABD" w:rsidP="00F63F08">
      <w:pPr>
        <w:jc w:val="both"/>
        <w:rPr>
          <w:rFonts w:ascii="Times New Roman" w:hAnsi="Times New Roman" w:cs="Times New Roman"/>
          <w:sz w:val="24"/>
          <w:szCs w:val="24"/>
        </w:rPr>
      </w:pPr>
      <w:r>
        <w:rPr>
          <w:rFonts w:ascii="Times New Roman" w:hAnsi="Times New Roman"/>
          <w:sz w:val="24"/>
        </w:rPr>
        <w:t xml:space="preserve">The Kosovo Energy Strategy Implementation Program (KESIP) for the period 2022–2025 includes a list of five (5) strategic objectives, sixteen (16) specific objectives, and ninety-one (91) activities planned for the development of the energy sector. </w:t>
      </w:r>
    </w:p>
    <w:p w14:paraId="712F2BBD" w14:textId="77777777" w:rsidR="00042ABD" w:rsidRDefault="00042ABD" w:rsidP="00F63F08">
      <w:pPr>
        <w:jc w:val="both"/>
        <w:rPr>
          <w:rFonts w:ascii="Times New Roman" w:hAnsi="Times New Roman" w:cs="Times New Roman"/>
          <w:sz w:val="24"/>
          <w:szCs w:val="24"/>
        </w:rPr>
      </w:pPr>
      <w:r>
        <w:rPr>
          <w:rFonts w:ascii="Times New Roman" w:hAnsi="Times New Roman"/>
          <w:sz w:val="24"/>
        </w:rPr>
        <w:t>The progress report aims to identify the degree of implementation of the projects/activities of the Kosovo Energy Strategy Implementation Program (KESIP) for 2024, as well as to identify challenges and propose recommendations for decision-making by the relevant authorities.</w:t>
      </w:r>
    </w:p>
    <w:p w14:paraId="39ADEDAB" w14:textId="77777777" w:rsidR="00723DB4" w:rsidRPr="00E225F7" w:rsidRDefault="00723DB4" w:rsidP="00F63F08">
      <w:pPr>
        <w:jc w:val="both"/>
        <w:rPr>
          <w:rFonts w:ascii="Times New Roman" w:hAnsi="Times New Roman" w:cs="Times New Roman"/>
          <w:sz w:val="24"/>
          <w:szCs w:val="24"/>
        </w:rPr>
      </w:pPr>
      <w:r>
        <w:rPr>
          <w:rFonts w:ascii="Times New Roman" w:hAnsi="Times New Roman"/>
          <w:sz w:val="24"/>
        </w:rPr>
        <w:t>The Progress Report includes all projects and activities that started before or during 2024 and continue in the coming years, as well as projects and activities that start and end in 2024.</w:t>
      </w:r>
    </w:p>
    <w:p w14:paraId="60838446" w14:textId="77777777" w:rsidR="00042ABD" w:rsidRDefault="00042ABD" w:rsidP="00F63F08">
      <w:pPr>
        <w:jc w:val="both"/>
        <w:rPr>
          <w:rFonts w:ascii="Times New Roman" w:hAnsi="Times New Roman" w:cs="Times New Roman"/>
          <w:sz w:val="24"/>
          <w:szCs w:val="24"/>
        </w:rPr>
      </w:pPr>
      <w:r>
        <w:rPr>
          <w:rFonts w:ascii="Times New Roman" w:hAnsi="Times New Roman"/>
          <w:sz w:val="24"/>
        </w:rPr>
        <w:t>Strategic Objective are as follows:</w:t>
      </w:r>
    </w:p>
    <w:p w14:paraId="30765263" w14:textId="77777777" w:rsidR="00042ABD" w:rsidRPr="009D131E" w:rsidRDefault="00042ABD" w:rsidP="00F63F08">
      <w:pPr>
        <w:spacing w:after="0" w:line="240" w:lineRule="auto"/>
        <w:jc w:val="both"/>
        <w:rPr>
          <w:rFonts w:ascii="Times New Roman" w:hAnsi="Times New Roman" w:cs="Times New Roman"/>
          <w:sz w:val="24"/>
          <w:szCs w:val="24"/>
        </w:rPr>
      </w:pPr>
      <w:r>
        <w:rPr>
          <w:rFonts w:ascii="Times New Roman" w:hAnsi="Times New Roman"/>
          <w:sz w:val="24"/>
        </w:rPr>
        <w:t>Objective 1: Improving System Resilience;</w:t>
      </w:r>
    </w:p>
    <w:p w14:paraId="46437B74" w14:textId="77777777" w:rsidR="00042ABD" w:rsidRPr="009D131E" w:rsidRDefault="00042ABD" w:rsidP="00F63F08">
      <w:pPr>
        <w:spacing w:after="0" w:line="240" w:lineRule="auto"/>
        <w:jc w:val="both"/>
        <w:rPr>
          <w:rFonts w:ascii="Times New Roman" w:hAnsi="Times New Roman" w:cs="Times New Roman"/>
          <w:sz w:val="24"/>
          <w:szCs w:val="24"/>
        </w:rPr>
      </w:pPr>
      <w:r>
        <w:rPr>
          <w:rFonts w:ascii="Times New Roman" w:hAnsi="Times New Roman"/>
          <w:sz w:val="24"/>
        </w:rPr>
        <w:t>Objective 2: Decarbonization and Promoting Renewable Energy;</w:t>
      </w:r>
    </w:p>
    <w:p w14:paraId="25E3E2AA" w14:textId="54053A1D" w:rsidR="00042ABD" w:rsidRPr="009D131E" w:rsidRDefault="00042ABD" w:rsidP="00F63F08">
      <w:pPr>
        <w:spacing w:after="0" w:line="240" w:lineRule="auto"/>
        <w:jc w:val="both"/>
        <w:rPr>
          <w:rFonts w:ascii="Times New Roman" w:hAnsi="Times New Roman" w:cs="Times New Roman"/>
          <w:sz w:val="24"/>
          <w:szCs w:val="24"/>
        </w:rPr>
      </w:pPr>
      <w:r>
        <w:rPr>
          <w:rFonts w:ascii="Times New Roman" w:hAnsi="Times New Roman"/>
          <w:sz w:val="24"/>
        </w:rPr>
        <w:t>Objective 3: Increasing Energy Efficiency (EE);</w:t>
      </w:r>
    </w:p>
    <w:p w14:paraId="327B5F36" w14:textId="77777777" w:rsidR="00042ABD" w:rsidRPr="009D131E" w:rsidRDefault="00042ABD" w:rsidP="00F63F08">
      <w:pPr>
        <w:spacing w:after="0" w:line="240" w:lineRule="auto"/>
        <w:jc w:val="both"/>
        <w:rPr>
          <w:rFonts w:ascii="Times New Roman" w:hAnsi="Times New Roman" w:cs="Times New Roman"/>
          <w:sz w:val="24"/>
          <w:szCs w:val="24"/>
        </w:rPr>
      </w:pPr>
      <w:r>
        <w:rPr>
          <w:rFonts w:ascii="Times New Roman" w:hAnsi="Times New Roman"/>
          <w:sz w:val="24"/>
        </w:rPr>
        <w:t>Objective 4: Strengthening Regional Cooperation and Market Functioning;</w:t>
      </w:r>
    </w:p>
    <w:p w14:paraId="42007116" w14:textId="77777777" w:rsidR="00042ABD" w:rsidRPr="009D131E" w:rsidRDefault="00042ABD" w:rsidP="00F63F08">
      <w:pPr>
        <w:spacing w:after="0" w:line="240" w:lineRule="auto"/>
        <w:jc w:val="both"/>
        <w:rPr>
          <w:rFonts w:ascii="Times New Roman" w:hAnsi="Times New Roman" w:cs="Times New Roman"/>
          <w:sz w:val="24"/>
          <w:szCs w:val="24"/>
        </w:rPr>
      </w:pPr>
      <w:r>
        <w:rPr>
          <w:rFonts w:ascii="Times New Roman" w:hAnsi="Times New Roman"/>
          <w:sz w:val="24"/>
        </w:rPr>
        <w:t>Objective 5: Protecting and Empowering Consumers.</w:t>
      </w:r>
    </w:p>
    <w:p w14:paraId="25FF23FF" w14:textId="3B08D9A7" w:rsidR="00042ABD" w:rsidRDefault="00042ABD" w:rsidP="00F63F08">
      <w:pPr>
        <w:jc w:val="both"/>
        <w:rPr>
          <w:lang w:eastAsia="sq-AL"/>
        </w:rPr>
      </w:pPr>
    </w:p>
    <w:p w14:paraId="5D92AFA9" w14:textId="78BDE752" w:rsidR="00A62FE6" w:rsidRDefault="00A62FE6" w:rsidP="00F63F08">
      <w:pPr>
        <w:jc w:val="both"/>
        <w:rPr>
          <w:lang w:eastAsia="sq-AL"/>
        </w:rPr>
      </w:pPr>
    </w:p>
    <w:p w14:paraId="28602D33" w14:textId="7614895C" w:rsidR="00A62FE6" w:rsidRDefault="00A62FE6" w:rsidP="00F63F08">
      <w:pPr>
        <w:jc w:val="both"/>
        <w:rPr>
          <w:lang w:eastAsia="sq-AL"/>
        </w:rPr>
      </w:pPr>
    </w:p>
    <w:p w14:paraId="0CE695E5" w14:textId="04807993" w:rsidR="00A62FE6" w:rsidRDefault="00A62FE6" w:rsidP="00F63F08">
      <w:pPr>
        <w:jc w:val="both"/>
        <w:rPr>
          <w:lang w:eastAsia="sq-AL"/>
        </w:rPr>
      </w:pPr>
    </w:p>
    <w:p w14:paraId="4FC4BA4B" w14:textId="77777777" w:rsidR="00C849A7" w:rsidRDefault="00C849A7" w:rsidP="00F63F08">
      <w:pPr>
        <w:jc w:val="both"/>
        <w:rPr>
          <w:lang w:eastAsia="sq-AL"/>
        </w:rPr>
      </w:pPr>
    </w:p>
    <w:p w14:paraId="12E2BA1F" w14:textId="77777777" w:rsidR="00A62FE6" w:rsidRDefault="00A62FE6" w:rsidP="00F63F08">
      <w:pPr>
        <w:jc w:val="both"/>
        <w:rPr>
          <w:lang w:eastAsia="sq-AL"/>
        </w:rPr>
      </w:pPr>
    </w:p>
    <w:p w14:paraId="4814C0A8" w14:textId="77777777" w:rsidR="00723DB4" w:rsidRPr="00A80234" w:rsidRDefault="00723DB4" w:rsidP="00F63F08">
      <w:pPr>
        <w:jc w:val="both"/>
        <w:rPr>
          <w:rFonts w:ascii="Times New Roman" w:hAnsi="Times New Roman" w:cs="Times New Roman"/>
          <w:b/>
          <w:bCs/>
          <w:sz w:val="24"/>
        </w:rPr>
      </w:pPr>
      <w:bookmarkStart w:id="5" w:name="_Hlk192841401"/>
      <w:r>
        <w:rPr>
          <w:rFonts w:ascii="Times New Roman" w:hAnsi="Times New Roman"/>
          <w:b/>
          <w:sz w:val="24"/>
        </w:rPr>
        <w:lastRenderedPageBreak/>
        <w:t xml:space="preserve">In 2024, the following can be considered as achievements: </w:t>
      </w:r>
    </w:p>
    <w:bookmarkEnd w:id="5"/>
    <w:p w14:paraId="5F2FD0C2" w14:textId="5E4FED82" w:rsidR="005252A3" w:rsidRPr="005252A3" w:rsidRDefault="005252A3" w:rsidP="00F63F08">
      <w:pPr>
        <w:jc w:val="both"/>
        <w:rPr>
          <w:rFonts w:ascii="Times New Roman" w:hAnsi="Times New Roman" w:cs="Times New Roman"/>
          <w:sz w:val="24"/>
        </w:rPr>
      </w:pPr>
      <w:r>
        <w:rPr>
          <w:rFonts w:ascii="Times New Roman" w:hAnsi="Times New Roman"/>
          <w:sz w:val="24"/>
        </w:rPr>
        <w:t>Investments in the transmission network at the low-voltage 0.4 kV level, at the medium voltage level 35/10(20) kV, new 110/10 (20) kV nodes (TSO &amp; DSO), and investments in the distribution network through which improvement of the quality of electricity supply and reduction of losses in the distribution network have been achieved. Additionally, investments in the Smart Grid, the installation of meters, and in Information Technology (IT) have raised accuracy in metering, enabled remote metering, billing, and precise and quick reading, and will also increase data security and protection, as well as modernize the infrastructure. All these investments affect the increase in the reliability of the Republic of Kosovo’s power system.</w:t>
      </w:r>
    </w:p>
    <w:p w14:paraId="4868999D" w14:textId="6551A4E6" w:rsidR="005252A3" w:rsidRDefault="00A80234" w:rsidP="00F63F08">
      <w:pPr>
        <w:jc w:val="both"/>
        <w:rPr>
          <w:rFonts w:ascii="Times New Roman" w:hAnsi="Times New Roman" w:cs="Times New Roman"/>
          <w:sz w:val="24"/>
        </w:rPr>
      </w:pPr>
      <w:r>
        <w:rPr>
          <w:rFonts w:ascii="Times New Roman" w:hAnsi="Times New Roman"/>
          <w:sz w:val="24"/>
        </w:rPr>
        <w:t xml:space="preserve">Another achievement is the implementation of Energy Efficiency (EE) measures in public buildings (both central and municipal level), through which energy savings of 6.6 </w:t>
      </w:r>
      <w:proofErr w:type="spellStart"/>
      <w:r>
        <w:rPr>
          <w:rFonts w:ascii="Times New Roman" w:hAnsi="Times New Roman"/>
          <w:sz w:val="24"/>
        </w:rPr>
        <w:t>ktoe</w:t>
      </w:r>
      <w:proofErr w:type="spellEnd"/>
      <w:r>
        <w:rPr>
          <w:rFonts w:ascii="Times New Roman" w:hAnsi="Times New Roman"/>
          <w:sz w:val="24"/>
        </w:rPr>
        <w:t>/year have been attained.</w:t>
      </w:r>
    </w:p>
    <w:p w14:paraId="6FD9EE87" w14:textId="439118CD" w:rsidR="005252A3" w:rsidRPr="005252A3" w:rsidRDefault="005252A3" w:rsidP="00F63F08">
      <w:pPr>
        <w:jc w:val="both"/>
        <w:rPr>
          <w:rFonts w:ascii="Times New Roman" w:hAnsi="Times New Roman" w:cs="Times New Roman"/>
          <w:sz w:val="24"/>
        </w:rPr>
      </w:pPr>
      <w:r>
        <w:rPr>
          <w:rFonts w:ascii="Times New Roman" w:hAnsi="Times New Roman"/>
          <w:sz w:val="24"/>
        </w:rPr>
        <w:t xml:space="preserve">In the field of regional cooperation in 2024, the following have been achieved: the operationalization of the day-ahead and intraday market within ALPEX and the organization of the first auction related to the Intraday Market. </w:t>
      </w:r>
    </w:p>
    <w:p w14:paraId="16A0B0B9" w14:textId="709FA628" w:rsidR="005252A3" w:rsidRPr="005252A3" w:rsidRDefault="005252A3" w:rsidP="00F63F08">
      <w:pPr>
        <w:jc w:val="both"/>
        <w:rPr>
          <w:rFonts w:ascii="Times New Roman" w:hAnsi="Times New Roman" w:cs="Times New Roman"/>
          <w:sz w:val="24"/>
        </w:rPr>
      </w:pPr>
      <w:r>
        <w:rPr>
          <w:rFonts w:ascii="Times New Roman" w:hAnsi="Times New Roman"/>
          <w:sz w:val="24"/>
        </w:rPr>
        <w:t>To support vulnerable customers and other consumers, subsidies have been provided to vulnerable families, and electricity bill subsidies have also been implemented; furthermore, a program for the protection of vulnerable customers has been approved.</w:t>
      </w:r>
    </w:p>
    <w:p w14:paraId="2DA87077" w14:textId="50C3B6DA" w:rsidR="005252A3" w:rsidRPr="005252A3" w:rsidRDefault="005252A3" w:rsidP="00F63F08">
      <w:pPr>
        <w:jc w:val="both"/>
        <w:rPr>
          <w:rFonts w:ascii="Times New Roman" w:hAnsi="Times New Roman" w:cs="Times New Roman"/>
          <w:sz w:val="24"/>
        </w:rPr>
      </w:pPr>
      <w:r>
        <w:rPr>
          <w:rFonts w:ascii="Times New Roman" w:hAnsi="Times New Roman"/>
          <w:sz w:val="24"/>
        </w:rPr>
        <w:t>In 2024, progress was also made in the implementation of activities in the District Heating (DH) sector, where investments continued in the expansion and rehabilitation of the District Heating (DH) network in Prishtina and in the installation of metering equipment for “</w:t>
      </w:r>
      <w:proofErr w:type="spellStart"/>
      <w:r>
        <w:rPr>
          <w:rFonts w:ascii="Times New Roman" w:hAnsi="Times New Roman"/>
          <w:sz w:val="24"/>
        </w:rPr>
        <w:t>Termokos</w:t>
      </w:r>
      <w:proofErr w:type="spellEnd"/>
      <w:r>
        <w:rPr>
          <w:rFonts w:ascii="Times New Roman" w:hAnsi="Times New Roman"/>
          <w:sz w:val="24"/>
        </w:rPr>
        <w:t>” customers. As a result, the District Heating (DH) system in Prishtina has been improved. The feasibility study for increasing the thermal capacity in the cogeneration of TPP “</w:t>
      </w:r>
      <w:proofErr w:type="spellStart"/>
      <w:r>
        <w:rPr>
          <w:rFonts w:ascii="Times New Roman" w:hAnsi="Times New Roman"/>
          <w:sz w:val="24"/>
        </w:rPr>
        <w:t>Kosova</w:t>
      </w:r>
      <w:proofErr w:type="spellEnd"/>
      <w:r>
        <w:rPr>
          <w:rFonts w:ascii="Times New Roman" w:hAnsi="Times New Roman"/>
          <w:sz w:val="24"/>
        </w:rPr>
        <w:t xml:space="preserve"> B” from 140 </w:t>
      </w:r>
      <w:proofErr w:type="spellStart"/>
      <w:r>
        <w:rPr>
          <w:rFonts w:ascii="Times New Roman" w:hAnsi="Times New Roman"/>
          <w:sz w:val="24"/>
        </w:rPr>
        <w:t>MWth</w:t>
      </w:r>
      <w:proofErr w:type="spellEnd"/>
      <w:r>
        <w:rPr>
          <w:rFonts w:ascii="Times New Roman" w:hAnsi="Times New Roman"/>
          <w:sz w:val="24"/>
        </w:rPr>
        <w:t xml:space="preserve"> to 280 </w:t>
      </w:r>
      <w:proofErr w:type="spellStart"/>
      <w:r>
        <w:rPr>
          <w:rFonts w:ascii="Times New Roman" w:hAnsi="Times New Roman"/>
          <w:sz w:val="24"/>
        </w:rPr>
        <w:t>MWth</w:t>
      </w:r>
      <w:proofErr w:type="spellEnd"/>
      <w:r>
        <w:rPr>
          <w:rFonts w:ascii="Times New Roman" w:hAnsi="Times New Roman"/>
          <w:sz w:val="24"/>
        </w:rPr>
        <w:t xml:space="preserve"> has also been completed.</w:t>
      </w:r>
    </w:p>
    <w:p w14:paraId="31EF551B" w14:textId="3C089FA3" w:rsidR="005252A3" w:rsidRPr="005252A3" w:rsidRDefault="005252A3" w:rsidP="00F63F08">
      <w:pPr>
        <w:jc w:val="both"/>
        <w:rPr>
          <w:rFonts w:ascii="Times New Roman" w:hAnsi="Times New Roman" w:cs="Times New Roman"/>
          <w:sz w:val="24"/>
        </w:rPr>
      </w:pPr>
      <w:r>
        <w:rPr>
          <w:rFonts w:ascii="Times New Roman" w:hAnsi="Times New Roman"/>
          <w:sz w:val="24"/>
        </w:rPr>
        <w:t xml:space="preserve">Another achievement in 2024 is the approval of the Law on the Promotion of the Use of RES by the Assembly of the Republic of Kosovo, published in the Official Gazette on 02.05.2024. Competitive auctions were organized to increase the share of RES, starting with 100 MW of photovoltaics, where on 31.05.2024 the agreement for project development and other agreements under the tender dossier was signed, followed by the opening of the first auction for the construction of wind energy capacities of 100 MW in December 2024. </w:t>
      </w:r>
    </w:p>
    <w:p w14:paraId="45A0B869" w14:textId="1A3CB197" w:rsidR="008449CD" w:rsidRPr="00C91D28" w:rsidRDefault="005252A3" w:rsidP="00F63F08">
      <w:pPr>
        <w:jc w:val="both"/>
        <w:rPr>
          <w:rFonts w:ascii="Times New Roman" w:hAnsi="Times New Roman" w:cs="Times New Roman"/>
          <w:sz w:val="24"/>
        </w:rPr>
      </w:pPr>
      <w:r>
        <w:rPr>
          <w:rFonts w:ascii="Times New Roman" w:hAnsi="Times New Roman"/>
          <w:sz w:val="24"/>
        </w:rPr>
        <w:t xml:space="preserve">Regarding new professional standards and curricula in line with labor market demands, four (4) new standards have been drafted for the energy sector based on labor market requirements.                                                                                        </w:t>
      </w:r>
    </w:p>
    <w:p w14:paraId="41CF788C" w14:textId="0FEFCF3C" w:rsidR="00001C3B" w:rsidRPr="00001C3B" w:rsidRDefault="00001C3B" w:rsidP="00F63F08">
      <w:pPr>
        <w:jc w:val="both"/>
        <w:rPr>
          <w:rFonts w:ascii="Times New Roman" w:hAnsi="Times New Roman" w:cs="Times New Roman"/>
          <w:sz w:val="24"/>
          <w:szCs w:val="24"/>
        </w:rPr>
      </w:pPr>
      <w:r>
        <w:rPr>
          <w:rFonts w:ascii="Times New Roman" w:hAnsi="Times New Roman"/>
          <w:sz w:val="24"/>
        </w:rPr>
        <w:t xml:space="preserve">The accomplishment of the 2024 objectives has reached fifty-seven percent (57%). </w:t>
      </w:r>
    </w:p>
    <w:p w14:paraId="5DB14651" w14:textId="44BBEC7D" w:rsidR="00AD3D66" w:rsidRDefault="00001C3B" w:rsidP="00A82739">
      <w:pPr>
        <w:jc w:val="both"/>
        <w:rPr>
          <w:rFonts w:ascii="Times New Roman" w:hAnsi="Times New Roman" w:cs="Times New Roman"/>
          <w:sz w:val="24"/>
          <w:szCs w:val="24"/>
        </w:rPr>
      </w:pPr>
      <w:r>
        <w:rPr>
          <w:rFonts w:ascii="Times New Roman" w:hAnsi="Times New Roman"/>
          <w:sz w:val="24"/>
        </w:rPr>
        <w:t>The achievements of the objectives for 2024 are presented in tabular and graphical form below.</w:t>
      </w:r>
    </w:p>
    <w:p w14:paraId="786C51B2" w14:textId="6E871525" w:rsidR="00A82739" w:rsidRDefault="00A82739" w:rsidP="00A82739">
      <w:pPr>
        <w:jc w:val="both"/>
        <w:rPr>
          <w:rFonts w:ascii="Times New Roman" w:hAnsi="Times New Roman" w:cs="Times New Roman"/>
          <w:sz w:val="24"/>
          <w:szCs w:val="24"/>
          <w:lang w:eastAsia="sq-AL"/>
        </w:rPr>
      </w:pPr>
    </w:p>
    <w:p w14:paraId="4F431378" w14:textId="77777777" w:rsidR="00A82739" w:rsidRPr="00FC346A" w:rsidRDefault="00A82739" w:rsidP="00A82739">
      <w:pPr>
        <w:jc w:val="both"/>
        <w:rPr>
          <w:rFonts w:ascii="Times New Roman" w:hAnsi="Times New Roman" w:cs="Times New Roman"/>
          <w:sz w:val="24"/>
          <w:szCs w:val="24"/>
          <w:lang w:eastAsia="sq-AL"/>
        </w:rPr>
      </w:pPr>
    </w:p>
    <w:tbl>
      <w:tblPr>
        <w:tblW w:w="3950" w:type="dxa"/>
        <w:jc w:val="center"/>
        <w:tblLook w:val="04A0" w:firstRow="1" w:lastRow="0" w:firstColumn="1" w:lastColumn="0" w:noHBand="0" w:noVBand="1"/>
      </w:tblPr>
      <w:tblGrid>
        <w:gridCol w:w="1695"/>
        <w:gridCol w:w="2290"/>
      </w:tblGrid>
      <w:tr w:rsidR="001023D9" w:rsidRPr="00FC346A" w14:paraId="3CC4B11C" w14:textId="77777777" w:rsidTr="001023D9">
        <w:trPr>
          <w:trHeight w:val="555"/>
          <w:jc w:val="center"/>
        </w:trPr>
        <w:tc>
          <w:tcPr>
            <w:tcW w:w="16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E36E1C" w14:textId="77777777" w:rsidR="001023D9" w:rsidRPr="0014539F" w:rsidRDefault="001023D9" w:rsidP="001023D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lastRenderedPageBreak/>
              <w:t> </w:t>
            </w:r>
          </w:p>
        </w:tc>
        <w:tc>
          <w:tcPr>
            <w:tcW w:w="2290" w:type="dxa"/>
            <w:tcBorders>
              <w:top w:val="single" w:sz="8" w:space="0" w:color="auto"/>
              <w:left w:val="nil"/>
              <w:bottom w:val="single" w:sz="4" w:space="0" w:color="auto"/>
              <w:right w:val="single" w:sz="8" w:space="0" w:color="auto"/>
            </w:tcBorders>
            <w:shd w:val="clear" w:color="auto" w:fill="auto"/>
            <w:vAlign w:val="center"/>
            <w:hideMark/>
          </w:tcPr>
          <w:p w14:paraId="54041C76" w14:textId="77777777" w:rsidR="001023D9" w:rsidRPr="00FC346A" w:rsidRDefault="001023D9" w:rsidP="001023D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2024</w:t>
            </w:r>
          </w:p>
        </w:tc>
      </w:tr>
      <w:tr w:rsidR="001023D9" w:rsidRPr="00FC346A" w14:paraId="02122168" w14:textId="77777777" w:rsidTr="001023D9">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0CB5BA2" w14:textId="77777777" w:rsidR="001023D9" w:rsidRPr="00FC346A" w:rsidRDefault="001023D9" w:rsidP="001023D9">
            <w:pPr>
              <w:spacing w:after="0" w:line="240" w:lineRule="auto"/>
              <w:rPr>
                <w:rFonts w:ascii="Times New Roman" w:eastAsia="Times New Roman" w:hAnsi="Times New Roman" w:cs="Times New Roman"/>
                <w:color w:val="000000"/>
              </w:rPr>
            </w:pPr>
            <w:r>
              <w:rPr>
                <w:rFonts w:ascii="Times New Roman" w:hAnsi="Times New Roman"/>
                <w:color w:val="000000"/>
              </w:rPr>
              <w:t>Objective 1</w:t>
            </w:r>
          </w:p>
        </w:tc>
        <w:tc>
          <w:tcPr>
            <w:tcW w:w="2290" w:type="dxa"/>
            <w:tcBorders>
              <w:top w:val="nil"/>
              <w:left w:val="nil"/>
              <w:bottom w:val="single" w:sz="4" w:space="0" w:color="auto"/>
              <w:right w:val="single" w:sz="8" w:space="0" w:color="auto"/>
            </w:tcBorders>
            <w:shd w:val="clear" w:color="auto" w:fill="auto"/>
            <w:noWrap/>
            <w:vAlign w:val="center"/>
            <w:hideMark/>
          </w:tcPr>
          <w:p w14:paraId="7487353B" w14:textId="77777777" w:rsidR="001023D9" w:rsidRPr="00FC346A" w:rsidRDefault="001023D9" w:rsidP="001023D9">
            <w:pPr>
              <w:spacing w:after="0" w:line="240" w:lineRule="auto"/>
              <w:jc w:val="center"/>
              <w:rPr>
                <w:rFonts w:ascii="Times New Roman" w:eastAsia="Times New Roman" w:hAnsi="Times New Roman" w:cs="Times New Roman"/>
                <w:color w:val="000000"/>
              </w:rPr>
            </w:pPr>
            <w:r>
              <w:rPr>
                <w:rFonts w:ascii="Times New Roman" w:hAnsi="Times New Roman"/>
                <w:color w:val="000000"/>
              </w:rPr>
              <w:t>45%</w:t>
            </w:r>
          </w:p>
        </w:tc>
      </w:tr>
      <w:tr w:rsidR="001023D9" w:rsidRPr="00FC346A" w14:paraId="7800CD7F" w14:textId="77777777" w:rsidTr="001023D9">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C9847C2" w14:textId="77777777" w:rsidR="001023D9" w:rsidRPr="00FC346A" w:rsidRDefault="001023D9" w:rsidP="001023D9">
            <w:pPr>
              <w:spacing w:after="0" w:line="240" w:lineRule="auto"/>
              <w:rPr>
                <w:rFonts w:ascii="Times New Roman" w:eastAsia="Times New Roman" w:hAnsi="Times New Roman" w:cs="Times New Roman"/>
                <w:color w:val="000000"/>
              </w:rPr>
            </w:pPr>
            <w:r>
              <w:rPr>
                <w:rFonts w:ascii="Times New Roman" w:hAnsi="Times New Roman"/>
                <w:color w:val="000000"/>
              </w:rPr>
              <w:t>Objective 2</w:t>
            </w:r>
          </w:p>
        </w:tc>
        <w:tc>
          <w:tcPr>
            <w:tcW w:w="2290" w:type="dxa"/>
            <w:tcBorders>
              <w:top w:val="nil"/>
              <w:left w:val="nil"/>
              <w:bottom w:val="single" w:sz="4" w:space="0" w:color="auto"/>
              <w:right w:val="single" w:sz="8" w:space="0" w:color="auto"/>
            </w:tcBorders>
            <w:shd w:val="clear" w:color="auto" w:fill="auto"/>
            <w:noWrap/>
            <w:vAlign w:val="center"/>
            <w:hideMark/>
          </w:tcPr>
          <w:p w14:paraId="4905A110" w14:textId="77777777" w:rsidR="001023D9" w:rsidRPr="00FC346A" w:rsidRDefault="00BD5EB7" w:rsidP="001023D9">
            <w:pPr>
              <w:spacing w:after="0" w:line="240" w:lineRule="auto"/>
              <w:jc w:val="center"/>
              <w:rPr>
                <w:rFonts w:ascii="Times New Roman" w:eastAsia="Times New Roman" w:hAnsi="Times New Roman" w:cs="Times New Roman"/>
                <w:color w:val="000000"/>
              </w:rPr>
            </w:pPr>
            <w:r>
              <w:rPr>
                <w:rFonts w:ascii="Times New Roman" w:hAnsi="Times New Roman"/>
                <w:color w:val="000000"/>
              </w:rPr>
              <w:t>42%</w:t>
            </w:r>
          </w:p>
        </w:tc>
      </w:tr>
      <w:tr w:rsidR="001023D9" w:rsidRPr="00FC346A" w14:paraId="7F89CE9E" w14:textId="77777777" w:rsidTr="001023D9">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1D88B3B" w14:textId="77777777" w:rsidR="001023D9" w:rsidRPr="00FC346A" w:rsidRDefault="001023D9" w:rsidP="001023D9">
            <w:pPr>
              <w:spacing w:after="0" w:line="240" w:lineRule="auto"/>
              <w:rPr>
                <w:rFonts w:ascii="Times New Roman" w:eastAsia="Times New Roman" w:hAnsi="Times New Roman" w:cs="Times New Roman"/>
                <w:color w:val="000000"/>
              </w:rPr>
            </w:pPr>
            <w:r>
              <w:rPr>
                <w:rFonts w:ascii="Times New Roman" w:hAnsi="Times New Roman"/>
                <w:color w:val="000000"/>
              </w:rPr>
              <w:t>Objective 3</w:t>
            </w:r>
          </w:p>
        </w:tc>
        <w:tc>
          <w:tcPr>
            <w:tcW w:w="2290" w:type="dxa"/>
            <w:tcBorders>
              <w:top w:val="nil"/>
              <w:left w:val="nil"/>
              <w:bottom w:val="single" w:sz="4" w:space="0" w:color="auto"/>
              <w:right w:val="single" w:sz="8" w:space="0" w:color="auto"/>
            </w:tcBorders>
            <w:shd w:val="clear" w:color="auto" w:fill="auto"/>
            <w:noWrap/>
            <w:vAlign w:val="center"/>
            <w:hideMark/>
          </w:tcPr>
          <w:p w14:paraId="7B622747" w14:textId="06D5626E" w:rsidR="001023D9" w:rsidRPr="00FC346A" w:rsidRDefault="00CF645F" w:rsidP="001023D9">
            <w:pPr>
              <w:spacing w:after="0" w:line="240" w:lineRule="auto"/>
              <w:jc w:val="center"/>
              <w:rPr>
                <w:rFonts w:ascii="Times New Roman" w:eastAsia="Times New Roman" w:hAnsi="Times New Roman" w:cs="Times New Roman"/>
                <w:color w:val="000000"/>
              </w:rPr>
            </w:pPr>
            <w:r>
              <w:rPr>
                <w:rFonts w:ascii="Times New Roman" w:hAnsi="Times New Roman"/>
                <w:color w:val="000000"/>
              </w:rPr>
              <w:t>59%</w:t>
            </w:r>
          </w:p>
        </w:tc>
      </w:tr>
      <w:tr w:rsidR="001023D9" w:rsidRPr="00FC346A" w14:paraId="59D4A138" w14:textId="77777777" w:rsidTr="001023D9">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4C87F1A" w14:textId="77777777" w:rsidR="001023D9" w:rsidRPr="00FC346A" w:rsidRDefault="001023D9" w:rsidP="001023D9">
            <w:pPr>
              <w:spacing w:after="0" w:line="240" w:lineRule="auto"/>
              <w:rPr>
                <w:rFonts w:ascii="Times New Roman" w:eastAsia="Times New Roman" w:hAnsi="Times New Roman" w:cs="Times New Roman"/>
                <w:color w:val="000000"/>
              </w:rPr>
            </w:pPr>
            <w:r>
              <w:rPr>
                <w:rFonts w:ascii="Times New Roman" w:hAnsi="Times New Roman"/>
                <w:color w:val="000000"/>
              </w:rPr>
              <w:t>Objective 4</w:t>
            </w:r>
          </w:p>
        </w:tc>
        <w:tc>
          <w:tcPr>
            <w:tcW w:w="2290" w:type="dxa"/>
            <w:tcBorders>
              <w:top w:val="nil"/>
              <w:left w:val="nil"/>
              <w:bottom w:val="single" w:sz="4" w:space="0" w:color="auto"/>
              <w:right w:val="single" w:sz="8" w:space="0" w:color="auto"/>
            </w:tcBorders>
            <w:shd w:val="clear" w:color="auto" w:fill="auto"/>
            <w:noWrap/>
            <w:vAlign w:val="center"/>
            <w:hideMark/>
          </w:tcPr>
          <w:p w14:paraId="7AC10473" w14:textId="77777777" w:rsidR="001023D9" w:rsidRPr="00FC346A" w:rsidRDefault="001023D9" w:rsidP="001023D9">
            <w:pPr>
              <w:spacing w:after="0" w:line="240" w:lineRule="auto"/>
              <w:jc w:val="center"/>
              <w:rPr>
                <w:rFonts w:ascii="Times New Roman" w:eastAsia="Times New Roman" w:hAnsi="Times New Roman" w:cs="Times New Roman"/>
                <w:color w:val="000000"/>
              </w:rPr>
            </w:pPr>
            <w:r>
              <w:rPr>
                <w:rFonts w:ascii="Times New Roman" w:hAnsi="Times New Roman"/>
                <w:color w:val="000000"/>
              </w:rPr>
              <w:t>47%</w:t>
            </w:r>
          </w:p>
        </w:tc>
      </w:tr>
      <w:tr w:rsidR="001023D9" w:rsidRPr="00FC346A" w14:paraId="6384DF56" w14:textId="77777777" w:rsidTr="001023D9">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D39BB7B" w14:textId="77777777" w:rsidR="001023D9" w:rsidRPr="00FC346A" w:rsidRDefault="001023D9" w:rsidP="001023D9">
            <w:pPr>
              <w:spacing w:after="0" w:line="240" w:lineRule="auto"/>
              <w:rPr>
                <w:rFonts w:ascii="Times New Roman" w:eastAsia="Times New Roman" w:hAnsi="Times New Roman" w:cs="Times New Roman"/>
                <w:color w:val="000000"/>
              </w:rPr>
            </w:pPr>
            <w:r>
              <w:rPr>
                <w:rFonts w:ascii="Times New Roman" w:hAnsi="Times New Roman"/>
                <w:color w:val="000000"/>
              </w:rPr>
              <w:t>Objective 5</w:t>
            </w:r>
          </w:p>
        </w:tc>
        <w:tc>
          <w:tcPr>
            <w:tcW w:w="2290" w:type="dxa"/>
            <w:tcBorders>
              <w:top w:val="nil"/>
              <w:left w:val="nil"/>
              <w:bottom w:val="single" w:sz="4" w:space="0" w:color="auto"/>
              <w:right w:val="single" w:sz="8" w:space="0" w:color="auto"/>
            </w:tcBorders>
            <w:shd w:val="clear" w:color="auto" w:fill="auto"/>
            <w:noWrap/>
            <w:vAlign w:val="center"/>
            <w:hideMark/>
          </w:tcPr>
          <w:p w14:paraId="3ADA4B3B" w14:textId="77777777" w:rsidR="001023D9" w:rsidRPr="00FC346A" w:rsidRDefault="007418EF" w:rsidP="001023D9">
            <w:pPr>
              <w:spacing w:after="0" w:line="240" w:lineRule="auto"/>
              <w:jc w:val="center"/>
              <w:rPr>
                <w:rFonts w:ascii="Times New Roman" w:eastAsia="Times New Roman" w:hAnsi="Times New Roman" w:cs="Times New Roman"/>
                <w:color w:val="000000"/>
              </w:rPr>
            </w:pPr>
            <w:r>
              <w:rPr>
                <w:rFonts w:ascii="Times New Roman" w:hAnsi="Times New Roman"/>
                <w:color w:val="000000"/>
              </w:rPr>
              <w:t>91%</w:t>
            </w:r>
          </w:p>
        </w:tc>
      </w:tr>
      <w:tr w:rsidR="001023D9" w:rsidRPr="00FC346A" w14:paraId="0BCFCF38" w14:textId="77777777" w:rsidTr="001023D9">
        <w:trPr>
          <w:trHeight w:val="615"/>
          <w:jc w:val="center"/>
        </w:trPr>
        <w:tc>
          <w:tcPr>
            <w:tcW w:w="1660" w:type="dxa"/>
            <w:tcBorders>
              <w:top w:val="nil"/>
              <w:left w:val="single" w:sz="8" w:space="0" w:color="auto"/>
              <w:bottom w:val="single" w:sz="8" w:space="0" w:color="auto"/>
              <w:right w:val="single" w:sz="4" w:space="0" w:color="auto"/>
            </w:tcBorders>
            <w:shd w:val="clear" w:color="auto" w:fill="auto"/>
            <w:vAlign w:val="bottom"/>
            <w:hideMark/>
          </w:tcPr>
          <w:p w14:paraId="7B78DC53" w14:textId="77777777" w:rsidR="001023D9" w:rsidRPr="00FC346A" w:rsidRDefault="001023D9" w:rsidP="001023D9">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Total of objective implementation  </w:t>
            </w:r>
          </w:p>
        </w:tc>
        <w:tc>
          <w:tcPr>
            <w:tcW w:w="2290" w:type="dxa"/>
            <w:tcBorders>
              <w:top w:val="nil"/>
              <w:left w:val="nil"/>
              <w:bottom w:val="single" w:sz="8" w:space="0" w:color="auto"/>
              <w:right w:val="single" w:sz="8" w:space="0" w:color="auto"/>
            </w:tcBorders>
            <w:shd w:val="clear" w:color="auto" w:fill="auto"/>
            <w:noWrap/>
            <w:vAlign w:val="center"/>
            <w:hideMark/>
          </w:tcPr>
          <w:p w14:paraId="66A9668B" w14:textId="4DBEE21B" w:rsidR="001023D9" w:rsidRPr="00FC346A" w:rsidRDefault="00CF645F" w:rsidP="001023D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57%</w:t>
            </w:r>
          </w:p>
        </w:tc>
      </w:tr>
    </w:tbl>
    <w:p w14:paraId="78C82D19" w14:textId="32771B6F" w:rsidR="00C94CCB" w:rsidRDefault="00C94CCB" w:rsidP="00D67422">
      <w:pPr>
        <w:jc w:val="both"/>
        <w:rPr>
          <w:rFonts w:ascii="Times New Roman" w:hAnsi="Times New Roman" w:cs="Times New Roman"/>
          <w:color w:val="000000" w:themeColor="text1"/>
          <w:sz w:val="24"/>
          <w:szCs w:val="24"/>
        </w:rPr>
      </w:pPr>
    </w:p>
    <w:p w14:paraId="6623E8A7" w14:textId="0AA12A02" w:rsidR="00FA70C8" w:rsidRDefault="00FA70C8" w:rsidP="00964D15">
      <w:pPr>
        <w:jc w:val="right"/>
        <w:rPr>
          <w:rFonts w:ascii="Times New Roman" w:hAnsi="Times New Roman" w:cs="Times New Roman"/>
          <w:color w:val="000000" w:themeColor="text1"/>
          <w:sz w:val="24"/>
          <w:szCs w:val="24"/>
        </w:rPr>
      </w:pPr>
    </w:p>
    <w:p w14:paraId="63D5524F" w14:textId="5C55EB76" w:rsidR="00FA70C8" w:rsidRDefault="006D6D77" w:rsidP="00964D15">
      <w:pPr>
        <w:jc w:val="center"/>
        <w:rPr>
          <w:rFonts w:ascii="Times New Roman" w:hAnsi="Times New Roman" w:cs="Times New Roman"/>
          <w:color w:val="000000" w:themeColor="text1"/>
          <w:sz w:val="24"/>
          <w:szCs w:val="24"/>
        </w:rPr>
      </w:pPr>
      <w:r>
        <w:rPr>
          <w:noProof/>
        </w:rPr>
        <w:drawing>
          <wp:inline distT="0" distB="0" distL="0" distR="0" wp14:anchorId="6736E827" wp14:editId="7448656B">
            <wp:extent cx="4874006" cy="2914360"/>
            <wp:effectExtent l="0" t="0" r="3175" b="635"/>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9DF5D7" w14:textId="09652B19" w:rsidR="00B85391" w:rsidRDefault="00B85391" w:rsidP="00E81C1A">
      <w:pPr>
        <w:jc w:val="both"/>
        <w:rPr>
          <w:rFonts w:ascii="Times New Roman" w:hAnsi="Times New Roman" w:cs="Times New Roman"/>
          <w:color w:val="FF0000"/>
          <w:sz w:val="24"/>
          <w:szCs w:val="24"/>
        </w:rPr>
      </w:pPr>
    </w:p>
    <w:p w14:paraId="093324AB" w14:textId="0A126BA6" w:rsidR="00B85391" w:rsidRDefault="00B85391" w:rsidP="00E81C1A">
      <w:pPr>
        <w:jc w:val="both"/>
        <w:rPr>
          <w:rFonts w:ascii="Times New Roman" w:hAnsi="Times New Roman" w:cs="Times New Roman"/>
          <w:color w:val="FF0000"/>
          <w:sz w:val="24"/>
          <w:szCs w:val="24"/>
        </w:rPr>
      </w:pPr>
    </w:p>
    <w:p w14:paraId="7FB86344" w14:textId="3E99BF68" w:rsidR="00B85391" w:rsidRDefault="00B85391" w:rsidP="00E81C1A">
      <w:pPr>
        <w:jc w:val="both"/>
        <w:rPr>
          <w:rFonts w:ascii="Times New Roman" w:hAnsi="Times New Roman" w:cs="Times New Roman"/>
          <w:color w:val="FF0000"/>
          <w:sz w:val="24"/>
          <w:szCs w:val="24"/>
        </w:rPr>
      </w:pPr>
    </w:p>
    <w:p w14:paraId="2B50C07D" w14:textId="34CBF2B9" w:rsidR="00B85391" w:rsidRDefault="00B85391" w:rsidP="00E81C1A">
      <w:pPr>
        <w:jc w:val="both"/>
        <w:rPr>
          <w:rFonts w:ascii="Times New Roman" w:hAnsi="Times New Roman" w:cs="Times New Roman"/>
          <w:color w:val="FF0000"/>
          <w:sz w:val="24"/>
          <w:szCs w:val="24"/>
        </w:rPr>
      </w:pPr>
    </w:p>
    <w:p w14:paraId="0F2B752F" w14:textId="464019F1" w:rsidR="001B7EDE" w:rsidRDefault="001B7EDE" w:rsidP="00E81C1A">
      <w:pPr>
        <w:jc w:val="both"/>
        <w:rPr>
          <w:rFonts w:ascii="Times New Roman" w:hAnsi="Times New Roman" w:cs="Times New Roman"/>
          <w:color w:val="FF0000"/>
          <w:sz w:val="24"/>
          <w:szCs w:val="24"/>
        </w:rPr>
      </w:pPr>
    </w:p>
    <w:p w14:paraId="243008B8" w14:textId="1B299E5C" w:rsidR="001B7EDE" w:rsidRDefault="001B7EDE" w:rsidP="00E81C1A">
      <w:pPr>
        <w:jc w:val="both"/>
        <w:rPr>
          <w:rFonts w:ascii="Times New Roman" w:hAnsi="Times New Roman" w:cs="Times New Roman"/>
          <w:color w:val="FF0000"/>
          <w:sz w:val="24"/>
          <w:szCs w:val="24"/>
        </w:rPr>
      </w:pPr>
    </w:p>
    <w:p w14:paraId="26AD025F" w14:textId="07653ACF" w:rsidR="001B7EDE" w:rsidRDefault="001B7EDE" w:rsidP="00E81C1A">
      <w:pPr>
        <w:jc w:val="both"/>
        <w:rPr>
          <w:rFonts w:ascii="Times New Roman" w:hAnsi="Times New Roman" w:cs="Times New Roman"/>
          <w:color w:val="FF0000"/>
          <w:sz w:val="24"/>
          <w:szCs w:val="24"/>
        </w:rPr>
      </w:pPr>
    </w:p>
    <w:p w14:paraId="518DD0F8" w14:textId="24D061FB" w:rsidR="001B7EDE" w:rsidRDefault="001B7EDE" w:rsidP="00E81C1A">
      <w:pPr>
        <w:jc w:val="both"/>
        <w:rPr>
          <w:rFonts w:ascii="Times New Roman" w:hAnsi="Times New Roman" w:cs="Times New Roman"/>
          <w:color w:val="FF0000"/>
          <w:sz w:val="24"/>
          <w:szCs w:val="24"/>
        </w:rPr>
      </w:pPr>
    </w:p>
    <w:p w14:paraId="694B9287" w14:textId="04F0C31A" w:rsidR="001B7EDE" w:rsidRDefault="001B7EDE" w:rsidP="00E81C1A">
      <w:pPr>
        <w:jc w:val="both"/>
        <w:rPr>
          <w:rFonts w:ascii="Times New Roman" w:hAnsi="Times New Roman" w:cs="Times New Roman"/>
          <w:color w:val="FF0000"/>
          <w:sz w:val="24"/>
          <w:szCs w:val="24"/>
        </w:rPr>
      </w:pPr>
    </w:p>
    <w:p w14:paraId="781A550B" w14:textId="77777777" w:rsidR="00BD675F" w:rsidRDefault="00BD675F" w:rsidP="00BD675F">
      <w:pPr>
        <w:pStyle w:val="Heading1"/>
        <w:jc w:val="left"/>
      </w:pPr>
      <w:bookmarkStart w:id="6" w:name="_Toc195271846"/>
      <w:r>
        <w:lastRenderedPageBreak/>
        <w:t>PROGRESS IN THE IMPLEMENTATION OF THE OBJECTIVES OF THE STRATEGIC DOCUMENTS</w:t>
      </w:r>
      <w:bookmarkEnd w:id="6"/>
    </w:p>
    <w:p w14:paraId="253D7392" w14:textId="77777777" w:rsidR="00BD675F" w:rsidRPr="00BD675F" w:rsidRDefault="00BD675F" w:rsidP="00BD675F">
      <w:pPr>
        <w:rPr>
          <w:lang w:eastAsia="sq-AL"/>
        </w:rPr>
      </w:pPr>
    </w:p>
    <w:p w14:paraId="41876328" w14:textId="77777777" w:rsidR="00BD675F" w:rsidRPr="00F9446D" w:rsidRDefault="00BD675F" w:rsidP="00F63F08">
      <w:pPr>
        <w:jc w:val="both"/>
        <w:rPr>
          <w:rFonts w:ascii="Times New Roman" w:hAnsi="Times New Roman" w:cs="Times New Roman"/>
          <w:sz w:val="24"/>
          <w:szCs w:val="24"/>
        </w:rPr>
      </w:pPr>
      <w:r>
        <w:rPr>
          <w:rFonts w:ascii="Times New Roman" w:hAnsi="Times New Roman"/>
          <w:sz w:val="24"/>
        </w:rPr>
        <w:t xml:space="preserve">This Progress Report presents the level of implementation of activities and projects planned for 2024. </w:t>
      </w:r>
    </w:p>
    <w:p w14:paraId="01F3DB70" w14:textId="04E95123" w:rsidR="00BD675F" w:rsidRPr="00F9446D" w:rsidRDefault="00BD675F" w:rsidP="00F63F08">
      <w:pPr>
        <w:jc w:val="both"/>
        <w:rPr>
          <w:rFonts w:ascii="Times New Roman" w:hAnsi="Times New Roman" w:cs="Times New Roman"/>
          <w:sz w:val="24"/>
          <w:szCs w:val="24"/>
        </w:rPr>
      </w:pPr>
      <w:r>
        <w:rPr>
          <w:rFonts w:ascii="Times New Roman" w:hAnsi="Times New Roman"/>
          <w:sz w:val="24"/>
        </w:rPr>
        <w:t>To prepare this report, an Inter-Institutional Coordination Group (ICG) was established, where the Ministry of Economy (ME) prepared the matrix and forwarded it to all members of the group to report on achievements, challenges and issues in the implementation of planned projects for 2024. After receiving inputs from the members of the Coordination Group (CG), further elaboration of the matrix was done and finalization was completed.</w:t>
      </w:r>
    </w:p>
    <w:p w14:paraId="03360C5E" w14:textId="77777777" w:rsidR="00BD675F" w:rsidRPr="00F9446D" w:rsidRDefault="00BD675F" w:rsidP="00F63F08">
      <w:pPr>
        <w:jc w:val="both"/>
        <w:rPr>
          <w:rFonts w:ascii="Times New Roman" w:hAnsi="Times New Roman" w:cs="Times New Roman"/>
          <w:sz w:val="24"/>
          <w:szCs w:val="24"/>
        </w:rPr>
      </w:pPr>
      <w:r>
        <w:rPr>
          <w:rFonts w:ascii="Times New Roman" w:hAnsi="Times New Roman"/>
          <w:sz w:val="24"/>
        </w:rPr>
        <w:t>Based on the data provided by the responsible institutions in the submitted matrix, the narrative section of this report was prepared.</w:t>
      </w:r>
    </w:p>
    <w:p w14:paraId="4B8519DD" w14:textId="36527F96" w:rsidR="00BD675F" w:rsidRPr="00F9446D" w:rsidRDefault="00BD675F" w:rsidP="00F63F08">
      <w:pPr>
        <w:jc w:val="both"/>
        <w:rPr>
          <w:rFonts w:ascii="Times New Roman" w:hAnsi="Times New Roman" w:cs="Times New Roman"/>
          <w:sz w:val="24"/>
          <w:szCs w:val="24"/>
        </w:rPr>
      </w:pPr>
      <w:r>
        <w:rPr>
          <w:rFonts w:ascii="Times New Roman" w:hAnsi="Times New Roman"/>
          <w:sz w:val="24"/>
        </w:rPr>
        <w:t>The narrative section describes the progress of each strategic objective, outlining achievements, reasons for delays in some activities/projects, and challenges for some projects that have not been fully realized.</w:t>
      </w:r>
    </w:p>
    <w:p w14:paraId="02C990F6" w14:textId="5B3E0D30" w:rsidR="003768F1" w:rsidRDefault="00BD675F" w:rsidP="00E81C1A">
      <w:pPr>
        <w:jc w:val="both"/>
        <w:rPr>
          <w:rFonts w:ascii="Times New Roman" w:hAnsi="Times New Roman" w:cs="Times New Roman"/>
          <w:sz w:val="24"/>
          <w:szCs w:val="24"/>
        </w:rPr>
      </w:pPr>
      <w:r>
        <w:rPr>
          <w:rFonts w:ascii="Times New Roman" w:hAnsi="Times New Roman"/>
          <w:sz w:val="24"/>
        </w:rPr>
        <w:t>The following description is based on the structure of the Kosovo Energy Strategy Implementation Program (KESIP) for the period 2022 - 2025, which includes activities and projects for 2024.</w:t>
      </w:r>
    </w:p>
    <w:p w14:paraId="09CAD3BC" w14:textId="77777777" w:rsidR="00C43A7C" w:rsidRDefault="00BD675F" w:rsidP="00BD675F">
      <w:pPr>
        <w:pStyle w:val="Heading1"/>
        <w:jc w:val="left"/>
      </w:pPr>
      <w:bookmarkStart w:id="7" w:name="_Toc195271847"/>
      <w:r>
        <w:t>PROGRESS AGAINST THE OBJECTIVES</w:t>
      </w:r>
      <w:bookmarkEnd w:id="7"/>
    </w:p>
    <w:p w14:paraId="452986C6" w14:textId="77777777" w:rsidR="00BD675F" w:rsidRPr="00BD675F" w:rsidRDefault="00BD675F" w:rsidP="00BD675F">
      <w:pPr>
        <w:rPr>
          <w:lang w:eastAsia="sq-AL"/>
        </w:rPr>
      </w:pPr>
    </w:p>
    <w:p w14:paraId="65244298" w14:textId="77777777" w:rsidR="008D0C63" w:rsidRPr="00726BE9" w:rsidRDefault="008D0C63" w:rsidP="00F63F08">
      <w:pPr>
        <w:jc w:val="both"/>
        <w:rPr>
          <w:rFonts w:ascii="Times New Roman" w:hAnsi="Times New Roman" w:cs="Times New Roman"/>
          <w:b/>
          <w:sz w:val="24"/>
          <w:szCs w:val="24"/>
          <w:u w:val="single"/>
        </w:rPr>
      </w:pPr>
      <w:r>
        <w:rPr>
          <w:rFonts w:ascii="Times New Roman" w:hAnsi="Times New Roman"/>
          <w:b/>
          <w:sz w:val="24"/>
          <w:u w:val="single"/>
        </w:rPr>
        <w:t xml:space="preserve">Objective 1: Improving system resilience </w:t>
      </w:r>
    </w:p>
    <w:p w14:paraId="3B1BA89F" w14:textId="4DECA03A" w:rsidR="008D0C63" w:rsidRDefault="00C91D28" w:rsidP="00F63F08">
      <w:pPr>
        <w:jc w:val="both"/>
        <w:rPr>
          <w:rFonts w:ascii="Times New Roman" w:hAnsi="Times New Roman" w:cs="Times New Roman"/>
          <w:sz w:val="24"/>
          <w:szCs w:val="24"/>
        </w:rPr>
      </w:pPr>
      <w:r>
        <w:rPr>
          <w:rFonts w:ascii="Times New Roman" w:hAnsi="Times New Roman"/>
          <w:sz w:val="24"/>
        </w:rPr>
        <w:t xml:space="preserve">Objective “Improving system resilience”, includes all activities that ensure the security of electricity supply and the functioning of a sustainable power system. </w:t>
      </w:r>
    </w:p>
    <w:p w14:paraId="2F20A8B7" w14:textId="668DB120" w:rsidR="008D0C63" w:rsidRDefault="00384056" w:rsidP="00F63F08">
      <w:pPr>
        <w:jc w:val="both"/>
        <w:rPr>
          <w:rFonts w:ascii="Times New Roman" w:hAnsi="Times New Roman" w:cs="Times New Roman"/>
          <w:sz w:val="24"/>
          <w:szCs w:val="24"/>
        </w:rPr>
      </w:pPr>
      <w:r>
        <w:rPr>
          <w:rFonts w:ascii="Times New Roman" w:hAnsi="Times New Roman"/>
          <w:sz w:val="24"/>
        </w:rPr>
        <w:t>The planned activities that have seen developments during this period and have contributed to improving system resilience are:</w:t>
      </w:r>
    </w:p>
    <w:p w14:paraId="12F53CDD" w14:textId="77777777" w:rsidR="005252A3" w:rsidRPr="005252A3" w:rsidRDefault="005252A3" w:rsidP="00F63F08">
      <w:pPr>
        <w:pStyle w:val="ListParagraph"/>
        <w:numPr>
          <w:ilvl w:val="0"/>
          <w:numId w:val="10"/>
        </w:numPr>
        <w:jc w:val="both"/>
        <w:rPr>
          <w:rFonts w:ascii="Times New Roman" w:hAnsi="Times New Roman" w:cs="Times New Roman"/>
          <w:sz w:val="24"/>
          <w:szCs w:val="24"/>
        </w:rPr>
      </w:pPr>
      <w:r>
        <w:rPr>
          <w:rFonts w:ascii="Times New Roman" w:hAnsi="Times New Roman"/>
          <w:sz w:val="24"/>
        </w:rPr>
        <w:t xml:space="preserve">Building of substations in </w:t>
      </w:r>
      <w:proofErr w:type="spellStart"/>
      <w:r>
        <w:rPr>
          <w:rFonts w:ascii="Times New Roman" w:hAnsi="Times New Roman"/>
          <w:sz w:val="24"/>
        </w:rPr>
        <w:t>Ferizaj</w:t>
      </w:r>
      <w:proofErr w:type="spellEnd"/>
      <w:r>
        <w:rPr>
          <w:rFonts w:ascii="Times New Roman" w:hAnsi="Times New Roman"/>
          <w:sz w:val="24"/>
        </w:rPr>
        <w:t xml:space="preserve"> and </w:t>
      </w:r>
      <w:proofErr w:type="spellStart"/>
      <w:r>
        <w:rPr>
          <w:rFonts w:ascii="Times New Roman" w:hAnsi="Times New Roman"/>
          <w:sz w:val="24"/>
        </w:rPr>
        <w:t>Fushe-Kosova</w:t>
      </w:r>
      <w:proofErr w:type="spellEnd"/>
      <w:r>
        <w:rPr>
          <w:rFonts w:ascii="Times New Roman" w:hAnsi="Times New Roman"/>
          <w:sz w:val="24"/>
        </w:rPr>
        <w:t>;</w:t>
      </w:r>
    </w:p>
    <w:p w14:paraId="652CAF98" w14:textId="5F84B7E8" w:rsidR="005252A3" w:rsidRPr="005252A3" w:rsidRDefault="008D0C63" w:rsidP="00F63F08">
      <w:pPr>
        <w:pStyle w:val="ListParagraph"/>
        <w:numPr>
          <w:ilvl w:val="0"/>
          <w:numId w:val="10"/>
        </w:numPr>
        <w:jc w:val="both"/>
        <w:rPr>
          <w:rFonts w:ascii="Times New Roman" w:hAnsi="Times New Roman" w:cs="Times New Roman"/>
          <w:sz w:val="24"/>
          <w:szCs w:val="24"/>
        </w:rPr>
      </w:pPr>
      <w:r>
        <w:rPr>
          <w:rFonts w:ascii="Times New Roman" w:hAnsi="Times New Roman"/>
          <w:sz w:val="24"/>
        </w:rPr>
        <w:t>Capital investments in Information Technology (IT);</w:t>
      </w:r>
    </w:p>
    <w:p w14:paraId="7E5934BB" w14:textId="77777777" w:rsidR="008D0C63" w:rsidRDefault="008D0C63" w:rsidP="00F63F08">
      <w:pPr>
        <w:pStyle w:val="ListParagraph"/>
        <w:numPr>
          <w:ilvl w:val="0"/>
          <w:numId w:val="10"/>
        </w:numPr>
        <w:jc w:val="both"/>
        <w:rPr>
          <w:rFonts w:ascii="Times New Roman" w:hAnsi="Times New Roman" w:cs="Times New Roman"/>
          <w:sz w:val="24"/>
          <w:szCs w:val="24"/>
        </w:rPr>
      </w:pPr>
      <w:r>
        <w:rPr>
          <w:rFonts w:ascii="Times New Roman" w:hAnsi="Times New Roman"/>
          <w:sz w:val="24"/>
        </w:rPr>
        <w:t>Medium voltage projects 35/10(20) kV;</w:t>
      </w:r>
    </w:p>
    <w:p w14:paraId="3F48D3F5" w14:textId="77777777" w:rsidR="005252A3" w:rsidRPr="005252A3" w:rsidRDefault="005252A3" w:rsidP="00F63F08">
      <w:pPr>
        <w:pStyle w:val="ListParagraph"/>
        <w:numPr>
          <w:ilvl w:val="0"/>
          <w:numId w:val="10"/>
        </w:numPr>
        <w:jc w:val="both"/>
        <w:rPr>
          <w:rFonts w:ascii="Times New Roman" w:hAnsi="Times New Roman" w:cs="Times New Roman"/>
          <w:sz w:val="24"/>
          <w:szCs w:val="24"/>
        </w:rPr>
      </w:pPr>
      <w:r>
        <w:rPr>
          <w:rFonts w:ascii="Times New Roman" w:hAnsi="Times New Roman"/>
          <w:sz w:val="24"/>
        </w:rPr>
        <w:t>Installation of meters;</w:t>
      </w:r>
    </w:p>
    <w:p w14:paraId="67F838BD" w14:textId="0AE6876D" w:rsidR="001B1056" w:rsidRDefault="008D0C63" w:rsidP="00F63F08">
      <w:pPr>
        <w:pStyle w:val="ListParagraph"/>
        <w:numPr>
          <w:ilvl w:val="0"/>
          <w:numId w:val="10"/>
        </w:numPr>
        <w:jc w:val="both"/>
        <w:rPr>
          <w:rFonts w:ascii="Times New Roman" w:hAnsi="Times New Roman" w:cs="Times New Roman"/>
          <w:sz w:val="24"/>
          <w:szCs w:val="24"/>
        </w:rPr>
      </w:pPr>
      <w:r>
        <w:rPr>
          <w:rFonts w:ascii="Times New Roman" w:hAnsi="Times New Roman"/>
          <w:sz w:val="24"/>
        </w:rPr>
        <w:t>Expanded Network (Smart Grid).</w:t>
      </w:r>
    </w:p>
    <w:p w14:paraId="48E60E01" w14:textId="77777777" w:rsidR="00A62FE6" w:rsidRPr="001B1056" w:rsidRDefault="00A62FE6" w:rsidP="00A62FE6">
      <w:pPr>
        <w:pStyle w:val="ListParagraph"/>
        <w:jc w:val="both"/>
        <w:rPr>
          <w:rFonts w:ascii="Times New Roman" w:hAnsi="Times New Roman" w:cs="Times New Roman"/>
          <w:sz w:val="24"/>
          <w:szCs w:val="24"/>
        </w:rPr>
      </w:pPr>
    </w:p>
    <w:p w14:paraId="38A5A997" w14:textId="77777777" w:rsidR="008D0C63" w:rsidRDefault="008D0C63" w:rsidP="00F63F08">
      <w:pPr>
        <w:jc w:val="both"/>
        <w:rPr>
          <w:rFonts w:ascii="Times New Roman" w:hAnsi="Times New Roman" w:cs="Times New Roman"/>
          <w:b/>
          <w:sz w:val="24"/>
          <w:szCs w:val="24"/>
          <w:u w:val="single"/>
        </w:rPr>
      </w:pPr>
      <w:r>
        <w:rPr>
          <w:rFonts w:ascii="Times New Roman" w:hAnsi="Times New Roman"/>
          <w:b/>
          <w:sz w:val="24"/>
          <w:u w:val="single"/>
        </w:rPr>
        <w:t>Objective 2: Decarbonization and Promoting Renewable Energy</w:t>
      </w:r>
    </w:p>
    <w:p w14:paraId="4667D428" w14:textId="2C077B94" w:rsidR="00901979" w:rsidRPr="0014539F" w:rsidRDefault="00901979" w:rsidP="00F63F08">
      <w:pPr>
        <w:pStyle w:val="NormalWeb"/>
        <w:jc w:val="both"/>
      </w:pPr>
      <w:r>
        <w:t>The path toward reducing carbon dioxide (CO2) emissions is a key element in strategies to achieve environmental sustainability goals. To realize this, the development of large-scale Renewable Energy Sources (RES) capacities is an essential step, based on the technical and economic potential of these sources.</w:t>
      </w:r>
    </w:p>
    <w:p w14:paraId="1842D541" w14:textId="64D0F3A9" w:rsidR="00901979" w:rsidRPr="0014539F" w:rsidRDefault="00901979" w:rsidP="00F63F08">
      <w:pPr>
        <w:pStyle w:val="NormalWeb"/>
        <w:jc w:val="both"/>
      </w:pPr>
      <w:r>
        <w:lastRenderedPageBreak/>
        <w:t xml:space="preserve">Most of the activities foreseen for this period were oriented towards creating a legal and infrastructural basis that enables the development of renewable energy projects. </w:t>
      </w:r>
    </w:p>
    <w:p w14:paraId="56FBE678" w14:textId="3F208ED5" w:rsidR="005252A3" w:rsidRPr="005252A3" w:rsidRDefault="005252A3" w:rsidP="00F63F08">
      <w:pPr>
        <w:jc w:val="both"/>
        <w:rPr>
          <w:rFonts w:ascii="Times New Roman" w:hAnsi="Times New Roman" w:cs="Times New Roman"/>
          <w:sz w:val="24"/>
          <w:szCs w:val="24"/>
        </w:rPr>
      </w:pPr>
      <w:r>
        <w:rPr>
          <w:rFonts w:ascii="Times New Roman" w:hAnsi="Times New Roman"/>
          <w:sz w:val="24"/>
        </w:rPr>
        <w:t>In 2024, the following activities have been completed:</w:t>
      </w:r>
    </w:p>
    <w:p w14:paraId="18C56ADA" w14:textId="77777777" w:rsidR="005252A3" w:rsidRPr="005252A3" w:rsidRDefault="005252A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Adoption of the Law on Renewable Energy Resources (RES);</w:t>
      </w:r>
    </w:p>
    <w:p w14:paraId="68A0FE31" w14:textId="77777777" w:rsidR="008D0C63" w:rsidRPr="00AB6A85" w:rsidRDefault="008D0C6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Feasibility study for the development of the Solar District Heating (DH) project - Solar4Kosovo;</w:t>
      </w:r>
    </w:p>
    <w:p w14:paraId="03448535" w14:textId="7721719D" w:rsidR="008D0C63" w:rsidRDefault="005252A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Feasibility Study &amp; Environmental and Social Impact Assessment for the District Heating System in nine (9) municipalities of the Republic of Kosovo.</w:t>
      </w:r>
    </w:p>
    <w:p w14:paraId="620F6EDA" w14:textId="1AA1926D" w:rsidR="005252A3" w:rsidRPr="00A82739" w:rsidRDefault="005252A3" w:rsidP="00A82739">
      <w:pPr>
        <w:pStyle w:val="ListParagraph"/>
        <w:numPr>
          <w:ilvl w:val="0"/>
          <w:numId w:val="5"/>
        </w:numPr>
        <w:jc w:val="both"/>
        <w:rPr>
          <w:rFonts w:ascii="Times New Roman" w:hAnsi="Times New Roman" w:cs="Times New Roman"/>
          <w:sz w:val="24"/>
          <w:szCs w:val="24"/>
        </w:rPr>
      </w:pPr>
      <w:r>
        <w:rPr>
          <w:rFonts w:ascii="Times New Roman" w:hAnsi="Times New Roman"/>
          <w:sz w:val="24"/>
        </w:rPr>
        <w:t>Organization of the first auction in the Republic of Kosovo for 100 MW of solar energy.</w:t>
      </w:r>
    </w:p>
    <w:p w14:paraId="051C7D96" w14:textId="6A918C08" w:rsidR="008D0C63" w:rsidRPr="004F2C96" w:rsidRDefault="008D0C63" w:rsidP="00F63F08">
      <w:pPr>
        <w:jc w:val="both"/>
        <w:rPr>
          <w:rFonts w:ascii="Times New Roman" w:hAnsi="Times New Roman" w:cs="Times New Roman"/>
          <w:b/>
          <w:sz w:val="24"/>
          <w:szCs w:val="24"/>
          <w:u w:val="single"/>
        </w:rPr>
      </w:pPr>
      <w:r>
        <w:rPr>
          <w:rFonts w:ascii="Times New Roman" w:hAnsi="Times New Roman"/>
          <w:b/>
          <w:sz w:val="24"/>
          <w:u w:val="single"/>
        </w:rPr>
        <w:t>Objective 3: Increasing Energy Efficiency (EE)</w:t>
      </w:r>
    </w:p>
    <w:p w14:paraId="310A958C" w14:textId="20055D47" w:rsidR="00B31FA1" w:rsidRDefault="00B31FA1" w:rsidP="00F63F08">
      <w:pPr>
        <w:jc w:val="both"/>
        <w:rPr>
          <w:rFonts w:ascii="Times New Roman" w:hAnsi="Times New Roman" w:cs="Times New Roman"/>
          <w:sz w:val="24"/>
          <w:szCs w:val="24"/>
        </w:rPr>
      </w:pPr>
      <w:r>
        <w:rPr>
          <w:rFonts w:ascii="Times New Roman" w:hAnsi="Times New Roman"/>
          <w:sz w:val="24"/>
        </w:rPr>
        <w:t>Improving Energy Efficiency (EE) is a key component of efforts to achieve the goals of the energy strategy. Increasing Energy Efficiency (EE) helps ensure energy supply security by reducing import dependence and making the energy system more sustainable. Likewise, reducing energy demand lowers costs for consumers and contributes to better air quality by reducing pollution and Greenhouse Gas (GHG) emissions.</w:t>
      </w:r>
    </w:p>
    <w:p w14:paraId="7E17DC38" w14:textId="6A293CE5" w:rsidR="00B31FA1" w:rsidRDefault="00B31FA1" w:rsidP="00F63F08">
      <w:pPr>
        <w:jc w:val="both"/>
        <w:rPr>
          <w:rFonts w:ascii="Times New Roman" w:hAnsi="Times New Roman" w:cs="Times New Roman"/>
          <w:sz w:val="24"/>
          <w:szCs w:val="24"/>
        </w:rPr>
      </w:pPr>
      <w:r>
        <w:rPr>
          <w:rFonts w:ascii="Times New Roman" w:hAnsi="Times New Roman"/>
          <w:sz w:val="24"/>
        </w:rPr>
        <w:t>In 2024, the number of activities that have advanced and contributed to increasing Energy Efficiency (EE) includes a range of actions and projects that improve the use and saving of energy.</w:t>
      </w:r>
    </w:p>
    <w:p w14:paraId="746851AB" w14:textId="77777777" w:rsidR="005252A3" w:rsidRDefault="008D0C63" w:rsidP="00F63F08">
      <w:pPr>
        <w:jc w:val="both"/>
        <w:rPr>
          <w:rFonts w:ascii="Times New Roman" w:hAnsi="Times New Roman" w:cs="Times New Roman"/>
          <w:sz w:val="24"/>
          <w:szCs w:val="24"/>
        </w:rPr>
      </w:pPr>
      <w:r>
        <w:rPr>
          <w:rFonts w:ascii="Times New Roman" w:hAnsi="Times New Roman"/>
          <w:sz w:val="24"/>
        </w:rPr>
        <w:t>These activities are:</w:t>
      </w:r>
    </w:p>
    <w:p w14:paraId="6111FABD" w14:textId="77777777" w:rsidR="005252A3" w:rsidRPr="005252A3" w:rsidRDefault="005252A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 xml:space="preserve">Adoption </w:t>
      </w:r>
      <w:proofErr w:type="spellStart"/>
      <w:r>
        <w:rPr>
          <w:rFonts w:ascii="Times New Roman" w:hAnsi="Times New Roman"/>
          <w:sz w:val="24"/>
        </w:rPr>
        <w:t>f</w:t>
      </w:r>
      <w:proofErr w:type="spellEnd"/>
      <w:r>
        <w:rPr>
          <w:rFonts w:ascii="Times New Roman" w:hAnsi="Times New Roman"/>
          <w:sz w:val="24"/>
        </w:rPr>
        <w:t xml:space="preserve"> the Law on Energy Performance of Buildings;</w:t>
      </w:r>
    </w:p>
    <w:p w14:paraId="09CD1AFA" w14:textId="77777777" w:rsidR="008D0C63" w:rsidRPr="003A5911" w:rsidRDefault="008D0C6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Expansion and rehabilitation of the District Heating (DH) network in Prishtina;</w:t>
      </w:r>
    </w:p>
    <w:p w14:paraId="1C909508" w14:textId="6BD8E6BF" w:rsidR="008D0C63" w:rsidRDefault="00C17BB7" w:rsidP="00F63F08">
      <w:pPr>
        <w:pStyle w:val="ListParagraph"/>
        <w:numPr>
          <w:ilvl w:val="0"/>
          <w:numId w:val="5"/>
        </w:numPr>
        <w:jc w:val="both"/>
        <w:rPr>
          <w:rFonts w:ascii="Times New Roman" w:hAnsi="Times New Roman" w:cs="Times New Roman"/>
          <w:sz w:val="24"/>
          <w:szCs w:val="24"/>
        </w:rPr>
      </w:pPr>
      <w:proofErr w:type="spellStart"/>
      <w:r>
        <w:t>Implementatino</w:t>
      </w:r>
      <w:proofErr w:type="spellEnd"/>
      <w:r>
        <w:t xml:space="preserve"> of Energy Efficiency (EE) measures in public buildings, both central and municipal level, through which energy savings of 6.6 </w:t>
      </w:r>
      <w:proofErr w:type="spellStart"/>
      <w:r>
        <w:t>ktoe</w:t>
      </w:r>
      <w:proofErr w:type="spellEnd"/>
      <w:r>
        <w:t>/year have been attained.</w:t>
      </w:r>
    </w:p>
    <w:p w14:paraId="56C94126" w14:textId="77777777" w:rsidR="008D0C63" w:rsidRDefault="008D0C6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Installation of metering devices for “</w:t>
      </w:r>
      <w:proofErr w:type="spellStart"/>
      <w:r>
        <w:rPr>
          <w:rFonts w:ascii="Times New Roman" w:hAnsi="Times New Roman"/>
          <w:sz w:val="24"/>
        </w:rPr>
        <w:t>Termokos</w:t>
      </w:r>
      <w:proofErr w:type="spellEnd"/>
      <w:r>
        <w:rPr>
          <w:rFonts w:ascii="Times New Roman" w:hAnsi="Times New Roman"/>
          <w:sz w:val="24"/>
        </w:rPr>
        <w:t>” consumers;</w:t>
      </w:r>
    </w:p>
    <w:p w14:paraId="01D5456C" w14:textId="77777777" w:rsidR="008D0C63" w:rsidRDefault="008D0C6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Implementation of Energy Efficiency (EE) measures in the residential sector (individual houses)</w:t>
      </w:r>
    </w:p>
    <w:p w14:paraId="6DD4E1F3" w14:textId="0F4A535D" w:rsidR="008D0C63" w:rsidRDefault="00C17BB7"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 xml:space="preserve">Feasibility study for increasing the thermal capacity at the TPP </w:t>
      </w:r>
      <w:proofErr w:type="spellStart"/>
      <w:r>
        <w:rPr>
          <w:rFonts w:ascii="Times New Roman" w:hAnsi="Times New Roman"/>
          <w:sz w:val="24"/>
        </w:rPr>
        <w:t>Kosova</w:t>
      </w:r>
      <w:proofErr w:type="spellEnd"/>
      <w:r>
        <w:rPr>
          <w:rFonts w:ascii="Times New Roman" w:hAnsi="Times New Roman"/>
          <w:sz w:val="24"/>
        </w:rPr>
        <w:t xml:space="preserve"> B Cogeneration from 140 </w:t>
      </w:r>
      <w:proofErr w:type="spellStart"/>
      <w:r>
        <w:rPr>
          <w:rFonts w:ascii="Times New Roman" w:hAnsi="Times New Roman"/>
          <w:sz w:val="24"/>
        </w:rPr>
        <w:t>MWth</w:t>
      </w:r>
      <w:proofErr w:type="spellEnd"/>
      <w:r>
        <w:rPr>
          <w:rFonts w:ascii="Times New Roman" w:hAnsi="Times New Roman"/>
          <w:sz w:val="24"/>
        </w:rPr>
        <w:t xml:space="preserve"> to 280 </w:t>
      </w:r>
      <w:proofErr w:type="spellStart"/>
      <w:r>
        <w:rPr>
          <w:rFonts w:ascii="Times New Roman" w:hAnsi="Times New Roman"/>
          <w:sz w:val="24"/>
        </w:rPr>
        <w:t>MWth</w:t>
      </w:r>
      <w:proofErr w:type="spellEnd"/>
      <w:r>
        <w:rPr>
          <w:rFonts w:ascii="Times New Roman" w:hAnsi="Times New Roman"/>
          <w:sz w:val="24"/>
        </w:rPr>
        <w:t>;</w:t>
      </w:r>
    </w:p>
    <w:p w14:paraId="36BD86FC" w14:textId="0F2C684A" w:rsidR="008B1E87" w:rsidRPr="00A82739" w:rsidRDefault="005252A3" w:rsidP="00A62FE6">
      <w:pPr>
        <w:pStyle w:val="ListParagraph"/>
        <w:numPr>
          <w:ilvl w:val="0"/>
          <w:numId w:val="5"/>
        </w:numPr>
        <w:jc w:val="both"/>
        <w:rPr>
          <w:rFonts w:ascii="Times New Roman" w:hAnsi="Times New Roman" w:cs="Times New Roman"/>
          <w:sz w:val="24"/>
          <w:szCs w:val="24"/>
        </w:rPr>
      </w:pPr>
      <w:r>
        <w:rPr>
          <w:rFonts w:ascii="Times New Roman" w:hAnsi="Times New Roman"/>
          <w:sz w:val="24"/>
        </w:rPr>
        <w:t>Public awareness-raising campaign</w:t>
      </w:r>
    </w:p>
    <w:p w14:paraId="368A6666" w14:textId="0DC2AD0A" w:rsidR="008D0C63" w:rsidRDefault="008D0C63" w:rsidP="00F63F08">
      <w:pPr>
        <w:jc w:val="both"/>
        <w:rPr>
          <w:rFonts w:ascii="Times New Roman" w:hAnsi="Times New Roman" w:cs="Times New Roman"/>
          <w:b/>
          <w:sz w:val="24"/>
          <w:szCs w:val="24"/>
          <w:u w:val="single"/>
        </w:rPr>
      </w:pPr>
      <w:r>
        <w:rPr>
          <w:rFonts w:ascii="Times New Roman" w:hAnsi="Times New Roman"/>
          <w:b/>
          <w:sz w:val="24"/>
          <w:u w:val="single"/>
        </w:rPr>
        <w:t>Objective 4: Strengthening Regional Cooperation and Market Functioning</w:t>
      </w:r>
    </w:p>
    <w:p w14:paraId="76871A43" w14:textId="77777777" w:rsidR="00901979" w:rsidRPr="00141288" w:rsidRDefault="00901979" w:rsidP="00F63F08">
      <w:pPr>
        <w:jc w:val="both"/>
        <w:rPr>
          <w:rFonts w:ascii="Times New Roman" w:hAnsi="Times New Roman" w:cs="Times New Roman"/>
          <w:b/>
          <w:sz w:val="24"/>
          <w:szCs w:val="24"/>
          <w:u w:val="single"/>
        </w:rPr>
      </w:pPr>
    </w:p>
    <w:p w14:paraId="380779EC" w14:textId="4B120CFC" w:rsidR="008D0C63" w:rsidRPr="009C31BC" w:rsidRDefault="00901979" w:rsidP="00F63F08">
      <w:pPr>
        <w:jc w:val="both"/>
        <w:rPr>
          <w:rFonts w:ascii="Times New Roman" w:hAnsi="Times New Roman" w:cs="Times New Roman"/>
          <w:sz w:val="24"/>
          <w:szCs w:val="24"/>
        </w:rPr>
      </w:pPr>
      <w:r>
        <w:rPr>
          <w:rFonts w:ascii="Times New Roman" w:hAnsi="Times New Roman"/>
          <w:sz w:val="24"/>
        </w:rPr>
        <w:t>In 2024, the activities that have advanced and contributed to strengthening regional cooperation and the functioning of the energy market in compliance with the Energy Community Treaty (ECT) have included a series of actions aimed at integrating Kosovo’s energy market into the regional one and beyond, as well as enhancing competition and transparency. The main activities in this period include:</w:t>
      </w:r>
    </w:p>
    <w:p w14:paraId="11DD16B3" w14:textId="5F79B358" w:rsidR="008D0C63" w:rsidRDefault="008D0C6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Coupling with the day-ahead market with Albania through the ALPEX power exchange.</w:t>
      </w:r>
    </w:p>
    <w:p w14:paraId="69BC7AD6" w14:textId="5AE21AFF" w:rsidR="008D0C63" w:rsidRDefault="001677D5"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Coupling with the intraday market with Albania through the ALPEX power exchange.</w:t>
      </w:r>
    </w:p>
    <w:p w14:paraId="7EC14B37" w14:textId="77777777" w:rsidR="008D0C63" w:rsidRPr="006877DA" w:rsidRDefault="001677D5"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lastRenderedPageBreak/>
        <w:t>Drafting of the draft law on electricity;</w:t>
      </w:r>
    </w:p>
    <w:p w14:paraId="586F7743" w14:textId="77777777" w:rsidR="008D0C63" w:rsidRDefault="001677D5"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Drafting of the draft law on energy;</w:t>
      </w:r>
    </w:p>
    <w:p w14:paraId="473F2FF6" w14:textId="322E5FA0" w:rsidR="00682BBE" w:rsidRDefault="0097704F"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Drafting the Draft Law on Energy Regulatory Office (ERO);</w:t>
      </w:r>
    </w:p>
    <w:p w14:paraId="6EAA86E7" w14:textId="35C7AECA" w:rsidR="00A82739" w:rsidRDefault="006420E0" w:rsidP="00A82739">
      <w:pPr>
        <w:pStyle w:val="ListParagraph"/>
        <w:numPr>
          <w:ilvl w:val="0"/>
          <w:numId w:val="5"/>
        </w:numPr>
        <w:jc w:val="both"/>
        <w:rPr>
          <w:rFonts w:ascii="Times New Roman" w:hAnsi="Times New Roman" w:cs="Times New Roman"/>
          <w:sz w:val="24"/>
          <w:szCs w:val="24"/>
        </w:rPr>
      </w:pPr>
      <w:r>
        <w:rPr>
          <w:rFonts w:ascii="Times New Roman" w:hAnsi="Times New Roman"/>
          <w:sz w:val="24"/>
        </w:rPr>
        <w:t>Drafting and adoption of new professional standards and curricula, according to the requirements of the labor market.</w:t>
      </w:r>
    </w:p>
    <w:p w14:paraId="48894902" w14:textId="77777777" w:rsidR="00B85391" w:rsidRPr="00B85391" w:rsidRDefault="00B85391" w:rsidP="00B85391">
      <w:pPr>
        <w:pStyle w:val="ListParagraph"/>
        <w:jc w:val="both"/>
        <w:rPr>
          <w:rFonts w:ascii="Times New Roman" w:hAnsi="Times New Roman" w:cs="Times New Roman"/>
          <w:sz w:val="24"/>
          <w:szCs w:val="24"/>
        </w:rPr>
      </w:pPr>
    </w:p>
    <w:p w14:paraId="4874F4EB" w14:textId="77777777" w:rsidR="008D0C63" w:rsidRDefault="008D0C63" w:rsidP="00F63F08">
      <w:pPr>
        <w:jc w:val="both"/>
        <w:rPr>
          <w:rFonts w:ascii="Times New Roman" w:hAnsi="Times New Roman" w:cs="Times New Roman"/>
          <w:b/>
          <w:sz w:val="24"/>
          <w:szCs w:val="24"/>
          <w:u w:val="single"/>
        </w:rPr>
      </w:pPr>
      <w:r>
        <w:rPr>
          <w:rFonts w:ascii="Times New Roman" w:hAnsi="Times New Roman"/>
          <w:b/>
          <w:sz w:val="24"/>
          <w:u w:val="single"/>
        </w:rPr>
        <w:t>Objective 5: Protecting and empowering consumers</w:t>
      </w:r>
    </w:p>
    <w:p w14:paraId="49E4B7E8" w14:textId="77777777" w:rsidR="008D0C63" w:rsidRPr="00FA2E93" w:rsidRDefault="008D0C63" w:rsidP="00F63F08">
      <w:pPr>
        <w:jc w:val="both"/>
        <w:rPr>
          <w:rFonts w:ascii="Times New Roman" w:hAnsi="Times New Roman" w:cs="Times New Roman"/>
          <w:sz w:val="24"/>
          <w:szCs w:val="24"/>
        </w:rPr>
      </w:pPr>
      <w:r>
        <w:rPr>
          <w:rFonts w:ascii="Times New Roman" w:hAnsi="Times New Roman"/>
          <w:sz w:val="24"/>
        </w:rPr>
        <w:t>The Energy Strategy follows the individual-</w:t>
      </w:r>
      <w:proofErr w:type="spellStart"/>
      <w:r>
        <w:rPr>
          <w:rFonts w:ascii="Times New Roman" w:hAnsi="Times New Roman"/>
          <w:sz w:val="24"/>
        </w:rPr>
        <w:t>centred</w:t>
      </w:r>
      <w:proofErr w:type="spellEnd"/>
      <w:r>
        <w:rPr>
          <w:rFonts w:ascii="Times New Roman" w:hAnsi="Times New Roman"/>
          <w:sz w:val="24"/>
        </w:rPr>
        <w:t xml:space="preserve"> approach and sets objectives in these areas. For this purpose, several activities are planned in the Kosovo Energy Strategy Implementation Program (KESIP) for the period 2022-2025.</w:t>
      </w:r>
    </w:p>
    <w:p w14:paraId="667025A2" w14:textId="092982D1" w:rsidR="008D0C63" w:rsidRDefault="008D0C63" w:rsidP="00F63F08">
      <w:pPr>
        <w:jc w:val="both"/>
        <w:rPr>
          <w:rFonts w:ascii="Times New Roman" w:hAnsi="Times New Roman" w:cs="Times New Roman"/>
          <w:sz w:val="24"/>
          <w:szCs w:val="24"/>
        </w:rPr>
      </w:pPr>
      <w:r>
        <w:rPr>
          <w:rFonts w:ascii="Times New Roman" w:hAnsi="Times New Roman"/>
          <w:sz w:val="24"/>
        </w:rPr>
        <w:t>In 2024, several activities have been envisioned to support vulnerable consumers, which have been integrated into a single activity, and capacity building for the staff of KEPA for monitoring, evaluating, and reporting emissions from large plants.</w:t>
      </w:r>
    </w:p>
    <w:p w14:paraId="77609655" w14:textId="57ED5E24" w:rsidR="00516403" w:rsidRDefault="008D0C63" w:rsidP="00F63F08">
      <w:pPr>
        <w:pStyle w:val="ListParagraph"/>
        <w:numPr>
          <w:ilvl w:val="0"/>
          <w:numId w:val="5"/>
        </w:numPr>
        <w:jc w:val="both"/>
        <w:rPr>
          <w:rFonts w:ascii="Times New Roman" w:hAnsi="Times New Roman" w:cs="Times New Roman"/>
          <w:sz w:val="24"/>
          <w:szCs w:val="24"/>
        </w:rPr>
      </w:pPr>
      <w:r>
        <w:rPr>
          <w:rFonts w:ascii="Times New Roman" w:hAnsi="Times New Roman"/>
          <w:sz w:val="24"/>
        </w:rPr>
        <w:t>Drafting and adoption of a one (1) year program for the implementation of measures to support vulnerable consumers</w:t>
      </w:r>
    </w:p>
    <w:p w14:paraId="30D92C4E" w14:textId="100E59F1" w:rsidR="00257CD4" w:rsidRDefault="000A3461" w:rsidP="00257CD4">
      <w:pPr>
        <w:pStyle w:val="ListParagraph"/>
        <w:numPr>
          <w:ilvl w:val="0"/>
          <w:numId w:val="5"/>
        </w:numPr>
        <w:jc w:val="both"/>
        <w:rPr>
          <w:rFonts w:ascii="Times New Roman" w:hAnsi="Times New Roman" w:cs="Times New Roman"/>
          <w:sz w:val="24"/>
          <w:szCs w:val="24"/>
        </w:rPr>
      </w:pPr>
      <w:r>
        <w:rPr>
          <w:rFonts w:ascii="Times New Roman" w:hAnsi="Times New Roman"/>
          <w:sz w:val="24"/>
        </w:rPr>
        <w:t>Increasing the KEPA capacities for monitoring, evaluating and reporting emissions from large combustion plants</w:t>
      </w:r>
    </w:p>
    <w:p w14:paraId="5DEBAC62" w14:textId="176A2FD7" w:rsidR="00B94D05" w:rsidRPr="00257CD4" w:rsidRDefault="00B94D05" w:rsidP="00257CD4">
      <w:pPr>
        <w:pStyle w:val="ListParagraph"/>
        <w:numPr>
          <w:ilvl w:val="0"/>
          <w:numId w:val="5"/>
        </w:numPr>
        <w:jc w:val="both"/>
        <w:rPr>
          <w:rFonts w:ascii="Times New Roman" w:hAnsi="Times New Roman" w:cs="Times New Roman"/>
          <w:sz w:val="24"/>
          <w:szCs w:val="24"/>
        </w:rPr>
      </w:pPr>
      <w:r>
        <w:rPr>
          <w:rFonts w:ascii="Times New Roman" w:hAnsi="Times New Roman"/>
          <w:sz w:val="24"/>
        </w:rPr>
        <w:t xml:space="preserve">Awareness and information campaigns have been conducted for the energy sector by ME and other institutions: </w:t>
      </w:r>
      <w:proofErr w:type="spellStart"/>
      <w:r>
        <w:rPr>
          <w:rFonts w:ascii="Times New Roman" w:hAnsi="Times New Roman"/>
          <w:sz w:val="24"/>
        </w:rPr>
        <w:t>Termokos</w:t>
      </w:r>
      <w:proofErr w:type="spellEnd"/>
      <w:r>
        <w:rPr>
          <w:rFonts w:ascii="Times New Roman" w:hAnsi="Times New Roman"/>
          <w:sz w:val="24"/>
        </w:rPr>
        <w:t>, DH-</w:t>
      </w:r>
      <w:proofErr w:type="spellStart"/>
      <w:r>
        <w:rPr>
          <w:rFonts w:ascii="Times New Roman" w:hAnsi="Times New Roman"/>
          <w:sz w:val="24"/>
        </w:rPr>
        <w:t>Gjakova</w:t>
      </w:r>
      <w:proofErr w:type="spellEnd"/>
      <w:r>
        <w:rPr>
          <w:rFonts w:ascii="Times New Roman" w:hAnsi="Times New Roman"/>
          <w:sz w:val="24"/>
        </w:rPr>
        <w:t>, KEDS, KEEF, and the total number of such campaigns carried out is seventeen (17).</w:t>
      </w:r>
    </w:p>
    <w:p w14:paraId="28793B4E" w14:textId="63E788A4" w:rsidR="00A62FE6" w:rsidRDefault="00A62FE6" w:rsidP="000A3461">
      <w:pPr>
        <w:pStyle w:val="ListParagraph"/>
        <w:jc w:val="both"/>
        <w:rPr>
          <w:rFonts w:ascii="Times New Roman" w:hAnsi="Times New Roman" w:cs="Times New Roman"/>
          <w:sz w:val="24"/>
          <w:szCs w:val="24"/>
        </w:rPr>
      </w:pPr>
    </w:p>
    <w:p w14:paraId="4A40C8A1" w14:textId="77777777" w:rsidR="00F13E8D" w:rsidRDefault="00BD675F" w:rsidP="00516403">
      <w:pPr>
        <w:pStyle w:val="Heading1"/>
        <w:jc w:val="left"/>
      </w:pPr>
      <w:bookmarkStart w:id="8" w:name="_Toc195271848"/>
      <w:r>
        <w:t>RISKS AND STEPS TO ADDRESS THEM</w:t>
      </w:r>
      <w:bookmarkEnd w:id="8"/>
    </w:p>
    <w:p w14:paraId="325DA015" w14:textId="77777777" w:rsidR="00E22AA1" w:rsidRDefault="00E22AA1" w:rsidP="000A3461">
      <w:pPr>
        <w:jc w:val="both"/>
        <w:rPr>
          <w:lang w:eastAsia="sq-AL"/>
        </w:rPr>
      </w:pPr>
    </w:p>
    <w:p w14:paraId="4CD30611" w14:textId="77777777" w:rsidR="00BD675F" w:rsidRPr="00516403" w:rsidRDefault="00BD675F" w:rsidP="00F63F08">
      <w:pPr>
        <w:jc w:val="both"/>
        <w:rPr>
          <w:rFonts w:ascii="Times New Roman" w:hAnsi="Times New Roman" w:cs="Times New Roman"/>
          <w:sz w:val="24"/>
        </w:rPr>
      </w:pPr>
      <w:r>
        <w:rPr>
          <w:rFonts w:ascii="Times New Roman" w:hAnsi="Times New Roman"/>
          <w:sz w:val="24"/>
        </w:rPr>
        <w:t>During the monitoring of the Kosovo Energy Strategy Implementation Program (KESIP) for the period 2022-2025, several risks related to institutional capacity, financial capacity, regulatory environment, partnerships and engagement of other institutions, delays in procurement procedures, as well as external factors that emerged during the implementation of activities, have been identified, affecting the implementation of the strategic document.</w:t>
      </w:r>
    </w:p>
    <w:p w14:paraId="569C9C1B" w14:textId="16053420" w:rsidR="00BD675F" w:rsidRPr="00516403" w:rsidRDefault="00BD675F" w:rsidP="00F63F08">
      <w:pPr>
        <w:jc w:val="both"/>
        <w:rPr>
          <w:rFonts w:ascii="Times New Roman" w:hAnsi="Times New Roman" w:cs="Times New Roman"/>
          <w:sz w:val="24"/>
        </w:rPr>
      </w:pPr>
      <w:r>
        <w:rPr>
          <w:rFonts w:ascii="Times New Roman" w:hAnsi="Times New Roman"/>
          <w:sz w:val="24"/>
        </w:rPr>
        <w:t xml:space="preserve">In monitoring the implementation of the Kosovo Energy Strategy Implementation Program (KESIP) for the period 2022–2025, the Ministry of Economy (ME), specifically the Department of Energy (DE), coordinated the drafting process of the Progress Report with the planned activities. This monitoring was conducted in cooperation with responsible institutions where risks were identified, which will be addressed in the coming years with concrete measures. The Ministry of Economy (ME) will continue cooperation and coordination with relevant institutions and key enterprises in the energy sector to address all ongoing risks. </w:t>
      </w:r>
    </w:p>
    <w:p w14:paraId="4BD77EB8" w14:textId="55C2B275" w:rsidR="00A82739" w:rsidRDefault="00BD675F" w:rsidP="00F63F08">
      <w:pPr>
        <w:jc w:val="both"/>
        <w:rPr>
          <w:rFonts w:ascii="Times New Roman" w:hAnsi="Times New Roman" w:cs="Times New Roman"/>
          <w:sz w:val="24"/>
        </w:rPr>
      </w:pPr>
      <w:r>
        <w:rPr>
          <w:rFonts w:ascii="Times New Roman" w:hAnsi="Times New Roman"/>
          <w:sz w:val="24"/>
        </w:rPr>
        <w:t>Proper project and activity planning by responsible institutions is very important for the success and development of the energy sector, hence, an important role is also played by simplifying bureaucratic procedures in order to avoid delays and stagnation in project implementation.</w:t>
      </w:r>
    </w:p>
    <w:p w14:paraId="01AEC1B8" w14:textId="77777777" w:rsidR="005C5611" w:rsidRPr="00516403" w:rsidRDefault="005C5611" w:rsidP="00C849A7">
      <w:pPr>
        <w:spacing w:after="0"/>
        <w:jc w:val="both"/>
        <w:rPr>
          <w:rFonts w:ascii="Times New Roman" w:hAnsi="Times New Roman" w:cs="Times New Roman"/>
          <w:sz w:val="24"/>
          <w:lang w:eastAsia="sq-AL"/>
        </w:rPr>
      </w:pPr>
    </w:p>
    <w:p w14:paraId="6E5D1593" w14:textId="77777777" w:rsidR="00516403" w:rsidRPr="00516403" w:rsidRDefault="00516403" w:rsidP="00F63F08">
      <w:pPr>
        <w:jc w:val="both"/>
        <w:rPr>
          <w:rFonts w:ascii="Times New Roman" w:hAnsi="Times New Roman" w:cs="Times New Roman"/>
          <w:b/>
          <w:sz w:val="24"/>
          <w:u w:val="single"/>
        </w:rPr>
      </w:pPr>
      <w:r>
        <w:rPr>
          <w:rFonts w:ascii="Times New Roman" w:hAnsi="Times New Roman"/>
          <w:b/>
          <w:sz w:val="24"/>
          <w:u w:val="single"/>
        </w:rPr>
        <w:t xml:space="preserve">Challenges and shortcomings: </w:t>
      </w:r>
    </w:p>
    <w:p w14:paraId="04119DD2" w14:textId="1B5302D8" w:rsidR="005E6FF2" w:rsidRDefault="00516403" w:rsidP="00F63F08">
      <w:pPr>
        <w:jc w:val="both"/>
        <w:rPr>
          <w:rFonts w:ascii="Times New Roman" w:hAnsi="Times New Roman" w:cs="Times New Roman"/>
          <w:sz w:val="24"/>
        </w:rPr>
      </w:pPr>
      <w:r>
        <w:rPr>
          <w:rFonts w:ascii="Times New Roman" w:hAnsi="Times New Roman"/>
          <w:sz w:val="24"/>
        </w:rPr>
        <w:t xml:space="preserve">The challenges, shortcomings, and obstacles encountered during the monitoring of the implementation of the KESIP activities: </w:t>
      </w:r>
    </w:p>
    <w:p w14:paraId="32E026AE" w14:textId="5C2FC140" w:rsidR="005E6FF2" w:rsidRDefault="005E6FF2" w:rsidP="00F63F08">
      <w:pPr>
        <w:jc w:val="both"/>
        <w:rPr>
          <w:rFonts w:ascii="Times New Roman" w:hAnsi="Times New Roman" w:cs="Times New Roman"/>
          <w:sz w:val="24"/>
        </w:rPr>
      </w:pPr>
      <w:r>
        <w:rPr>
          <w:rFonts w:ascii="Times New Roman" w:hAnsi="Times New Roman"/>
          <w:sz w:val="24"/>
        </w:rPr>
        <w:t xml:space="preserve">– Lack of human and professional capacities within institutions to address complex energy projects is a key problem. This includes a lack of qualified experts in technical, managerial, and monitoring fields; </w:t>
      </w:r>
    </w:p>
    <w:p w14:paraId="5C38AD30" w14:textId="6BDB98CA" w:rsidR="0057752B" w:rsidRDefault="005E6FF2" w:rsidP="00F63F08">
      <w:pPr>
        <w:jc w:val="both"/>
        <w:rPr>
          <w:rFonts w:ascii="Times New Roman" w:hAnsi="Times New Roman" w:cs="Times New Roman"/>
          <w:sz w:val="24"/>
        </w:rPr>
      </w:pPr>
      <w:r>
        <w:rPr>
          <w:rFonts w:ascii="Times New Roman" w:hAnsi="Times New Roman"/>
          <w:sz w:val="24"/>
        </w:rPr>
        <w:t xml:space="preserve">– Financial capacities, dependence on donor implementation of projects, especially the situation created after the unilateral imposition by the EU of measures of a financial nature, non-signing of project financing agreements and their ratification in the Assembly of the Republic of Kosovo; </w:t>
      </w:r>
    </w:p>
    <w:p w14:paraId="0558EB53" w14:textId="5AF6860C" w:rsidR="005E6FF2" w:rsidRDefault="005E6FF2" w:rsidP="00F63F08">
      <w:pPr>
        <w:jc w:val="both"/>
        <w:rPr>
          <w:rFonts w:ascii="Times New Roman" w:hAnsi="Times New Roman" w:cs="Times New Roman"/>
          <w:sz w:val="24"/>
        </w:rPr>
      </w:pPr>
      <w:r>
        <w:rPr>
          <w:rFonts w:ascii="Times New Roman" w:hAnsi="Times New Roman"/>
          <w:sz w:val="24"/>
        </w:rPr>
        <w:t>– Unsuitable regulatory environment, delays in obtaining permits from relevant institutions for construction, land expropriation and price increases in the market, outdated contract prices, delays in procurement processes;</w:t>
      </w:r>
    </w:p>
    <w:p w14:paraId="3F487D4F" w14:textId="39112466" w:rsidR="005E6FF2" w:rsidRDefault="005E6FF2" w:rsidP="00F63F08">
      <w:pPr>
        <w:jc w:val="both"/>
        <w:rPr>
          <w:rFonts w:ascii="Times New Roman" w:hAnsi="Times New Roman" w:cs="Times New Roman"/>
          <w:sz w:val="24"/>
        </w:rPr>
      </w:pPr>
      <w:r>
        <w:rPr>
          <w:rFonts w:ascii="Times New Roman" w:hAnsi="Times New Roman"/>
          <w:sz w:val="24"/>
        </w:rPr>
        <w:t xml:space="preserve">– Insufficient coordination among institutions; and </w:t>
      </w:r>
    </w:p>
    <w:p w14:paraId="5AFC1557" w14:textId="4471D544" w:rsidR="001F2F82" w:rsidRDefault="005E6FF2" w:rsidP="00F63F08">
      <w:pPr>
        <w:jc w:val="both"/>
        <w:rPr>
          <w:rFonts w:ascii="Times New Roman" w:hAnsi="Times New Roman" w:cs="Times New Roman"/>
          <w:sz w:val="24"/>
        </w:rPr>
      </w:pPr>
      <w:r>
        <w:rPr>
          <w:rFonts w:ascii="Times New Roman" w:hAnsi="Times New Roman"/>
          <w:sz w:val="24"/>
        </w:rPr>
        <w:t xml:space="preserve">– Other external factors (global changes such as energy crises, unstable energy prices, and the impacts of international policies also in relation to the green agenda), which affect the level of implementation of the strategic document. </w:t>
      </w:r>
    </w:p>
    <w:p w14:paraId="5E0F7BCD" w14:textId="77777777" w:rsidR="00A62FE6" w:rsidRPr="001F2F82" w:rsidRDefault="00A62FE6" w:rsidP="00F63F08">
      <w:pPr>
        <w:jc w:val="both"/>
        <w:rPr>
          <w:rFonts w:ascii="Times New Roman" w:hAnsi="Times New Roman" w:cs="Times New Roman"/>
          <w:sz w:val="24"/>
        </w:rPr>
      </w:pPr>
    </w:p>
    <w:p w14:paraId="13CB9C0D" w14:textId="77777777" w:rsidR="00516403" w:rsidRPr="00516403" w:rsidRDefault="00516403" w:rsidP="00F63F08">
      <w:pPr>
        <w:jc w:val="both"/>
        <w:rPr>
          <w:rFonts w:ascii="Times New Roman" w:hAnsi="Times New Roman" w:cs="Times New Roman"/>
          <w:b/>
          <w:sz w:val="24"/>
          <w:u w:val="single"/>
        </w:rPr>
      </w:pPr>
      <w:r>
        <w:rPr>
          <w:rFonts w:ascii="Times New Roman" w:hAnsi="Times New Roman"/>
          <w:b/>
          <w:sz w:val="24"/>
          <w:u w:val="single"/>
        </w:rPr>
        <w:t>Conclusions and recommendations for next steps</w:t>
      </w:r>
    </w:p>
    <w:p w14:paraId="052E525A" w14:textId="6D122B0E" w:rsidR="00BD0F42" w:rsidRDefault="00024BFD" w:rsidP="00F63F08">
      <w:pPr>
        <w:jc w:val="both"/>
        <w:rPr>
          <w:rFonts w:ascii="Times New Roman" w:hAnsi="Times New Roman" w:cs="Times New Roman"/>
          <w:sz w:val="24"/>
        </w:rPr>
      </w:pPr>
      <w:r>
        <w:rPr>
          <w:rFonts w:ascii="Times New Roman" w:hAnsi="Times New Roman"/>
          <w:sz w:val="24"/>
        </w:rPr>
        <w:t>The fact that a satisfactory progress has been noted and that in 2024 the achievement of objectives reached fifty-seven percent (57%) demonstrates a significant advance in the implementation of the Kosovo Energy Strategy Implementation Program (KESIP) for the period 2022–2025. This percentage shows that many activities have been carried out, but it also leaves room for improvement and strengthening of efforts to achieve all the planned objectives.</w:t>
      </w:r>
    </w:p>
    <w:p w14:paraId="5D19FFF0" w14:textId="29451F74" w:rsidR="00516403" w:rsidRDefault="00BD0F42" w:rsidP="00F63F08">
      <w:pPr>
        <w:jc w:val="both"/>
        <w:rPr>
          <w:rFonts w:ascii="Times New Roman" w:hAnsi="Times New Roman" w:cs="Times New Roman"/>
          <w:sz w:val="24"/>
        </w:rPr>
      </w:pPr>
      <w:r>
        <w:rPr>
          <w:rFonts w:ascii="Times New Roman" w:hAnsi="Times New Roman"/>
          <w:sz w:val="24"/>
        </w:rPr>
        <w:t>Some of the obstacles and causes for delays or non-implementation of activities are: non-ratification of financial agreements, improper planning of the implementation timelines for activities, complex bureaucratic procedures for obtaining various permits for planned activities, delays in procurement processes, and lack of specialized workforce.</w:t>
      </w:r>
    </w:p>
    <w:p w14:paraId="5BD45CA9" w14:textId="77777777" w:rsidR="00B85391" w:rsidRPr="00516403" w:rsidRDefault="00B85391" w:rsidP="00F63F08">
      <w:pPr>
        <w:jc w:val="both"/>
        <w:rPr>
          <w:rFonts w:ascii="Times New Roman" w:hAnsi="Times New Roman" w:cs="Times New Roman"/>
          <w:sz w:val="24"/>
        </w:rPr>
      </w:pPr>
    </w:p>
    <w:p w14:paraId="497C91B3" w14:textId="77777777" w:rsidR="000066F7" w:rsidRDefault="00516403" w:rsidP="00F63F08">
      <w:pPr>
        <w:jc w:val="both"/>
        <w:rPr>
          <w:rFonts w:ascii="Times New Roman" w:hAnsi="Times New Roman" w:cs="Times New Roman"/>
          <w:sz w:val="24"/>
        </w:rPr>
      </w:pPr>
      <w:r>
        <w:rPr>
          <w:rFonts w:ascii="Times New Roman" w:hAnsi="Times New Roman"/>
          <w:b/>
          <w:bCs/>
          <w:sz w:val="24"/>
        </w:rPr>
        <w:t>Recommendations:</w:t>
      </w:r>
      <w:r>
        <w:rPr>
          <w:rFonts w:ascii="Times New Roman" w:hAnsi="Times New Roman"/>
          <w:sz w:val="24"/>
        </w:rPr>
        <w:t xml:space="preserve"> </w:t>
      </w:r>
    </w:p>
    <w:p w14:paraId="4AEE4F00" w14:textId="31CE8F10" w:rsidR="000066F7" w:rsidRPr="000066F7" w:rsidRDefault="000066F7" w:rsidP="00F63F08">
      <w:pPr>
        <w:jc w:val="both"/>
        <w:rPr>
          <w:rFonts w:ascii="Times New Roman" w:hAnsi="Times New Roman" w:cs="Times New Roman"/>
          <w:sz w:val="24"/>
        </w:rPr>
      </w:pPr>
      <w:r>
        <w:rPr>
          <w:rFonts w:ascii="Times New Roman" w:hAnsi="Times New Roman"/>
          <w:sz w:val="24"/>
        </w:rPr>
        <w:t xml:space="preserve">Based on the challenges and shortcomings identified in institutional reporting on the implementation of activities and measures within the strategic objectives, the recommendations and next steps for improvement include:  </w:t>
      </w:r>
    </w:p>
    <w:p w14:paraId="33599E13" w14:textId="77777777" w:rsidR="000066F7" w:rsidRPr="000066F7" w:rsidRDefault="000066F7" w:rsidP="00F63F08">
      <w:pPr>
        <w:jc w:val="both"/>
        <w:rPr>
          <w:rFonts w:ascii="Times New Roman" w:hAnsi="Times New Roman" w:cs="Times New Roman"/>
          <w:sz w:val="24"/>
        </w:rPr>
      </w:pPr>
      <w:r>
        <w:rPr>
          <w:rFonts w:ascii="Times New Roman" w:hAnsi="Times New Roman"/>
          <w:sz w:val="24"/>
        </w:rPr>
        <w:t xml:space="preserve">– Improving the planning of timelines for the adoption of the legal framework;   </w:t>
      </w:r>
    </w:p>
    <w:p w14:paraId="10120809" w14:textId="77777777" w:rsidR="000066F7" w:rsidRPr="000066F7" w:rsidRDefault="000066F7" w:rsidP="00F63F08">
      <w:pPr>
        <w:jc w:val="both"/>
        <w:rPr>
          <w:rFonts w:ascii="Times New Roman" w:hAnsi="Times New Roman" w:cs="Times New Roman"/>
          <w:sz w:val="24"/>
        </w:rPr>
      </w:pPr>
      <w:r>
        <w:rPr>
          <w:rFonts w:ascii="Times New Roman" w:hAnsi="Times New Roman"/>
          <w:sz w:val="24"/>
        </w:rPr>
        <w:t xml:space="preserve">– Increasing interinstitutional coordination and collaboration;  </w:t>
      </w:r>
    </w:p>
    <w:p w14:paraId="1ECAFF8A" w14:textId="77777777" w:rsidR="000066F7" w:rsidRPr="000066F7" w:rsidRDefault="000066F7" w:rsidP="00F63F08">
      <w:pPr>
        <w:jc w:val="both"/>
        <w:rPr>
          <w:rFonts w:ascii="Times New Roman" w:hAnsi="Times New Roman" w:cs="Times New Roman"/>
          <w:sz w:val="24"/>
        </w:rPr>
      </w:pPr>
      <w:r>
        <w:rPr>
          <w:rFonts w:ascii="Times New Roman" w:hAnsi="Times New Roman"/>
          <w:sz w:val="24"/>
        </w:rPr>
        <w:lastRenderedPageBreak/>
        <w:t xml:space="preserve">– Facilitating procedures for obtaining permits, avoiding delays in the commencement of projects;     </w:t>
      </w:r>
    </w:p>
    <w:p w14:paraId="6CBA026F" w14:textId="77777777" w:rsidR="000066F7" w:rsidRPr="000066F7" w:rsidRDefault="000066F7" w:rsidP="00F63F08">
      <w:pPr>
        <w:jc w:val="both"/>
        <w:rPr>
          <w:rFonts w:ascii="Times New Roman" w:hAnsi="Times New Roman" w:cs="Times New Roman"/>
          <w:sz w:val="24"/>
        </w:rPr>
      </w:pPr>
      <w:r>
        <w:rPr>
          <w:rFonts w:ascii="Times New Roman" w:hAnsi="Times New Roman"/>
          <w:sz w:val="24"/>
        </w:rPr>
        <w:t xml:space="preserve">– Conducting property expropriation on time in areas where projects will be implemented;  </w:t>
      </w:r>
    </w:p>
    <w:p w14:paraId="442AC90F" w14:textId="77777777" w:rsidR="007E5013" w:rsidRDefault="000066F7" w:rsidP="00F63F08">
      <w:pPr>
        <w:jc w:val="both"/>
        <w:rPr>
          <w:rFonts w:ascii="Times New Roman" w:hAnsi="Times New Roman" w:cs="Times New Roman"/>
          <w:sz w:val="24"/>
        </w:rPr>
      </w:pPr>
      <w:r>
        <w:rPr>
          <w:rFonts w:ascii="Times New Roman" w:hAnsi="Times New Roman"/>
          <w:sz w:val="24"/>
        </w:rPr>
        <w:t xml:space="preserve">– More accurate planning of activities and timelines for project implementation, taking into  </w:t>
      </w:r>
    </w:p>
    <w:p w14:paraId="36FC4A18" w14:textId="42D35133" w:rsidR="000066F7" w:rsidRPr="000066F7" w:rsidRDefault="007E5013" w:rsidP="00F63F08">
      <w:pPr>
        <w:jc w:val="both"/>
        <w:rPr>
          <w:rFonts w:ascii="Times New Roman" w:hAnsi="Times New Roman" w:cs="Times New Roman"/>
          <w:sz w:val="24"/>
        </w:rPr>
      </w:pPr>
      <w:r>
        <w:rPr>
          <w:rFonts w:ascii="Times New Roman" w:hAnsi="Times New Roman"/>
          <w:sz w:val="24"/>
        </w:rPr>
        <w:t xml:space="preserve">   account possible challenges;  </w:t>
      </w:r>
    </w:p>
    <w:p w14:paraId="07B3589C" w14:textId="77777777" w:rsidR="000066F7" w:rsidRPr="000066F7" w:rsidRDefault="000066F7" w:rsidP="00F63F08">
      <w:pPr>
        <w:jc w:val="both"/>
        <w:rPr>
          <w:rFonts w:ascii="Times New Roman" w:hAnsi="Times New Roman" w:cs="Times New Roman"/>
          <w:sz w:val="24"/>
        </w:rPr>
      </w:pPr>
      <w:r>
        <w:rPr>
          <w:rFonts w:ascii="Times New Roman" w:hAnsi="Times New Roman"/>
          <w:sz w:val="24"/>
        </w:rPr>
        <w:t xml:space="preserve">– Timely signing and ratification of financial agreements by responsible institutions.  </w:t>
      </w:r>
    </w:p>
    <w:p w14:paraId="065AFCA4" w14:textId="77777777" w:rsidR="000066F7" w:rsidRDefault="000066F7" w:rsidP="00F63F08">
      <w:pPr>
        <w:jc w:val="both"/>
        <w:rPr>
          <w:rFonts w:ascii="Times New Roman" w:hAnsi="Times New Roman" w:cs="Times New Roman"/>
          <w:sz w:val="24"/>
        </w:rPr>
      </w:pPr>
    </w:p>
    <w:p w14:paraId="6B9ADA3F" w14:textId="77777777" w:rsidR="000066F7" w:rsidRPr="00516403" w:rsidRDefault="000066F7" w:rsidP="00F63F08">
      <w:pPr>
        <w:jc w:val="both"/>
        <w:rPr>
          <w:rFonts w:ascii="Times New Roman" w:hAnsi="Times New Roman" w:cs="Times New Roman"/>
          <w:sz w:val="24"/>
        </w:rPr>
        <w:sectPr w:rsidR="000066F7" w:rsidRPr="00516403" w:rsidSect="00615B6E">
          <w:footerReference w:type="default" r:id="rId10"/>
          <w:pgSz w:w="12240" w:h="15840"/>
          <w:pgMar w:top="1440" w:right="1440" w:bottom="1440" w:left="1440" w:header="720" w:footer="720" w:gutter="0"/>
          <w:cols w:space="720"/>
          <w:titlePg/>
          <w:docGrid w:linePitch="360"/>
        </w:sectPr>
      </w:pPr>
    </w:p>
    <w:p w14:paraId="2EB38558" w14:textId="77777777" w:rsidR="007D1D84" w:rsidRPr="0086165A" w:rsidRDefault="00E07D7A" w:rsidP="001B19AE">
      <w:pPr>
        <w:pStyle w:val="Heading1"/>
      </w:pPr>
      <w:bookmarkStart w:id="9" w:name="_Toc174005220"/>
      <w:bookmarkStart w:id="10" w:name="_Toc195271849"/>
      <w:r>
        <w:lastRenderedPageBreak/>
        <w:t>ANNEX - PROGRESS REPORT MATRIX FOR 2024</w:t>
      </w:r>
      <w:bookmarkEnd w:id="9"/>
      <w:bookmarkEnd w:id="10"/>
    </w:p>
    <w:p w14:paraId="380F4E85" w14:textId="77777777" w:rsidR="007D1D84" w:rsidRPr="0086165A" w:rsidRDefault="007D1D84" w:rsidP="007D1D84">
      <w:pPr>
        <w:pStyle w:val="ListParagraph"/>
        <w:ind w:left="1080"/>
        <w:rPr>
          <w:rFonts w:ascii="Times New Roman" w:hAnsi="Times New Roman" w:cs="Times New Roman"/>
          <w:b/>
          <w:sz w:val="28"/>
          <w:szCs w:val="24"/>
        </w:rPr>
      </w:pPr>
    </w:p>
    <w:tbl>
      <w:tblPr>
        <w:tblW w:w="0" w:type="auto"/>
        <w:tblLayout w:type="fixed"/>
        <w:tblLook w:val="04A0" w:firstRow="1" w:lastRow="0" w:firstColumn="1" w:lastColumn="0" w:noHBand="0" w:noVBand="1"/>
      </w:tblPr>
      <w:tblGrid>
        <w:gridCol w:w="577"/>
        <w:gridCol w:w="1974"/>
        <w:gridCol w:w="698"/>
        <w:gridCol w:w="1059"/>
        <w:gridCol w:w="1140"/>
        <w:gridCol w:w="1220"/>
        <w:gridCol w:w="1140"/>
        <w:gridCol w:w="1099"/>
        <w:gridCol w:w="1002"/>
        <w:gridCol w:w="1287"/>
        <w:gridCol w:w="949"/>
        <w:gridCol w:w="2250"/>
      </w:tblGrid>
      <w:tr w:rsidR="00571EAF" w:rsidRPr="0086165A" w14:paraId="5D255863" w14:textId="77777777" w:rsidTr="004A694D">
        <w:trPr>
          <w:trHeight w:val="480"/>
        </w:trPr>
        <w:tc>
          <w:tcPr>
            <w:tcW w:w="12145" w:type="dxa"/>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3E441E15" w14:textId="10D89F0D" w:rsidR="00571EAF" w:rsidRPr="0014539F" w:rsidRDefault="00571EAF" w:rsidP="00571EAF">
            <w:pPr>
              <w:spacing w:after="0" w:line="240" w:lineRule="auto"/>
              <w:jc w:val="center"/>
              <w:rPr>
                <w:rFonts w:ascii="Times New Roman" w:eastAsia="Times New Roman" w:hAnsi="Times New Roman" w:cs="Times New Roman"/>
                <w:b/>
                <w:bCs/>
                <w:i/>
                <w:iCs/>
                <w:color w:val="000000"/>
                <w:sz w:val="24"/>
                <w:szCs w:val="24"/>
              </w:rPr>
            </w:pPr>
            <w:r>
              <w:rPr>
                <w:rFonts w:ascii="Times New Roman" w:hAnsi="Times New Roman"/>
                <w:b/>
                <w:i/>
                <w:sz w:val="24"/>
              </w:rPr>
              <w:t>MONITORING OF THE IMPLEMENTATION OF KESIP FOR THE PERIOD 2022-2025: STRATEGIC OBJECTIVE 1</w:t>
            </w:r>
            <w:r>
              <w:rPr>
                <w:rFonts w:ascii="Times New Roman" w:hAnsi="Times New Roman"/>
                <w:b/>
                <w:i/>
                <w:color w:val="000000"/>
                <w:sz w:val="24"/>
              </w:rPr>
              <w:t xml:space="preserve"> </w:t>
            </w:r>
          </w:p>
        </w:tc>
        <w:tc>
          <w:tcPr>
            <w:tcW w:w="2250" w:type="dxa"/>
            <w:tcBorders>
              <w:top w:val="nil"/>
              <w:left w:val="nil"/>
              <w:bottom w:val="nil"/>
              <w:right w:val="nil"/>
            </w:tcBorders>
            <w:shd w:val="clear" w:color="auto" w:fill="auto"/>
            <w:noWrap/>
            <w:vAlign w:val="bottom"/>
            <w:hideMark/>
          </w:tcPr>
          <w:p w14:paraId="5642D655" w14:textId="77777777" w:rsidR="00571EAF" w:rsidRPr="0014539F" w:rsidRDefault="00571EAF" w:rsidP="00571EAF">
            <w:pPr>
              <w:spacing w:after="0" w:line="240" w:lineRule="auto"/>
              <w:jc w:val="center"/>
              <w:rPr>
                <w:rFonts w:ascii="Times New Roman" w:eastAsia="Times New Roman" w:hAnsi="Times New Roman" w:cs="Times New Roman"/>
                <w:b/>
                <w:bCs/>
                <w:i/>
                <w:iCs/>
                <w:color w:val="000000"/>
                <w:sz w:val="24"/>
                <w:szCs w:val="24"/>
              </w:rPr>
            </w:pPr>
          </w:p>
        </w:tc>
      </w:tr>
      <w:tr w:rsidR="00571EAF" w:rsidRPr="0086165A" w14:paraId="675AFD47" w14:textId="77777777" w:rsidTr="004A694D">
        <w:trPr>
          <w:trHeight w:val="885"/>
        </w:trPr>
        <w:tc>
          <w:tcPr>
            <w:tcW w:w="12145" w:type="dxa"/>
            <w:gridSpan w:val="11"/>
            <w:tcBorders>
              <w:top w:val="nil"/>
              <w:left w:val="nil"/>
              <w:bottom w:val="single" w:sz="8" w:space="0" w:color="auto"/>
              <w:right w:val="nil"/>
            </w:tcBorders>
            <w:shd w:val="clear" w:color="auto" w:fill="auto"/>
            <w:noWrap/>
            <w:vAlign w:val="center"/>
            <w:hideMark/>
          </w:tcPr>
          <w:p w14:paraId="7CBCC22D" w14:textId="77777777" w:rsidR="00571EAF" w:rsidRPr="0014539F" w:rsidRDefault="00571EAF" w:rsidP="00571EAF">
            <w:pPr>
              <w:spacing w:after="0" w:line="240" w:lineRule="auto"/>
              <w:jc w:val="center"/>
              <w:rPr>
                <w:rFonts w:ascii="Times New Roman" w:eastAsia="Times New Roman" w:hAnsi="Times New Roman" w:cs="Times New Roman"/>
                <w:b/>
                <w:bCs/>
              </w:rPr>
            </w:pPr>
            <w:r>
              <w:rPr>
                <w:rFonts w:ascii="Times New Roman" w:hAnsi="Times New Roman"/>
                <w:b/>
              </w:rPr>
              <w:t xml:space="preserve">SO1: IMPROVING SYSTEM RESILIENCE </w:t>
            </w:r>
          </w:p>
        </w:tc>
        <w:tc>
          <w:tcPr>
            <w:tcW w:w="2250" w:type="dxa"/>
            <w:tcBorders>
              <w:top w:val="nil"/>
              <w:left w:val="nil"/>
              <w:bottom w:val="nil"/>
              <w:right w:val="nil"/>
            </w:tcBorders>
            <w:shd w:val="clear" w:color="auto" w:fill="auto"/>
            <w:noWrap/>
            <w:vAlign w:val="bottom"/>
            <w:hideMark/>
          </w:tcPr>
          <w:p w14:paraId="70722DFC" w14:textId="77777777" w:rsidR="00571EAF" w:rsidRPr="0014539F" w:rsidRDefault="00571EAF" w:rsidP="00571EAF">
            <w:pPr>
              <w:spacing w:after="0" w:line="240" w:lineRule="auto"/>
              <w:jc w:val="center"/>
              <w:rPr>
                <w:rFonts w:ascii="Times New Roman" w:eastAsia="Times New Roman" w:hAnsi="Times New Roman" w:cs="Times New Roman"/>
                <w:b/>
                <w:bCs/>
                <w:lang w:val="it-IT"/>
              </w:rPr>
            </w:pPr>
          </w:p>
        </w:tc>
      </w:tr>
      <w:tr w:rsidR="00571EAF" w:rsidRPr="0086165A" w14:paraId="600642C0" w14:textId="77777777" w:rsidTr="004A694D">
        <w:trPr>
          <w:trHeight w:val="735"/>
        </w:trPr>
        <w:tc>
          <w:tcPr>
            <w:tcW w:w="577" w:type="dxa"/>
            <w:tcBorders>
              <w:top w:val="nil"/>
              <w:left w:val="single" w:sz="8" w:space="0" w:color="auto"/>
              <w:bottom w:val="single" w:sz="8" w:space="0" w:color="auto"/>
              <w:right w:val="single" w:sz="8" w:space="0" w:color="auto"/>
            </w:tcBorders>
            <w:shd w:val="clear" w:color="000000" w:fill="BDD6EE"/>
            <w:vAlign w:val="center"/>
            <w:hideMark/>
          </w:tcPr>
          <w:p w14:paraId="28B379D1"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No.</w:t>
            </w:r>
          </w:p>
        </w:tc>
        <w:tc>
          <w:tcPr>
            <w:tcW w:w="1974" w:type="dxa"/>
            <w:tcBorders>
              <w:top w:val="nil"/>
              <w:left w:val="nil"/>
              <w:bottom w:val="nil"/>
              <w:right w:val="single" w:sz="8" w:space="0" w:color="auto"/>
            </w:tcBorders>
            <w:shd w:val="clear" w:color="000000" w:fill="BDD6EE"/>
            <w:vAlign w:val="center"/>
            <w:hideMark/>
          </w:tcPr>
          <w:p w14:paraId="0855056B"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Strategic and specific objectives, indicators and actions</w:t>
            </w:r>
          </w:p>
        </w:tc>
        <w:tc>
          <w:tcPr>
            <w:tcW w:w="2897" w:type="dxa"/>
            <w:gridSpan w:val="3"/>
            <w:tcBorders>
              <w:top w:val="single" w:sz="8" w:space="0" w:color="auto"/>
              <w:left w:val="nil"/>
              <w:bottom w:val="nil"/>
              <w:right w:val="single" w:sz="8" w:space="0" w:color="000000"/>
            </w:tcBorders>
            <w:shd w:val="clear" w:color="000000" w:fill="BDD6EE"/>
            <w:vAlign w:val="center"/>
            <w:hideMark/>
          </w:tcPr>
          <w:p w14:paraId="40BDA014"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xml:space="preserve">Baseline value </w:t>
            </w:r>
          </w:p>
        </w:tc>
        <w:tc>
          <w:tcPr>
            <w:tcW w:w="2360" w:type="dxa"/>
            <w:gridSpan w:val="2"/>
            <w:tcBorders>
              <w:top w:val="single" w:sz="8" w:space="0" w:color="auto"/>
              <w:left w:val="nil"/>
              <w:bottom w:val="nil"/>
              <w:right w:val="single" w:sz="8" w:space="0" w:color="000000"/>
            </w:tcBorders>
            <w:shd w:val="clear" w:color="000000" w:fill="BDD6EE"/>
            <w:vAlign w:val="center"/>
            <w:hideMark/>
          </w:tcPr>
          <w:p w14:paraId="45B300AC"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Short-term objective</w:t>
            </w:r>
            <w:r>
              <w:rPr>
                <w:rFonts w:ascii="Times New Roman" w:hAnsi="Times New Roman"/>
                <w:b/>
                <w:color w:val="000000"/>
                <w:sz w:val="18"/>
              </w:rPr>
              <w:br/>
              <w:t xml:space="preserve"> 2025</w:t>
            </w:r>
          </w:p>
        </w:tc>
        <w:tc>
          <w:tcPr>
            <w:tcW w:w="1099" w:type="dxa"/>
            <w:tcBorders>
              <w:top w:val="nil"/>
              <w:left w:val="nil"/>
              <w:bottom w:val="nil"/>
              <w:right w:val="single" w:sz="8" w:space="0" w:color="auto"/>
            </w:tcBorders>
            <w:shd w:val="clear" w:color="000000" w:fill="BDD6EE"/>
            <w:vAlign w:val="center"/>
            <w:hideMark/>
          </w:tcPr>
          <w:p w14:paraId="7F2DA56A"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xml:space="preserve">Last year’s objective </w:t>
            </w:r>
            <w:r>
              <w:rPr>
                <w:rFonts w:ascii="Times New Roman" w:hAnsi="Times New Roman"/>
                <w:b/>
                <w:color w:val="000000"/>
                <w:sz w:val="18"/>
              </w:rPr>
              <w:br/>
              <w:t>2031</w:t>
            </w:r>
          </w:p>
        </w:tc>
        <w:tc>
          <w:tcPr>
            <w:tcW w:w="3238" w:type="dxa"/>
            <w:gridSpan w:val="3"/>
            <w:tcBorders>
              <w:top w:val="single" w:sz="8" w:space="0" w:color="auto"/>
              <w:left w:val="nil"/>
              <w:bottom w:val="nil"/>
              <w:right w:val="single" w:sz="8" w:space="0" w:color="000000"/>
            </w:tcBorders>
            <w:shd w:val="clear" w:color="000000" w:fill="BDD6EE"/>
            <w:vAlign w:val="center"/>
            <w:hideMark/>
          </w:tcPr>
          <w:p w14:paraId="152FD908"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xml:space="preserve">Result </w:t>
            </w:r>
          </w:p>
        </w:tc>
        <w:tc>
          <w:tcPr>
            <w:tcW w:w="2250" w:type="dxa"/>
            <w:tcBorders>
              <w:top w:val="nil"/>
              <w:left w:val="nil"/>
              <w:bottom w:val="nil"/>
              <w:right w:val="nil"/>
            </w:tcBorders>
            <w:shd w:val="clear" w:color="auto" w:fill="auto"/>
            <w:noWrap/>
            <w:vAlign w:val="bottom"/>
            <w:hideMark/>
          </w:tcPr>
          <w:p w14:paraId="67A5D5C1"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p>
        </w:tc>
      </w:tr>
      <w:tr w:rsidR="00571EAF" w:rsidRPr="0086165A" w14:paraId="529E65CC" w14:textId="77777777" w:rsidTr="004A694D">
        <w:trPr>
          <w:trHeight w:val="315"/>
        </w:trPr>
        <w:tc>
          <w:tcPr>
            <w:tcW w:w="577" w:type="dxa"/>
            <w:tcBorders>
              <w:top w:val="nil"/>
              <w:left w:val="single" w:sz="8" w:space="0" w:color="auto"/>
              <w:bottom w:val="single" w:sz="8" w:space="0" w:color="auto"/>
              <w:right w:val="single" w:sz="8" w:space="0" w:color="auto"/>
            </w:tcBorders>
            <w:shd w:val="clear" w:color="000000" w:fill="BFBFBF"/>
            <w:vAlign w:val="center"/>
            <w:hideMark/>
          </w:tcPr>
          <w:p w14:paraId="6B3BA055"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w:t>
            </w:r>
          </w:p>
        </w:tc>
        <w:tc>
          <w:tcPr>
            <w:tcW w:w="11568" w:type="dxa"/>
            <w:gridSpan w:val="10"/>
            <w:tcBorders>
              <w:top w:val="single" w:sz="8" w:space="0" w:color="auto"/>
              <w:left w:val="nil"/>
              <w:bottom w:val="single" w:sz="8" w:space="0" w:color="auto"/>
              <w:right w:val="single" w:sz="8" w:space="0" w:color="000000"/>
            </w:tcBorders>
            <w:shd w:val="clear" w:color="000000" w:fill="BFBFBF"/>
            <w:vAlign w:val="center"/>
            <w:hideMark/>
          </w:tcPr>
          <w:p w14:paraId="6982BBE3" w14:textId="77777777" w:rsidR="00571EAF" w:rsidRPr="0014539F" w:rsidRDefault="00130011"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STRATEGIC OBJECTIVE 1: IMPROVING SYSTEM RESILIENCE</w:t>
            </w:r>
          </w:p>
        </w:tc>
        <w:tc>
          <w:tcPr>
            <w:tcW w:w="2250" w:type="dxa"/>
            <w:tcBorders>
              <w:top w:val="nil"/>
              <w:left w:val="nil"/>
              <w:bottom w:val="nil"/>
              <w:right w:val="nil"/>
            </w:tcBorders>
            <w:shd w:val="clear" w:color="auto" w:fill="auto"/>
            <w:noWrap/>
            <w:vAlign w:val="bottom"/>
            <w:hideMark/>
          </w:tcPr>
          <w:p w14:paraId="576ED997" w14:textId="77777777" w:rsidR="00571EAF" w:rsidRPr="008F2F6A" w:rsidRDefault="00571EAF" w:rsidP="00571EAF">
            <w:pPr>
              <w:spacing w:after="0" w:line="240" w:lineRule="auto"/>
              <w:rPr>
                <w:rFonts w:ascii="Times New Roman" w:eastAsia="Times New Roman" w:hAnsi="Times New Roman" w:cs="Times New Roman"/>
                <w:b/>
                <w:bCs/>
                <w:color w:val="000000"/>
                <w:sz w:val="18"/>
                <w:szCs w:val="18"/>
              </w:rPr>
            </w:pPr>
          </w:p>
        </w:tc>
      </w:tr>
      <w:tr w:rsidR="00571EAF" w:rsidRPr="0086165A" w14:paraId="53608235" w14:textId="77777777" w:rsidTr="004A694D">
        <w:trPr>
          <w:trHeight w:val="735"/>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21B42B30"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w:t>
            </w:r>
          </w:p>
        </w:tc>
        <w:tc>
          <w:tcPr>
            <w:tcW w:w="1974" w:type="dxa"/>
            <w:tcBorders>
              <w:top w:val="nil"/>
              <w:left w:val="nil"/>
              <w:bottom w:val="single" w:sz="8" w:space="0" w:color="auto"/>
              <w:right w:val="single" w:sz="8" w:space="0" w:color="auto"/>
            </w:tcBorders>
            <w:shd w:val="clear" w:color="auto" w:fill="auto"/>
            <w:vAlign w:val="center"/>
            <w:hideMark/>
          </w:tcPr>
          <w:p w14:paraId="17E98F61"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Indicator: System Average Interruption Duration Index (SAIDI)</w:t>
            </w:r>
          </w:p>
        </w:tc>
        <w:tc>
          <w:tcPr>
            <w:tcW w:w="2897" w:type="dxa"/>
            <w:gridSpan w:val="3"/>
            <w:tcBorders>
              <w:top w:val="single" w:sz="8" w:space="0" w:color="auto"/>
              <w:left w:val="nil"/>
              <w:bottom w:val="nil"/>
              <w:right w:val="single" w:sz="8" w:space="0" w:color="000000"/>
            </w:tcBorders>
            <w:shd w:val="clear" w:color="auto" w:fill="auto"/>
            <w:vAlign w:val="center"/>
            <w:hideMark/>
          </w:tcPr>
          <w:p w14:paraId="762E45E4"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SAIDI: 80.83 hours/year </w:t>
            </w:r>
            <w:r>
              <w:rPr>
                <w:rFonts w:ascii="Times New Roman" w:hAnsi="Times New Roman"/>
                <w:color w:val="000000"/>
                <w:sz w:val="18"/>
              </w:rPr>
              <w:br/>
              <w:t>(2021)</w:t>
            </w:r>
          </w:p>
        </w:tc>
        <w:tc>
          <w:tcPr>
            <w:tcW w:w="2360" w:type="dxa"/>
            <w:gridSpan w:val="2"/>
            <w:tcBorders>
              <w:top w:val="single" w:sz="8" w:space="0" w:color="auto"/>
              <w:left w:val="nil"/>
              <w:bottom w:val="nil"/>
              <w:right w:val="single" w:sz="8" w:space="0" w:color="000000"/>
            </w:tcBorders>
            <w:shd w:val="clear" w:color="auto" w:fill="auto"/>
            <w:vAlign w:val="center"/>
            <w:hideMark/>
          </w:tcPr>
          <w:p w14:paraId="683C2AD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SAIDI: 63 hours/year</w:t>
            </w:r>
          </w:p>
        </w:tc>
        <w:tc>
          <w:tcPr>
            <w:tcW w:w="1099" w:type="dxa"/>
            <w:tcBorders>
              <w:top w:val="nil"/>
              <w:left w:val="nil"/>
              <w:bottom w:val="single" w:sz="8" w:space="0" w:color="auto"/>
              <w:right w:val="single" w:sz="8" w:space="0" w:color="auto"/>
            </w:tcBorders>
            <w:shd w:val="clear" w:color="auto" w:fill="auto"/>
            <w:vAlign w:val="center"/>
            <w:hideMark/>
          </w:tcPr>
          <w:p w14:paraId="67458E57"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SAIDI: 51.84 hours/year</w:t>
            </w:r>
          </w:p>
        </w:tc>
        <w:tc>
          <w:tcPr>
            <w:tcW w:w="3238" w:type="dxa"/>
            <w:gridSpan w:val="3"/>
            <w:tcBorders>
              <w:top w:val="single" w:sz="8" w:space="0" w:color="auto"/>
              <w:left w:val="nil"/>
              <w:bottom w:val="nil"/>
              <w:right w:val="single" w:sz="8" w:space="0" w:color="000000"/>
            </w:tcBorders>
            <w:shd w:val="clear" w:color="auto" w:fill="auto"/>
            <w:vAlign w:val="center"/>
            <w:hideMark/>
          </w:tcPr>
          <w:p w14:paraId="72729DEF"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 </w:t>
            </w:r>
          </w:p>
        </w:tc>
        <w:tc>
          <w:tcPr>
            <w:tcW w:w="2250" w:type="dxa"/>
            <w:tcBorders>
              <w:top w:val="nil"/>
              <w:left w:val="nil"/>
              <w:bottom w:val="nil"/>
              <w:right w:val="nil"/>
            </w:tcBorders>
            <w:shd w:val="clear" w:color="auto" w:fill="auto"/>
            <w:noWrap/>
            <w:vAlign w:val="bottom"/>
            <w:hideMark/>
          </w:tcPr>
          <w:p w14:paraId="3221BD1B"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p>
        </w:tc>
      </w:tr>
      <w:tr w:rsidR="00571EAF" w:rsidRPr="0086165A" w14:paraId="3B998862" w14:textId="77777777" w:rsidTr="004A694D">
        <w:trPr>
          <w:trHeight w:val="975"/>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38701D72"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w:t>
            </w:r>
          </w:p>
        </w:tc>
        <w:tc>
          <w:tcPr>
            <w:tcW w:w="1974" w:type="dxa"/>
            <w:tcBorders>
              <w:top w:val="nil"/>
              <w:left w:val="nil"/>
              <w:bottom w:val="single" w:sz="8" w:space="0" w:color="auto"/>
              <w:right w:val="single" w:sz="8" w:space="0" w:color="auto"/>
            </w:tcBorders>
            <w:shd w:val="clear" w:color="auto" w:fill="auto"/>
            <w:vAlign w:val="center"/>
            <w:hideMark/>
          </w:tcPr>
          <w:p w14:paraId="4026715C"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Indicator: System Average Interruption</w:t>
            </w:r>
            <w:r>
              <w:rPr>
                <w:rFonts w:ascii="Times New Roman" w:hAnsi="Times New Roman"/>
                <w:color w:val="000000"/>
                <w:sz w:val="18"/>
              </w:rPr>
              <w:br/>
              <w:t>Frequency Index (SAIFI)</w:t>
            </w:r>
          </w:p>
        </w:tc>
        <w:tc>
          <w:tcPr>
            <w:tcW w:w="2897" w:type="dxa"/>
            <w:gridSpan w:val="3"/>
            <w:tcBorders>
              <w:top w:val="single" w:sz="8" w:space="0" w:color="auto"/>
              <w:left w:val="nil"/>
              <w:bottom w:val="single" w:sz="8" w:space="0" w:color="auto"/>
              <w:right w:val="single" w:sz="8" w:space="0" w:color="000000"/>
            </w:tcBorders>
            <w:shd w:val="clear" w:color="auto" w:fill="auto"/>
            <w:vAlign w:val="center"/>
            <w:hideMark/>
          </w:tcPr>
          <w:p w14:paraId="1DD7B32F"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SAIFI: 58.27 </w:t>
            </w:r>
            <w:r>
              <w:rPr>
                <w:rFonts w:ascii="Times New Roman" w:hAnsi="Times New Roman"/>
                <w:color w:val="000000"/>
                <w:sz w:val="18"/>
              </w:rPr>
              <w:br/>
              <w:t>(2021)</w:t>
            </w:r>
          </w:p>
        </w:tc>
        <w:tc>
          <w:tcPr>
            <w:tcW w:w="2360" w:type="dxa"/>
            <w:gridSpan w:val="2"/>
            <w:tcBorders>
              <w:top w:val="single" w:sz="8" w:space="0" w:color="auto"/>
              <w:left w:val="nil"/>
              <w:bottom w:val="nil"/>
              <w:right w:val="single" w:sz="8" w:space="0" w:color="000000"/>
            </w:tcBorders>
            <w:shd w:val="clear" w:color="auto" w:fill="auto"/>
            <w:vAlign w:val="center"/>
            <w:hideMark/>
          </w:tcPr>
          <w:p w14:paraId="7701E6F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SAIFI: 49</w:t>
            </w:r>
          </w:p>
        </w:tc>
        <w:tc>
          <w:tcPr>
            <w:tcW w:w="1099" w:type="dxa"/>
            <w:tcBorders>
              <w:top w:val="nil"/>
              <w:left w:val="nil"/>
              <w:bottom w:val="single" w:sz="8" w:space="0" w:color="auto"/>
              <w:right w:val="single" w:sz="8" w:space="0" w:color="auto"/>
            </w:tcBorders>
            <w:shd w:val="clear" w:color="auto" w:fill="auto"/>
            <w:vAlign w:val="center"/>
            <w:hideMark/>
          </w:tcPr>
          <w:p w14:paraId="1F068A38"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SAIFI: 40.86 </w:t>
            </w:r>
          </w:p>
        </w:tc>
        <w:tc>
          <w:tcPr>
            <w:tcW w:w="3238" w:type="dxa"/>
            <w:gridSpan w:val="3"/>
            <w:tcBorders>
              <w:top w:val="single" w:sz="8" w:space="0" w:color="auto"/>
              <w:left w:val="nil"/>
              <w:bottom w:val="single" w:sz="8" w:space="0" w:color="auto"/>
              <w:right w:val="single" w:sz="8" w:space="0" w:color="000000"/>
            </w:tcBorders>
            <w:shd w:val="clear" w:color="auto" w:fill="auto"/>
            <w:vAlign w:val="center"/>
            <w:hideMark/>
          </w:tcPr>
          <w:p w14:paraId="58F13CD1"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 </w:t>
            </w:r>
          </w:p>
        </w:tc>
        <w:tc>
          <w:tcPr>
            <w:tcW w:w="2250" w:type="dxa"/>
            <w:tcBorders>
              <w:top w:val="nil"/>
              <w:left w:val="nil"/>
              <w:bottom w:val="nil"/>
              <w:right w:val="nil"/>
            </w:tcBorders>
            <w:shd w:val="clear" w:color="auto" w:fill="auto"/>
            <w:noWrap/>
            <w:vAlign w:val="bottom"/>
            <w:hideMark/>
          </w:tcPr>
          <w:p w14:paraId="39B6F9CA"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p>
        </w:tc>
      </w:tr>
      <w:tr w:rsidR="00571EAF" w:rsidRPr="0086165A" w14:paraId="77B453EE" w14:textId="77777777" w:rsidTr="004A694D">
        <w:trPr>
          <w:trHeight w:val="315"/>
        </w:trPr>
        <w:tc>
          <w:tcPr>
            <w:tcW w:w="577" w:type="dxa"/>
            <w:tcBorders>
              <w:top w:val="nil"/>
              <w:left w:val="single" w:sz="8" w:space="0" w:color="auto"/>
              <w:bottom w:val="single" w:sz="8" w:space="0" w:color="auto"/>
              <w:right w:val="single" w:sz="8" w:space="0" w:color="auto"/>
            </w:tcBorders>
            <w:shd w:val="clear" w:color="000000" w:fill="D9D9D9"/>
            <w:vAlign w:val="center"/>
            <w:hideMark/>
          </w:tcPr>
          <w:p w14:paraId="0C11F4D1"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I.1</w:t>
            </w:r>
          </w:p>
        </w:tc>
        <w:tc>
          <w:tcPr>
            <w:tcW w:w="11568" w:type="dxa"/>
            <w:gridSpan w:val="10"/>
            <w:tcBorders>
              <w:top w:val="single" w:sz="8" w:space="0" w:color="auto"/>
              <w:left w:val="nil"/>
              <w:bottom w:val="single" w:sz="8" w:space="0" w:color="auto"/>
              <w:right w:val="single" w:sz="8" w:space="0" w:color="000000"/>
            </w:tcBorders>
            <w:shd w:val="clear" w:color="000000" w:fill="D9D9D9"/>
            <w:vAlign w:val="center"/>
            <w:hideMark/>
          </w:tcPr>
          <w:p w14:paraId="27E9A7E8" w14:textId="77777777" w:rsidR="00571EAF" w:rsidRPr="0014539F" w:rsidRDefault="00571EAF"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Specific Objective: Enhancing system flexibility</w:t>
            </w:r>
          </w:p>
        </w:tc>
        <w:tc>
          <w:tcPr>
            <w:tcW w:w="2250" w:type="dxa"/>
            <w:tcBorders>
              <w:top w:val="nil"/>
              <w:left w:val="nil"/>
              <w:bottom w:val="nil"/>
              <w:right w:val="nil"/>
            </w:tcBorders>
            <w:shd w:val="clear" w:color="auto" w:fill="auto"/>
            <w:noWrap/>
            <w:vAlign w:val="bottom"/>
            <w:hideMark/>
          </w:tcPr>
          <w:p w14:paraId="49DB28AD" w14:textId="77777777" w:rsidR="00571EAF" w:rsidRPr="008F2F6A" w:rsidRDefault="00571EAF" w:rsidP="00571EAF">
            <w:pPr>
              <w:spacing w:after="0" w:line="240" w:lineRule="auto"/>
              <w:rPr>
                <w:rFonts w:ascii="Times New Roman" w:eastAsia="Times New Roman" w:hAnsi="Times New Roman" w:cs="Times New Roman"/>
                <w:b/>
                <w:bCs/>
                <w:color w:val="000000"/>
                <w:sz w:val="18"/>
                <w:szCs w:val="18"/>
              </w:rPr>
            </w:pPr>
          </w:p>
        </w:tc>
      </w:tr>
      <w:tr w:rsidR="00571EAF" w:rsidRPr="0086165A" w14:paraId="2D6B96F6" w14:textId="77777777" w:rsidTr="004A694D">
        <w:trPr>
          <w:trHeight w:val="735"/>
        </w:trPr>
        <w:tc>
          <w:tcPr>
            <w:tcW w:w="577" w:type="dxa"/>
            <w:tcBorders>
              <w:top w:val="nil"/>
              <w:left w:val="single" w:sz="8" w:space="0" w:color="auto"/>
              <w:bottom w:val="single" w:sz="8" w:space="0" w:color="auto"/>
              <w:right w:val="single" w:sz="8" w:space="0" w:color="auto"/>
            </w:tcBorders>
            <w:shd w:val="clear" w:color="000000" w:fill="D0CECE"/>
            <w:vAlign w:val="center"/>
            <w:hideMark/>
          </w:tcPr>
          <w:p w14:paraId="5C04BE8E" w14:textId="77777777" w:rsidR="00571EAF" w:rsidRPr="0014539F"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w:t>
            </w:r>
          </w:p>
        </w:tc>
        <w:tc>
          <w:tcPr>
            <w:tcW w:w="1974" w:type="dxa"/>
            <w:tcBorders>
              <w:top w:val="nil"/>
              <w:left w:val="nil"/>
              <w:bottom w:val="nil"/>
              <w:right w:val="single" w:sz="8" w:space="0" w:color="auto"/>
            </w:tcBorders>
            <w:shd w:val="clear" w:color="000000" w:fill="D0CECE"/>
            <w:vAlign w:val="center"/>
            <w:hideMark/>
          </w:tcPr>
          <w:p w14:paraId="3D0F3969"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Indicator</w:t>
            </w:r>
          </w:p>
        </w:tc>
        <w:tc>
          <w:tcPr>
            <w:tcW w:w="2897" w:type="dxa"/>
            <w:gridSpan w:val="3"/>
            <w:tcBorders>
              <w:top w:val="single" w:sz="8" w:space="0" w:color="auto"/>
              <w:left w:val="nil"/>
              <w:bottom w:val="single" w:sz="8" w:space="0" w:color="auto"/>
              <w:right w:val="nil"/>
            </w:tcBorders>
            <w:shd w:val="clear" w:color="000000" w:fill="D9D9D9"/>
            <w:vAlign w:val="center"/>
            <w:hideMark/>
          </w:tcPr>
          <w:p w14:paraId="0C1A333C"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xml:space="preserve">Baseline value </w:t>
            </w:r>
          </w:p>
        </w:tc>
        <w:tc>
          <w:tcPr>
            <w:tcW w:w="2360" w:type="dxa"/>
            <w:gridSpan w:val="2"/>
            <w:tcBorders>
              <w:top w:val="single" w:sz="8" w:space="0" w:color="auto"/>
              <w:left w:val="single" w:sz="8" w:space="0" w:color="auto"/>
              <w:bottom w:val="single" w:sz="8" w:space="0" w:color="auto"/>
              <w:right w:val="nil"/>
            </w:tcBorders>
            <w:shd w:val="clear" w:color="000000" w:fill="D9D9D9"/>
            <w:vAlign w:val="center"/>
            <w:hideMark/>
          </w:tcPr>
          <w:p w14:paraId="642C4037"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Short-term objective</w:t>
            </w:r>
            <w:r>
              <w:rPr>
                <w:rFonts w:ascii="Times New Roman" w:hAnsi="Times New Roman"/>
                <w:b/>
                <w:color w:val="000000"/>
                <w:sz w:val="18"/>
              </w:rPr>
              <w:br/>
              <w:t xml:space="preserve"> 2025</w:t>
            </w:r>
          </w:p>
        </w:tc>
        <w:tc>
          <w:tcPr>
            <w:tcW w:w="1099" w:type="dxa"/>
            <w:tcBorders>
              <w:top w:val="nil"/>
              <w:left w:val="single" w:sz="8" w:space="0" w:color="auto"/>
              <w:bottom w:val="single" w:sz="8" w:space="0" w:color="auto"/>
              <w:right w:val="single" w:sz="8" w:space="0" w:color="auto"/>
            </w:tcBorders>
            <w:shd w:val="clear" w:color="000000" w:fill="D9D9D9"/>
            <w:vAlign w:val="center"/>
            <w:hideMark/>
          </w:tcPr>
          <w:p w14:paraId="10A85965"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xml:space="preserve">Last year’s objective </w:t>
            </w:r>
            <w:r>
              <w:rPr>
                <w:rFonts w:ascii="Times New Roman" w:hAnsi="Times New Roman"/>
                <w:b/>
                <w:color w:val="000000"/>
                <w:sz w:val="18"/>
              </w:rPr>
              <w:br/>
              <w:t>2031</w:t>
            </w:r>
          </w:p>
        </w:tc>
        <w:tc>
          <w:tcPr>
            <w:tcW w:w="3238" w:type="dxa"/>
            <w:gridSpan w:val="3"/>
            <w:tcBorders>
              <w:top w:val="single" w:sz="8" w:space="0" w:color="auto"/>
              <w:left w:val="nil"/>
              <w:bottom w:val="single" w:sz="8" w:space="0" w:color="auto"/>
              <w:right w:val="single" w:sz="8" w:space="0" w:color="000000"/>
            </w:tcBorders>
            <w:shd w:val="clear" w:color="000000" w:fill="D9D9D9"/>
            <w:vAlign w:val="center"/>
            <w:hideMark/>
          </w:tcPr>
          <w:p w14:paraId="257A423F"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w:t>
            </w:r>
          </w:p>
        </w:tc>
        <w:tc>
          <w:tcPr>
            <w:tcW w:w="2250" w:type="dxa"/>
            <w:tcBorders>
              <w:top w:val="nil"/>
              <w:left w:val="nil"/>
              <w:bottom w:val="nil"/>
              <w:right w:val="nil"/>
            </w:tcBorders>
            <w:shd w:val="clear" w:color="auto" w:fill="auto"/>
            <w:noWrap/>
            <w:vAlign w:val="bottom"/>
            <w:hideMark/>
          </w:tcPr>
          <w:p w14:paraId="5E4C3A76"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p>
        </w:tc>
      </w:tr>
      <w:tr w:rsidR="00571EAF" w:rsidRPr="0086165A" w14:paraId="3B07E65E" w14:textId="77777777" w:rsidTr="004A694D">
        <w:trPr>
          <w:trHeight w:val="495"/>
        </w:trPr>
        <w:tc>
          <w:tcPr>
            <w:tcW w:w="577" w:type="dxa"/>
            <w:tcBorders>
              <w:top w:val="nil"/>
              <w:left w:val="single" w:sz="8" w:space="0" w:color="auto"/>
              <w:bottom w:val="nil"/>
              <w:right w:val="single" w:sz="8" w:space="0" w:color="auto"/>
            </w:tcBorders>
            <w:shd w:val="clear" w:color="auto" w:fill="auto"/>
            <w:vAlign w:val="center"/>
            <w:hideMark/>
          </w:tcPr>
          <w:p w14:paraId="138B29E5"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w:t>
            </w:r>
          </w:p>
        </w:tc>
        <w:tc>
          <w:tcPr>
            <w:tcW w:w="1974" w:type="dxa"/>
            <w:tcBorders>
              <w:top w:val="single" w:sz="8" w:space="0" w:color="auto"/>
              <w:left w:val="nil"/>
              <w:bottom w:val="nil"/>
              <w:right w:val="single" w:sz="8" w:space="0" w:color="auto"/>
            </w:tcBorders>
            <w:shd w:val="clear" w:color="auto" w:fill="auto"/>
            <w:vAlign w:val="center"/>
            <w:hideMark/>
          </w:tcPr>
          <w:p w14:paraId="5CD2F774"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Flexible regulation</w:t>
            </w:r>
            <w:r>
              <w:rPr>
                <w:rFonts w:ascii="Times New Roman" w:hAnsi="Times New Roman"/>
                <w:color w:val="000000"/>
                <w:sz w:val="18"/>
              </w:rPr>
              <w:br/>
              <w:t>capacity level</w:t>
            </w:r>
          </w:p>
        </w:tc>
        <w:tc>
          <w:tcPr>
            <w:tcW w:w="2897" w:type="dxa"/>
            <w:gridSpan w:val="3"/>
            <w:tcBorders>
              <w:top w:val="single" w:sz="8" w:space="0" w:color="auto"/>
              <w:left w:val="nil"/>
              <w:bottom w:val="nil"/>
              <w:right w:val="single" w:sz="8" w:space="0" w:color="000000"/>
            </w:tcBorders>
            <w:shd w:val="clear" w:color="auto" w:fill="auto"/>
            <w:vAlign w:val="center"/>
            <w:hideMark/>
          </w:tcPr>
          <w:p w14:paraId="246BFF00"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5 MW </w:t>
            </w:r>
            <w:r>
              <w:rPr>
                <w:rFonts w:ascii="Times New Roman" w:hAnsi="Times New Roman"/>
                <w:color w:val="000000"/>
                <w:sz w:val="18"/>
              </w:rPr>
              <w:br/>
              <w:t>(2022)</w:t>
            </w:r>
          </w:p>
        </w:tc>
        <w:tc>
          <w:tcPr>
            <w:tcW w:w="2360" w:type="dxa"/>
            <w:gridSpan w:val="2"/>
            <w:tcBorders>
              <w:top w:val="single" w:sz="8" w:space="0" w:color="auto"/>
              <w:left w:val="nil"/>
              <w:bottom w:val="nil"/>
              <w:right w:val="single" w:sz="8" w:space="0" w:color="000000"/>
            </w:tcBorders>
            <w:shd w:val="clear" w:color="auto" w:fill="auto"/>
            <w:vAlign w:val="center"/>
            <w:hideMark/>
          </w:tcPr>
          <w:p w14:paraId="5E225F04"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 MW</w:t>
            </w:r>
          </w:p>
        </w:tc>
        <w:tc>
          <w:tcPr>
            <w:tcW w:w="1099" w:type="dxa"/>
            <w:tcBorders>
              <w:top w:val="nil"/>
              <w:left w:val="nil"/>
              <w:bottom w:val="nil"/>
              <w:right w:val="single" w:sz="8" w:space="0" w:color="auto"/>
            </w:tcBorders>
            <w:shd w:val="clear" w:color="auto" w:fill="auto"/>
            <w:vAlign w:val="center"/>
            <w:hideMark/>
          </w:tcPr>
          <w:p w14:paraId="67A4093F"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170 MW</w:t>
            </w:r>
          </w:p>
        </w:tc>
        <w:tc>
          <w:tcPr>
            <w:tcW w:w="3238" w:type="dxa"/>
            <w:gridSpan w:val="3"/>
            <w:tcBorders>
              <w:top w:val="single" w:sz="8" w:space="0" w:color="auto"/>
              <w:left w:val="nil"/>
              <w:bottom w:val="nil"/>
              <w:right w:val="single" w:sz="8" w:space="0" w:color="000000"/>
            </w:tcBorders>
            <w:shd w:val="clear" w:color="auto" w:fill="auto"/>
            <w:vAlign w:val="center"/>
            <w:hideMark/>
          </w:tcPr>
          <w:p w14:paraId="1B03AC33"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w:t>
            </w:r>
          </w:p>
        </w:tc>
        <w:tc>
          <w:tcPr>
            <w:tcW w:w="2250" w:type="dxa"/>
            <w:tcBorders>
              <w:top w:val="nil"/>
              <w:left w:val="nil"/>
              <w:bottom w:val="nil"/>
              <w:right w:val="nil"/>
            </w:tcBorders>
            <w:shd w:val="clear" w:color="auto" w:fill="auto"/>
            <w:noWrap/>
            <w:vAlign w:val="bottom"/>
            <w:hideMark/>
          </w:tcPr>
          <w:p w14:paraId="76F1F318"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p>
        </w:tc>
      </w:tr>
      <w:tr w:rsidR="00571EAF" w:rsidRPr="0086165A" w14:paraId="03A6D9A4" w14:textId="77777777" w:rsidTr="004A694D">
        <w:trPr>
          <w:trHeight w:val="315"/>
        </w:trPr>
        <w:tc>
          <w:tcPr>
            <w:tcW w:w="57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91D675C"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No.</w:t>
            </w:r>
          </w:p>
        </w:tc>
        <w:tc>
          <w:tcPr>
            <w:tcW w:w="19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8130BA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69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DB2568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4559" w:type="dxa"/>
            <w:gridSpan w:val="4"/>
            <w:tcBorders>
              <w:top w:val="single" w:sz="8" w:space="0" w:color="auto"/>
              <w:left w:val="nil"/>
              <w:bottom w:val="single" w:sz="8" w:space="0" w:color="auto"/>
              <w:right w:val="single" w:sz="8" w:space="0" w:color="000000"/>
            </w:tcBorders>
            <w:shd w:val="clear" w:color="000000" w:fill="D9D9D9"/>
            <w:vAlign w:val="center"/>
            <w:hideMark/>
          </w:tcPr>
          <w:p w14:paraId="4DAEBC4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109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37AE3D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100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C82767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128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408374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9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A3E976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225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E426197" w14:textId="77777777" w:rsidR="00571EAF" w:rsidRPr="0086165A" w:rsidRDefault="00571EAF" w:rsidP="005D6B3A">
            <w:pPr>
              <w:spacing w:after="0" w:line="240" w:lineRule="auto"/>
              <w:jc w:val="center"/>
              <w:rPr>
                <w:rFonts w:ascii="Times New Roman" w:eastAsia="Times New Roman" w:hAnsi="Times New Roman" w:cs="Times New Roman"/>
                <w:b/>
                <w:bCs/>
              </w:rPr>
            </w:pPr>
            <w:r>
              <w:rPr>
                <w:rFonts w:ascii="Times New Roman" w:hAnsi="Times New Roman"/>
                <w:b/>
              </w:rPr>
              <w:t>Implementation progress for 2024</w:t>
            </w:r>
          </w:p>
        </w:tc>
      </w:tr>
      <w:tr w:rsidR="00B36062" w:rsidRPr="0086165A" w14:paraId="46EE0FBE" w14:textId="77777777" w:rsidTr="004A694D">
        <w:trPr>
          <w:trHeight w:val="300"/>
        </w:trPr>
        <w:tc>
          <w:tcPr>
            <w:tcW w:w="577" w:type="dxa"/>
            <w:vMerge/>
            <w:tcBorders>
              <w:top w:val="single" w:sz="8" w:space="0" w:color="auto"/>
              <w:left w:val="single" w:sz="8" w:space="0" w:color="auto"/>
              <w:bottom w:val="single" w:sz="8" w:space="0" w:color="000000"/>
              <w:right w:val="single" w:sz="8" w:space="0" w:color="auto"/>
            </w:tcBorders>
            <w:vAlign w:val="center"/>
            <w:hideMark/>
          </w:tcPr>
          <w:p w14:paraId="32F81EC1"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14:paraId="73C0921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3DB1CDE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59" w:type="dxa"/>
            <w:tcBorders>
              <w:top w:val="nil"/>
              <w:left w:val="nil"/>
              <w:bottom w:val="nil"/>
              <w:right w:val="single" w:sz="8" w:space="0" w:color="auto"/>
            </w:tcBorders>
            <w:shd w:val="clear" w:color="000000" w:fill="D9D9D9"/>
            <w:vAlign w:val="center"/>
            <w:hideMark/>
          </w:tcPr>
          <w:p w14:paraId="6935FF3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140" w:type="dxa"/>
            <w:tcBorders>
              <w:top w:val="nil"/>
              <w:left w:val="nil"/>
              <w:bottom w:val="nil"/>
              <w:right w:val="single" w:sz="8" w:space="0" w:color="auto"/>
            </w:tcBorders>
            <w:shd w:val="clear" w:color="000000" w:fill="D9D9D9"/>
            <w:vAlign w:val="center"/>
            <w:hideMark/>
          </w:tcPr>
          <w:p w14:paraId="578E014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220" w:type="dxa"/>
            <w:tcBorders>
              <w:top w:val="nil"/>
              <w:left w:val="nil"/>
              <w:bottom w:val="nil"/>
              <w:right w:val="single" w:sz="8" w:space="0" w:color="auto"/>
            </w:tcBorders>
            <w:shd w:val="clear" w:color="000000" w:fill="D9D9D9"/>
            <w:vAlign w:val="center"/>
            <w:hideMark/>
          </w:tcPr>
          <w:p w14:paraId="7DD4087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140" w:type="dxa"/>
            <w:tcBorders>
              <w:top w:val="nil"/>
              <w:left w:val="nil"/>
              <w:bottom w:val="nil"/>
              <w:right w:val="single" w:sz="8" w:space="0" w:color="auto"/>
            </w:tcBorders>
            <w:shd w:val="clear" w:color="000000" w:fill="D9D9D9"/>
            <w:vAlign w:val="center"/>
            <w:hideMark/>
          </w:tcPr>
          <w:p w14:paraId="4A567B6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72C7F54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7C1A8C9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287" w:type="dxa"/>
            <w:vMerge/>
            <w:tcBorders>
              <w:top w:val="single" w:sz="8" w:space="0" w:color="auto"/>
              <w:left w:val="single" w:sz="8" w:space="0" w:color="auto"/>
              <w:bottom w:val="single" w:sz="8" w:space="0" w:color="000000"/>
              <w:right w:val="single" w:sz="8" w:space="0" w:color="auto"/>
            </w:tcBorders>
            <w:vAlign w:val="center"/>
            <w:hideMark/>
          </w:tcPr>
          <w:p w14:paraId="2190ACB7"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463EA7F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6CBDC2FB" w14:textId="77777777" w:rsidR="00571EAF" w:rsidRPr="0086165A" w:rsidRDefault="00571EAF" w:rsidP="00571EAF">
            <w:pPr>
              <w:spacing w:after="0" w:line="240" w:lineRule="auto"/>
              <w:rPr>
                <w:rFonts w:ascii="Times New Roman" w:eastAsia="Times New Roman" w:hAnsi="Times New Roman" w:cs="Times New Roman"/>
                <w:b/>
                <w:bCs/>
              </w:rPr>
            </w:pPr>
          </w:p>
        </w:tc>
      </w:tr>
      <w:tr w:rsidR="00B36062" w:rsidRPr="0086165A" w14:paraId="653BAD03" w14:textId="77777777" w:rsidTr="004A694D">
        <w:trPr>
          <w:trHeight w:val="615"/>
        </w:trPr>
        <w:tc>
          <w:tcPr>
            <w:tcW w:w="577" w:type="dxa"/>
            <w:vMerge/>
            <w:tcBorders>
              <w:top w:val="single" w:sz="8" w:space="0" w:color="auto"/>
              <w:left w:val="single" w:sz="8" w:space="0" w:color="auto"/>
              <w:bottom w:val="single" w:sz="8" w:space="0" w:color="000000"/>
              <w:right w:val="single" w:sz="8" w:space="0" w:color="auto"/>
            </w:tcBorders>
            <w:vAlign w:val="center"/>
            <w:hideMark/>
          </w:tcPr>
          <w:p w14:paraId="35DECFE7"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14:paraId="3FDAAFA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43907DB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59" w:type="dxa"/>
            <w:tcBorders>
              <w:top w:val="nil"/>
              <w:left w:val="nil"/>
              <w:bottom w:val="single" w:sz="8" w:space="0" w:color="auto"/>
              <w:right w:val="single" w:sz="8" w:space="0" w:color="auto"/>
            </w:tcBorders>
            <w:shd w:val="clear" w:color="000000" w:fill="D9D9D9"/>
            <w:vAlign w:val="center"/>
            <w:hideMark/>
          </w:tcPr>
          <w:p w14:paraId="1934BC1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1140" w:type="dxa"/>
            <w:tcBorders>
              <w:top w:val="nil"/>
              <w:left w:val="nil"/>
              <w:bottom w:val="single" w:sz="8" w:space="0" w:color="auto"/>
              <w:right w:val="single" w:sz="8" w:space="0" w:color="auto"/>
            </w:tcBorders>
            <w:shd w:val="clear" w:color="000000" w:fill="D9D9D9"/>
            <w:vAlign w:val="center"/>
            <w:hideMark/>
          </w:tcPr>
          <w:p w14:paraId="17207E9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1220" w:type="dxa"/>
            <w:tcBorders>
              <w:top w:val="nil"/>
              <w:left w:val="nil"/>
              <w:bottom w:val="single" w:sz="8" w:space="0" w:color="auto"/>
              <w:right w:val="single" w:sz="8" w:space="0" w:color="auto"/>
            </w:tcBorders>
            <w:shd w:val="clear" w:color="000000" w:fill="D9D9D9"/>
            <w:vAlign w:val="center"/>
            <w:hideMark/>
          </w:tcPr>
          <w:p w14:paraId="54A4741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1140" w:type="dxa"/>
            <w:tcBorders>
              <w:top w:val="nil"/>
              <w:left w:val="nil"/>
              <w:bottom w:val="single" w:sz="8" w:space="0" w:color="auto"/>
              <w:right w:val="single" w:sz="8" w:space="0" w:color="auto"/>
            </w:tcBorders>
            <w:shd w:val="clear" w:color="000000" w:fill="D9D9D9"/>
            <w:vAlign w:val="center"/>
            <w:hideMark/>
          </w:tcPr>
          <w:p w14:paraId="44057F8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21FA1F3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138CF55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287" w:type="dxa"/>
            <w:vMerge/>
            <w:tcBorders>
              <w:top w:val="single" w:sz="8" w:space="0" w:color="auto"/>
              <w:left w:val="single" w:sz="8" w:space="0" w:color="auto"/>
              <w:bottom w:val="single" w:sz="8" w:space="0" w:color="000000"/>
              <w:right w:val="single" w:sz="8" w:space="0" w:color="auto"/>
            </w:tcBorders>
            <w:vAlign w:val="center"/>
            <w:hideMark/>
          </w:tcPr>
          <w:p w14:paraId="21AC314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65EBD04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22A313CF" w14:textId="77777777" w:rsidR="00571EAF" w:rsidRPr="0086165A" w:rsidRDefault="00571EAF" w:rsidP="00571EAF">
            <w:pPr>
              <w:spacing w:after="0" w:line="240" w:lineRule="auto"/>
              <w:rPr>
                <w:rFonts w:ascii="Times New Roman" w:eastAsia="Times New Roman" w:hAnsi="Times New Roman" w:cs="Times New Roman"/>
                <w:b/>
                <w:bCs/>
              </w:rPr>
            </w:pPr>
          </w:p>
        </w:tc>
      </w:tr>
      <w:tr w:rsidR="00B36062" w:rsidRPr="0086165A" w14:paraId="52D7FD5A" w14:textId="77777777" w:rsidTr="004A694D">
        <w:trPr>
          <w:trHeight w:val="510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3D692A8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I.1.1</w:t>
            </w:r>
          </w:p>
        </w:tc>
        <w:tc>
          <w:tcPr>
            <w:tcW w:w="1974" w:type="dxa"/>
            <w:tcBorders>
              <w:top w:val="nil"/>
              <w:left w:val="nil"/>
              <w:bottom w:val="single" w:sz="8" w:space="0" w:color="auto"/>
              <w:right w:val="single" w:sz="8" w:space="0" w:color="auto"/>
            </w:tcBorders>
            <w:shd w:val="clear" w:color="auto" w:fill="auto"/>
            <w:vAlign w:val="center"/>
            <w:hideMark/>
          </w:tcPr>
          <w:p w14:paraId="0690453F"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Preparation of pre-feasibility, feasibility and technical projects for the battery storage system</w:t>
            </w:r>
          </w:p>
        </w:tc>
        <w:tc>
          <w:tcPr>
            <w:tcW w:w="698" w:type="dxa"/>
            <w:tcBorders>
              <w:top w:val="nil"/>
              <w:left w:val="nil"/>
              <w:bottom w:val="single" w:sz="8" w:space="0" w:color="auto"/>
              <w:right w:val="single" w:sz="8" w:space="0" w:color="auto"/>
            </w:tcBorders>
            <w:shd w:val="clear" w:color="auto" w:fill="auto"/>
            <w:vAlign w:val="center"/>
            <w:hideMark/>
          </w:tcPr>
          <w:p w14:paraId="67BD461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59" w:type="dxa"/>
            <w:tcBorders>
              <w:top w:val="nil"/>
              <w:left w:val="nil"/>
              <w:bottom w:val="single" w:sz="8" w:space="0" w:color="auto"/>
              <w:right w:val="single" w:sz="8" w:space="0" w:color="auto"/>
            </w:tcBorders>
            <w:shd w:val="clear" w:color="auto" w:fill="auto"/>
            <w:vAlign w:val="center"/>
            <w:hideMark/>
          </w:tcPr>
          <w:p w14:paraId="6336059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140" w:type="dxa"/>
            <w:tcBorders>
              <w:top w:val="nil"/>
              <w:left w:val="nil"/>
              <w:bottom w:val="single" w:sz="8" w:space="0" w:color="auto"/>
              <w:right w:val="single" w:sz="8" w:space="0" w:color="auto"/>
            </w:tcBorders>
            <w:shd w:val="clear" w:color="auto" w:fill="auto"/>
            <w:vAlign w:val="center"/>
            <w:hideMark/>
          </w:tcPr>
          <w:p w14:paraId="2A82598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1,180,837.00 </w:t>
            </w:r>
          </w:p>
        </w:tc>
        <w:tc>
          <w:tcPr>
            <w:tcW w:w="1220" w:type="dxa"/>
            <w:tcBorders>
              <w:top w:val="nil"/>
              <w:left w:val="nil"/>
              <w:bottom w:val="single" w:sz="8" w:space="0" w:color="auto"/>
              <w:right w:val="single" w:sz="8" w:space="0" w:color="auto"/>
            </w:tcBorders>
            <w:shd w:val="clear" w:color="auto" w:fill="auto"/>
            <w:vAlign w:val="center"/>
            <w:hideMark/>
          </w:tcPr>
          <w:p w14:paraId="65B0CBA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3,078,637.00 </w:t>
            </w:r>
          </w:p>
        </w:tc>
        <w:tc>
          <w:tcPr>
            <w:tcW w:w="1140" w:type="dxa"/>
            <w:tcBorders>
              <w:top w:val="nil"/>
              <w:left w:val="nil"/>
              <w:bottom w:val="single" w:sz="8" w:space="0" w:color="auto"/>
              <w:right w:val="single" w:sz="8" w:space="0" w:color="auto"/>
            </w:tcBorders>
            <w:shd w:val="clear" w:color="auto" w:fill="auto"/>
            <w:vAlign w:val="center"/>
            <w:hideMark/>
          </w:tcPr>
          <w:p w14:paraId="4A80E5E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242,079.00 </w:t>
            </w:r>
          </w:p>
        </w:tc>
        <w:tc>
          <w:tcPr>
            <w:tcW w:w="1099" w:type="dxa"/>
            <w:tcBorders>
              <w:top w:val="nil"/>
              <w:left w:val="nil"/>
              <w:bottom w:val="single" w:sz="8" w:space="0" w:color="auto"/>
              <w:right w:val="single" w:sz="8" w:space="0" w:color="auto"/>
            </w:tcBorders>
            <w:shd w:val="clear" w:color="auto" w:fill="auto"/>
            <w:vAlign w:val="center"/>
            <w:hideMark/>
          </w:tcPr>
          <w:p w14:paraId="4E00F03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Donors</w:t>
            </w:r>
          </w:p>
        </w:tc>
        <w:tc>
          <w:tcPr>
            <w:tcW w:w="1002" w:type="dxa"/>
            <w:tcBorders>
              <w:top w:val="nil"/>
              <w:left w:val="nil"/>
              <w:bottom w:val="single" w:sz="8" w:space="0" w:color="auto"/>
              <w:right w:val="single" w:sz="8" w:space="0" w:color="auto"/>
            </w:tcBorders>
            <w:shd w:val="clear" w:color="auto" w:fill="auto"/>
            <w:vAlign w:val="center"/>
            <w:hideMark/>
          </w:tcPr>
          <w:p w14:paraId="150D30C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MCC, ME, KOSTT</w:t>
            </w:r>
          </w:p>
        </w:tc>
        <w:tc>
          <w:tcPr>
            <w:tcW w:w="1287" w:type="dxa"/>
            <w:tcBorders>
              <w:top w:val="nil"/>
              <w:left w:val="nil"/>
              <w:bottom w:val="single" w:sz="8" w:space="0" w:color="auto"/>
              <w:right w:val="single" w:sz="8" w:space="0" w:color="auto"/>
            </w:tcBorders>
            <w:shd w:val="clear" w:color="auto" w:fill="auto"/>
            <w:vAlign w:val="center"/>
            <w:hideMark/>
          </w:tcPr>
          <w:p w14:paraId="3614E2E3"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Prepared technical documentation</w:t>
            </w:r>
          </w:p>
        </w:tc>
        <w:tc>
          <w:tcPr>
            <w:tcW w:w="949" w:type="dxa"/>
            <w:tcBorders>
              <w:top w:val="nil"/>
              <w:left w:val="nil"/>
              <w:bottom w:val="single" w:sz="8" w:space="0" w:color="auto"/>
              <w:right w:val="single" w:sz="8" w:space="0" w:color="auto"/>
            </w:tcBorders>
            <w:shd w:val="clear" w:color="auto" w:fill="auto"/>
            <w:vAlign w:val="center"/>
            <w:hideMark/>
          </w:tcPr>
          <w:p w14:paraId="5A50F8D4"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2250" w:type="dxa"/>
            <w:tcBorders>
              <w:top w:val="nil"/>
              <w:left w:val="nil"/>
              <w:bottom w:val="single" w:sz="8" w:space="0" w:color="auto"/>
              <w:right w:val="single" w:sz="8" w:space="0" w:color="auto"/>
            </w:tcBorders>
            <w:shd w:val="clear" w:color="000000" w:fill="FFFFFF"/>
            <w:vAlign w:val="center"/>
            <w:hideMark/>
          </w:tcPr>
          <w:p w14:paraId="6F66B91A" w14:textId="5960200A" w:rsidR="00571EAF" w:rsidRPr="0014539F" w:rsidRDefault="00CA0961" w:rsidP="00FC346A">
            <w:pPr>
              <w:spacing w:after="0" w:line="240" w:lineRule="auto"/>
              <w:jc w:val="both"/>
              <w:rPr>
                <w:rFonts w:ascii="Times New Roman" w:eastAsia="Times New Roman" w:hAnsi="Times New Roman" w:cs="Times New Roman"/>
                <w:sz w:val="18"/>
                <w:szCs w:val="18"/>
              </w:rPr>
            </w:pPr>
            <w:r>
              <w:rPr>
                <w:rFonts w:ascii="Times New Roman" w:hAnsi="Times New Roman"/>
                <w:sz w:val="18"/>
              </w:rPr>
              <w:t xml:space="preserve">The Design and Supervision Consultant for the Battery Energy Storage System (BESS) has been contracted and began work in November 2023. An initial basic design has been drafted for the substation and the battery energy storage system to enable its connection to the transmission network, as well as to prepare the bidding package for BESS construction. The Consultant has completed the geotechnical analyses of the location where the battery system will be built for the needs of KOSTT and </w:t>
            </w:r>
            <w:proofErr w:type="spellStart"/>
            <w:r>
              <w:rPr>
                <w:rFonts w:ascii="Times New Roman" w:hAnsi="Times New Roman"/>
                <w:sz w:val="18"/>
              </w:rPr>
              <w:t>ESCorp</w:t>
            </w:r>
            <w:proofErr w:type="spellEnd"/>
            <w:r>
              <w:rPr>
                <w:rFonts w:ascii="Times New Roman" w:hAnsi="Times New Roman"/>
                <w:sz w:val="18"/>
              </w:rPr>
              <w:t>. Additionally, a prequalification process has been launched for the construction of energy storage systems.</w:t>
            </w:r>
          </w:p>
        </w:tc>
      </w:tr>
      <w:tr w:rsidR="00B36062" w:rsidRPr="0086165A" w14:paraId="475ECA69" w14:textId="77777777" w:rsidTr="004A694D">
        <w:trPr>
          <w:trHeight w:val="579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431F368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I.1.2</w:t>
            </w:r>
          </w:p>
        </w:tc>
        <w:tc>
          <w:tcPr>
            <w:tcW w:w="1974" w:type="dxa"/>
            <w:tcBorders>
              <w:top w:val="nil"/>
              <w:left w:val="nil"/>
              <w:bottom w:val="single" w:sz="8" w:space="0" w:color="auto"/>
              <w:right w:val="single" w:sz="8" w:space="0" w:color="auto"/>
            </w:tcBorders>
            <w:shd w:val="clear" w:color="auto" w:fill="auto"/>
            <w:vAlign w:val="center"/>
            <w:hideMark/>
          </w:tcPr>
          <w:p w14:paraId="1F7C4BF6" w14:textId="27550FA3"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Technical and legal support for the integration of batteries  - MCC Project</w:t>
            </w:r>
          </w:p>
        </w:tc>
        <w:tc>
          <w:tcPr>
            <w:tcW w:w="698" w:type="dxa"/>
            <w:tcBorders>
              <w:top w:val="nil"/>
              <w:left w:val="nil"/>
              <w:bottom w:val="single" w:sz="8" w:space="0" w:color="auto"/>
              <w:right w:val="single" w:sz="8" w:space="0" w:color="auto"/>
            </w:tcBorders>
            <w:shd w:val="clear" w:color="auto" w:fill="auto"/>
            <w:vAlign w:val="center"/>
            <w:hideMark/>
          </w:tcPr>
          <w:p w14:paraId="7E7AF18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59" w:type="dxa"/>
            <w:tcBorders>
              <w:top w:val="nil"/>
              <w:left w:val="nil"/>
              <w:bottom w:val="single" w:sz="8" w:space="0" w:color="auto"/>
              <w:right w:val="single" w:sz="8" w:space="0" w:color="auto"/>
            </w:tcBorders>
            <w:shd w:val="clear" w:color="auto" w:fill="auto"/>
            <w:vAlign w:val="center"/>
            <w:hideMark/>
          </w:tcPr>
          <w:p w14:paraId="4D91E8F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140" w:type="dxa"/>
            <w:tcBorders>
              <w:top w:val="nil"/>
              <w:left w:val="nil"/>
              <w:bottom w:val="single" w:sz="8" w:space="0" w:color="auto"/>
              <w:right w:val="single" w:sz="8" w:space="0" w:color="auto"/>
            </w:tcBorders>
            <w:shd w:val="clear" w:color="auto" w:fill="auto"/>
            <w:vAlign w:val="center"/>
            <w:hideMark/>
          </w:tcPr>
          <w:p w14:paraId="71A2584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1,916,000.00 </w:t>
            </w:r>
          </w:p>
        </w:tc>
        <w:tc>
          <w:tcPr>
            <w:tcW w:w="1220" w:type="dxa"/>
            <w:tcBorders>
              <w:top w:val="nil"/>
              <w:left w:val="nil"/>
              <w:bottom w:val="single" w:sz="8" w:space="0" w:color="auto"/>
              <w:right w:val="single" w:sz="8" w:space="0" w:color="auto"/>
            </w:tcBorders>
            <w:shd w:val="clear" w:color="auto" w:fill="auto"/>
            <w:vAlign w:val="center"/>
            <w:hideMark/>
          </w:tcPr>
          <w:p w14:paraId="7C21060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2,034,667.00 </w:t>
            </w:r>
          </w:p>
        </w:tc>
        <w:tc>
          <w:tcPr>
            <w:tcW w:w="1140" w:type="dxa"/>
            <w:tcBorders>
              <w:top w:val="nil"/>
              <w:left w:val="nil"/>
              <w:bottom w:val="single" w:sz="8" w:space="0" w:color="auto"/>
              <w:right w:val="single" w:sz="8" w:space="0" w:color="auto"/>
            </w:tcBorders>
            <w:shd w:val="clear" w:color="auto" w:fill="auto"/>
            <w:vAlign w:val="center"/>
            <w:hideMark/>
          </w:tcPr>
          <w:p w14:paraId="19F27A3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2,045,667.00 </w:t>
            </w:r>
          </w:p>
        </w:tc>
        <w:tc>
          <w:tcPr>
            <w:tcW w:w="1099" w:type="dxa"/>
            <w:tcBorders>
              <w:top w:val="nil"/>
              <w:left w:val="nil"/>
              <w:bottom w:val="single" w:sz="8" w:space="0" w:color="auto"/>
              <w:right w:val="single" w:sz="8" w:space="0" w:color="auto"/>
            </w:tcBorders>
            <w:shd w:val="clear" w:color="auto" w:fill="auto"/>
            <w:vAlign w:val="center"/>
            <w:hideMark/>
          </w:tcPr>
          <w:p w14:paraId="06485BB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Donors</w:t>
            </w:r>
          </w:p>
        </w:tc>
        <w:tc>
          <w:tcPr>
            <w:tcW w:w="1002" w:type="dxa"/>
            <w:tcBorders>
              <w:top w:val="nil"/>
              <w:left w:val="nil"/>
              <w:bottom w:val="single" w:sz="8" w:space="0" w:color="auto"/>
              <w:right w:val="single" w:sz="8" w:space="0" w:color="auto"/>
            </w:tcBorders>
            <w:shd w:val="clear" w:color="auto" w:fill="auto"/>
            <w:vAlign w:val="center"/>
            <w:hideMark/>
          </w:tcPr>
          <w:p w14:paraId="20F24D8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MCC, ME, KOSTT</w:t>
            </w:r>
          </w:p>
        </w:tc>
        <w:tc>
          <w:tcPr>
            <w:tcW w:w="1287" w:type="dxa"/>
            <w:tcBorders>
              <w:top w:val="nil"/>
              <w:left w:val="nil"/>
              <w:bottom w:val="single" w:sz="8" w:space="0" w:color="auto"/>
              <w:right w:val="single" w:sz="8" w:space="0" w:color="auto"/>
            </w:tcBorders>
            <w:shd w:val="clear" w:color="auto" w:fill="auto"/>
            <w:vAlign w:val="center"/>
            <w:hideMark/>
          </w:tcPr>
          <w:p w14:paraId="0A93E3D2"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Prepared technical documentation</w:t>
            </w:r>
          </w:p>
        </w:tc>
        <w:tc>
          <w:tcPr>
            <w:tcW w:w="949" w:type="dxa"/>
            <w:tcBorders>
              <w:top w:val="nil"/>
              <w:left w:val="nil"/>
              <w:bottom w:val="single" w:sz="8" w:space="0" w:color="auto"/>
              <w:right w:val="single" w:sz="8" w:space="0" w:color="auto"/>
            </w:tcBorders>
            <w:shd w:val="clear" w:color="auto" w:fill="auto"/>
            <w:vAlign w:val="center"/>
            <w:hideMark/>
          </w:tcPr>
          <w:p w14:paraId="6697AB3B" w14:textId="77777777" w:rsidR="00571EAF" w:rsidRPr="00D94C33"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2250" w:type="dxa"/>
            <w:tcBorders>
              <w:top w:val="nil"/>
              <w:left w:val="nil"/>
              <w:bottom w:val="single" w:sz="8" w:space="0" w:color="auto"/>
              <w:right w:val="single" w:sz="8" w:space="0" w:color="auto"/>
            </w:tcBorders>
            <w:shd w:val="clear" w:color="000000" w:fill="FFFFFF"/>
            <w:vAlign w:val="bottom"/>
            <w:hideMark/>
          </w:tcPr>
          <w:p w14:paraId="08607934" w14:textId="2CB41EFD" w:rsidR="00610992" w:rsidRPr="0014539F" w:rsidRDefault="00CA0961" w:rsidP="0042495A">
            <w:pPr>
              <w:spacing w:after="0" w:line="240" w:lineRule="auto"/>
              <w:rPr>
                <w:rFonts w:ascii="Times New Roman" w:eastAsia="Times New Roman" w:hAnsi="Times New Roman" w:cs="Times New Roman"/>
                <w:sz w:val="18"/>
                <w:szCs w:val="18"/>
              </w:rPr>
            </w:pPr>
            <w:r>
              <w:rPr>
                <w:rFonts w:ascii="Times New Roman" w:hAnsi="Times New Roman"/>
                <w:sz w:val="18"/>
              </w:rPr>
              <w:t>Support Consultants for the Battery Energy Storage System (BESS) were contracted in May 2023. They have been engaged in drafting and completing the legal framework to enable battery connection to the network, as well as analyzing ownership options for batteries for KOSTT. These two (2) consultants have provided general support in preparing the documentation for the establishment of the new publicly-owned enterprise, Energy Storage Corporation JSC (</w:t>
            </w:r>
            <w:proofErr w:type="spellStart"/>
            <w:r>
              <w:rPr>
                <w:rFonts w:ascii="Times New Roman" w:hAnsi="Times New Roman"/>
                <w:sz w:val="18"/>
              </w:rPr>
              <w:t>Korporata</w:t>
            </w:r>
            <w:proofErr w:type="spellEnd"/>
            <w:r>
              <w:rPr>
                <w:rFonts w:ascii="Times New Roman" w:hAnsi="Times New Roman"/>
                <w:sz w:val="18"/>
              </w:rPr>
              <w:t xml:space="preserve"> e </w:t>
            </w:r>
            <w:proofErr w:type="spellStart"/>
            <w:r>
              <w:rPr>
                <w:rFonts w:ascii="Times New Roman" w:hAnsi="Times New Roman"/>
                <w:sz w:val="18"/>
              </w:rPr>
              <w:t>Ruajtjes</w:t>
            </w:r>
            <w:proofErr w:type="spellEnd"/>
            <w:r>
              <w:rPr>
                <w:rFonts w:ascii="Times New Roman" w:hAnsi="Times New Roman"/>
                <w:sz w:val="18"/>
              </w:rPr>
              <w:t xml:space="preserve"> </w:t>
            </w:r>
            <w:proofErr w:type="spellStart"/>
            <w:r>
              <w:rPr>
                <w:rFonts w:ascii="Times New Roman" w:hAnsi="Times New Roman"/>
                <w:sz w:val="18"/>
              </w:rPr>
              <w:t>së</w:t>
            </w:r>
            <w:proofErr w:type="spellEnd"/>
            <w:r>
              <w:rPr>
                <w:rFonts w:ascii="Times New Roman" w:hAnsi="Times New Roman"/>
                <w:sz w:val="18"/>
              </w:rPr>
              <w:t xml:space="preserve"> </w:t>
            </w:r>
            <w:proofErr w:type="spellStart"/>
            <w:r>
              <w:rPr>
                <w:rFonts w:ascii="Times New Roman" w:hAnsi="Times New Roman"/>
                <w:sz w:val="18"/>
              </w:rPr>
              <w:t>Energjisë</w:t>
            </w:r>
            <w:proofErr w:type="spellEnd"/>
            <w:r>
              <w:rPr>
                <w:rFonts w:ascii="Times New Roman" w:hAnsi="Times New Roman"/>
                <w:sz w:val="18"/>
              </w:rPr>
              <w:t xml:space="preserve"> </w:t>
            </w:r>
            <w:proofErr w:type="spellStart"/>
            <w:r>
              <w:rPr>
                <w:rFonts w:ascii="Times New Roman" w:hAnsi="Times New Roman"/>
                <w:sz w:val="18"/>
              </w:rPr>
              <w:t>ShA</w:t>
            </w:r>
            <w:proofErr w:type="spellEnd"/>
            <w:r>
              <w:rPr>
                <w:rFonts w:ascii="Times New Roman" w:hAnsi="Times New Roman"/>
                <w:sz w:val="18"/>
              </w:rPr>
              <w:t>), by decision of the Government of the Republic of Kosovo (GRK), as well as support for fulfilling the preconditions, including legal support for securing immovable properties for the construction of projects. This support continued throughout 2024. As for the operationalization of the new publicly-owned enterprise, after its establishment by decision of the Government of the Republic of Kosovo</w:t>
            </w:r>
          </w:p>
          <w:p w14:paraId="6390DC42" w14:textId="0F1452A3" w:rsidR="00571EAF" w:rsidRPr="0086165A" w:rsidRDefault="00610992" w:rsidP="0042495A">
            <w:pPr>
              <w:spacing w:after="0" w:line="240" w:lineRule="auto"/>
              <w:rPr>
                <w:rFonts w:ascii="Times New Roman" w:eastAsia="Times New Roman" w:hAnsi="Times New Roman" w:cs="Times New Roman"/>
                <w:sz w:val="18"/>
                <w:szCs w:val="18"/>
              </w:rPr>
            </w:pPr>
            <w:r>
              <w:rPr>
                <w:rFonts w:ascii="Times New Roman" w:hAnsi="Times New Roman"/>
                <w:sz w:val="18"/>
              </w:rPr>
              <w:t xml:space="preserve"> (GRK) on 13 March 2024, consultancies were launched for the recruitment of the enterprise staff and for technical assistance, which will support the enterprise in drafting the Business Plan (BP), technical regulations for battery operation, and corporate and financial governance </w:t>
            </w:r>
            <w:r>
              <w:rPr>
                <w:rFonts w:ascii="Times New Roman" w:hAnsi="Times New Roman"/>
                <w:sz w:val="18"/>
              </w:rPr>
              <w:lastRenderedPageBreak/>
              <w:t>policies, etc. Additionally, a vacancy was announced for the Board Directors (DB) of the Energy Storage Corporation.</w:t>
            </w:r>
          </w:p>
        </w:tc>
      </w:tr>
      <w:tr w:rsidR="00B36062" w:rsidRPr="0086165A" w14:paraId="59345EA6" w14:textId="77777777" w:rsidTr="004A694D">
        <w:trPr>
          <w:trHeight w:val="975"/>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1A87F05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I.1.3</w:t>
            </w:r>
          </w:p>
        </w:tc>
        <w:tc>
          <w:tcPr>
            <w:tcW w:w="1974" w:type="dxa"/>
            <w:tcBorders>
              <w:top w:val="nil"/>
              <w:left w:val="nil"/>
              <w:bottom w:val="single" w:sz="8" w:space="0" w:color="auto"/>
              <w:right w:val="single" w:sz="8" w:space="0" w:color="auto"/>
            </w:tcBorders>
            <w:shd w:val="clear" w:color="000000" w:fill="FFFFFF"/>
            <w:vAlign w:val="center"/>
            <w:hideMark/>
          </w:tcPr>
          <w:p w14:paraId="6C1C1D68" w14:textId="5C8C0B5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Gas Development Master Plan and Environmental Impact Assessment (EIA)</w:t>
            </w:r>
          </w:p>
        </w:tc>
        <w:tc>
          <w:tcPr>
            <w:tcW w:w="698" w:type="dxa"/>
            <w:tcBorders>
              <w:top w:val="nil"/>
              <w:left w:val="nil"/>
              <w:bottom w:val="single" w:sz="8" w:space="0" w:color="auto"/>
              <w:right w:val="single" w:sz="8" w:space="0" w:color="auto"/>
            </w:tcBorders>
            <w:shd w:val="clear" w:color="000000" w:fill="FFFFFF"/>
            <w:vAlign w:val="center"/>
            <w:hideMark/>
          </w:tcPr>
          <w:p w14:paraId="0DA11CE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1059" w:type="dxa"/>
            <w:tcBorders>
              <w:top w:val="nil"/>
              <w:left w:val="nil"/>
              <w:bottom w:val="single" w:sz="8" w:space="0" w:color="auto"/>
              <w:right w:val="single" w:sz="8" w:space="0" w:color="auto"/>
            </w:tcBorders>
            <w:shd w:val="clear" w:color="000000" w:fill="FFFFFF"/>
            <w:vAlign w:val="center"/>
            <w:hideMark/>
          </w:tcPr>
          <w:p w14:paraId="78DDFEE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750,000.00 </w:t>
            </w:r>
          </w:p>
        </w:tc>
        <w:tc>
          <w:tcPr>
            <w:tcW w:w="1140" w:type="dxa"/>
            <w:tcBorders>
              <w:top w:val="nil"/>
              <w:left w:val="nil"/>
              <w:bottom w:val="single" w:sz="8" w:space="0" w:color="auto"/>
              <w:right w:val="single" w:sz="8" w:space="0" w:color="auto"/>
            </w:tcBorders>
            <w:shd w:val="clear" w:color="000000" w:fill="FFFFFF"/>
            <w:vAlign w:val="center"/>
            <w:hideMark/>
          </w:tcPr>
          <w:p w14:paraId="778937A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750,000.00 </w:t>
            </w:r>
          </w:p>
        </w:tc>
        <w:tc>
          <w:tcPr>
            <w:tcW w:w="1220" w:type="dxa"/>
            <w:tcBorders>
              <w:top w:val="nil"/>
              <w:left w:val="nil"/>
              <w:bottom w:val="single" w:sz="8" w:space="0" w:color="auto"/>
              <w:right w:val="single" w:sz="8" w:space="0" w:color="auto"/>
            </w:tcBorders>
            <w:shd w:val="clear" w:color="000000" w:fill="FFFFFF"/>
            <w:vAlign w:val="center"/>
            <w:hideMark/>
          </w:tcPr>
          <w:p w14:paraId="66295AE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1140" w:type="dxa"/>
            <w:tcBorders>
              <w:top w:val="nil"/>
              <w:left w:val="nil"/>
              <w:bottom w:val="single" w:sz="8" w:space="0" w:color="auto"/>
              <w:right w:val="single" w:sz="8" w:space="0" w:color="auto"/>
            </w:tcBorders>
            <w:shd w:val="clear" w:color="000000" w:fill="FFFFFF"/>
            <w:vAlign w:val="center"/>
            <w:hideMark/>
          </w:tcPr>
          <w:p w14:paraId="5B90801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099" w:type="dxa"/>
            <w:tcBorders>
              <w:top w:val="nil"/>
              <w:left w:val="nil"/>
              <w:bottom w:val="single" w:sz="8" w:space="0" w:color="auto"/>
              <w:right w:val="single" w:sz="8" w:space="0" w:color="auto"/>
            </w:tcBorders>
            <w:shd w:val="clear" w:color="000000" w:fill="FFFFFF"/>
            <w:vAlign w:val="center"/>
            <w:hideMark/>
          </w:tcPr>
          <w:p w14:paraId="518FEDF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WBIF / IPF9</w:t>
            </w:r>
          </w:p>
        </w:tc>
        <w:tc>
          <w:tcPr>
            <w:tcW w:w="1002" w:type="dxa"/>
            <w:tcBorders>
              <w:top w:val="nil"/>
              <w:left w:val="nil"/>
              <w:bottom w:val="single" w:sz="8" w:space="0" w:color="auto"/>
              <w:right w:val="single" w:sz="8" w:space="0" w:color="auto"/>
            </w:tcBorders>
            <w:shd w:val="clear" w:color="000000" w:fill="FFFFFF"/>
            <w:vAlign w:val="center"/>
            <w:hideMark/>
          </w:tcPr>
          <w:p w14:paraId="19A817B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MESPI, MIET</w:t>
            </w:r>
          </w:p>
        </w:tc>
        <w:tc>
          <w:tcPr>
            <w:tcW w:w="1287" w:type="dxa"/>
            <w:tcBorders>
              <w:top w:val="nil"/>
              <w:left w:val="nil"/>
              <w:bottom w:val="single" w:sz="8" w:space="0" w:color="auto"/>
              <w:right w:val="single" w:sz="8" w:space="0" w:color="auto"/>
            </w:tcBorders>
            <w:shd w:val="clear" w:color="000000" w:fill="FFFFFF"/>
            <w:vAlign w:val="center"/>
            <w:hideMark/>
          </w:tcPr>
          <w:p w14:paraId="60A35153"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Gas Master Plan and Environmental Impact Assessment Finalized</w:t>
            </w:r>
          </w:p>
        </w:tc>
        <w:tc>
          <w:tcPr>
            <w:tcW w:w="949" w:type="dxa"/>
            <w:tcBorders>
              <w:top w:val="nil"/>
              <w:left w:val="nil"/>
              <w:bottom w:val="single" w:sz="8" w:space="0" w:color="auto"/>
              <w:right w:val="single" w:sz="8" w:space="0" w:color="auto"/>
            </w:tcBorders>
            <w:shd w:val="clear" w:color="000000" w:fill="FFFFFF"/>
            <w:vAlign w:val="center"/>
            <w:hideMark/>
          </w:tcPr>
          <w:p w14:paraId="7473C8AC" w14:textId="77777777" w:rsidR="00571EAF" w:rsidRPr="00D94C33"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2250" w:type="dxa"/>
            <w:tcBorders>
              <w:top w:val="nil"/>
              <w:left w:val="nil"/>
              <w:bottom w:val="single" w:sz="8" w:space="0" w:color="auto"/>
              <w:right w:val="single" w:sz="8" w:space="0" w:color="auto"/>
            </w:tcBorders>
            <w:shd w:val="clear" w:color="000000" w:fill="FFFFFF"/>
            <w:vAlign w:val="bottom"/>
            <w:hideMark/>
          </w:tcPr>
          <w:p w14:paraId="18E6616D" w14:textId="0396EF4D" w:rsidR="00571EAF" w:rsidRPr="0014539F" w:rsidRDefault="00CA0961" w:rsidP="00571EAF">
            <w:pPr>
              <w:spacing w:after="0" w:line="240" w:lineRule="auto"/>
              <w:rPr>
                <w:rFonts w:ascii="Times New Roman" w:eastAsia="Times New Roman" w:hAnsi="Times New Roman" w:cs="Times New Roman"/>
                <w:sz w:val="18"/>
                <w:szCs w:val="18"/>
              </w:rPr>
            </w:pPr>
            <w:r>
              <w:rPr>
                <w:rFonts w:ascii="Times New Roman" w:hAnsi="Times New Roman"/>
                <w:sz w:val="18"/>
              </w:rPr>
              <w:t>This study has been finalized in 2023 and was reported as such.</w:t>
            </w:r>
          </w:p>
        </w:tc>
      </w:tr>
      <w:tr w:rsidR="00B36062" w:rsidRPr="0086165A" w14:paraId="5071BE1B" w14:textId="77777777" w:rsidTr="004A694D">
        <w:trPr>
          <w:trHeight w:val="975"/>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491FEE2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I.1.4</w:t>
            </w:r>
          </w:p>
        </w:tc>
        <w:tc>
          <w:tcPr>
            <w:tcW w:w="1974" w:type="dxa"/>
            <w:tcBorders>
              <w:top w:val="nil"/>
              <w:left w:val="nil"/>
              <w:bottom w:val="single" w:sz="8" w:space="0" w:color="auto"/>
              <w:right w:val="single" w:sz="8" w:space="0" w:color="auto"/>
            </w:tcBorders>
            <w:shd w:val="clear" w:color="000000" w:fill="FFFFFF"/>
            <w:vAlign w:val="center"/>
            <w:hideMark/>
          </w:tcPr>
          <w:p w14:paraId="690044ED"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Feasibility study for the North Macedonia-Kosovo Gas Interconnection Pipeline.</w:t>
            </w:r>
          </w:p>
        </w:tc>
        <w:tc>
          <w:tcPr>
            <w:tcW w:w="698" w:type="dxa"/>
            <w:tcBorders>
              <w:top w:val="nil"/>
              <w:left w:val="nil"/>
              <w:bottom w:val="single" w:sz="8" w:space="0" w:color="auto"/>
              <w:right w:val="single" w:sz="8" w:space="0" w:color="auto"/>
            </w:tcBorders>
            <w:shd w:val="clear" w:color="000000" w:fill="FFFFFF"/>
            <w:vAlign w:val="center"/>
            <w:hideMark/>
          </w:tcPr>
          <w:p w14:paraId="4A61347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1059" w:type="dxa"/>
            <w:tcBorders>
              <w:top w:val="nil"/>
              <w:left w:val="nil"/>
              <w:bottom w:val="single" w:sz="8" w:space="0" w:color="auto"/>
              <w:right w:val="single" w:sz="8" w:space="0" w:color="auto"/>
            </w:tcBorders>
            <w:shd w:val="clear" w:color="000000" w:fill="FFFFFF"/>
            <w:vAlign w:val="center"/>
            <w:hideMark/>
          </w:tcPr>
          <w:p w14:paraId="0E271A3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325,000.00 </w:t>
            </w:r>
          </w:p>
        </w:tc>
        <w:tc>
          <w:tcPr>
            <w:tcW w:w="1140" w:type="dxa"/>
            <w:tcBorders>
              <w:top w:val="nil"/>
              <w:left w:val="nil"/>
              <w:bottom w:val="single" w:sz="8" w:space="0" w:color="auto"/>
              <w:right w:val="single" w:sz="8" w:space="0" w:color="auto"/>
            </w:tcBorders>
            <w:shd w:val="clear" w:color="000000" w:fill="FFFFFF"/>
            <w:vAlign w:val="center"/>
            <w:hideMark/>
          </w:tcPr>
          <w:p w14:paraId="0D2681E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325,000.00 </w:t>
            </w:r>
          </w:p>
        </w:tc>
        <w:tc>
          <w:tcPr>
            <w:tcW w:w="1220" w:type="dxa"/>
            <w:tcBorders>
              <w:top w:val="nil"/>
              <w:left w:val="nil"/>
              <w:bottom w:val="single" w:sz="8" w:space="0" w:color="auto"/>
              <w:right w:val="single" w:sz="8" w:space="0" w:color="auto"/>
            </w:tcBorders>
            <w:shd w:val="clear" w:color="000000" w:fill="FFFFFF"/>
            <w:vAlign w:val="center"/>
            <w:hideMark/>
          </w:tcPr>
          <w:p w14:paraId="195282C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1140" w:type="dxa"/>
            <w:tcBorders>
              <w:top w:val="nil"/>
              <w:left w:val="nil"/>
              <w:bottom w:val="single" w:sz="8" w:space="0" w:color="auto"/>
              <w:right w:val="single" w:sz="8" w:space="0" w:color="auto"/>
            </w:tcBorders>
            <w:shd w:val="clear" w:color="000000" w:fill="FFFFFF"/>
            <w:vAlign w:val="center"/>
            <w:hideMark/>
          </w:tcPr>
          <w:p w14:paraId="0D6F58B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099" w:type="dxa"/>
            <w:tcBorders>
              <w:top w:val="nil"/>
              <w:left w:val="nil"/>
              <w:bottom w:val="single" w:sz="8" w:space="0" w:color="auto"/>
              <w:right w:val="single" w:sz="8" w:space="0" w:color="auto"/>
            </w:tcBorders>
            <w:shd w:val="clear" w:color="000000" w:fill="FFFFFF"/>
            <w:vAlign w:val="center"/>
            <w:hideMark/>
          </w:tcPr>
          <w:p w14:paraId="03AC4C1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WBIF/IPF9</w:t>
            </w:r>
          </w:p>
        </w:tc>
        <w:tc>
          <w:tcPr>
            <w:tcW w:w="1002" w:type="dxa"/>
            <w:tcBorders>
              <w:top w:val="nil"/>
              <w:left w:val="nil"/>
              <w:bottom w:val="single" w:sz="8" w:space="0" w:color="auto"/>
              <w:right w:val="single" w:sz="8" w:space="0" w:color="auto"/>
            </w:tcBorders>
            <w:shd w:val="clear" w:color="000000" w:fill="FFFFFF"/>
            <w:vAlign w:val="center"/>
            <w:hideMark/>
          </w:tcPr>
          <w:p w14:paraId="03EECFE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MESPI, MIET</w:t>
            </w:r>
          </w:p>
        </w:tc>
        <w:tc>
          <w:tcPr>
            <w:tcW w:w="1287" w:type="dxa"/>
            <w:tcBorders>
              <w:top w:val="nil"/>
              <w:left w:val="nil"/>
              <w:bottom w:val="single" w:sz="8" w:space="0" w:color="auto"/>
              <w:right w:val="single" w:sz="8" w:space="0" w:color="auto"/>
            </w:tcBorders>
            <w:shd w:val="clear" w:color="000000" w:fill="FFFFFF"/>
            <w:vAlign w:val="center"/>
            <w:hideMark/>
          </w:tcPr>
          <w:p w14:paraId="7BAA1BA4"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Feasibility study finalized</w:t>
            </w:r>
          </w:p>
        </w:tc>
        <w:tc>
          <w:tcPr>
            <w:tcW w:w="949" w:type="dxa"/>
            <w:tcBorders>
              <w:top w:val="nil"/>
              <w:left w:val="nil"/>
              <w:bottom w:val="single" w:sz="8" w:space="0" w:color="auto"/>
              <w:right w:val="single" w:sz="8" w:space="0" w:color="auto"/>
            </w:tcBorders>
            <w:shd w:val="clear" w:color="000000" w:fill="FFFFFF"/>
            <w:vAlign w:val="center"/>
            <w:hideMark/>
          </w:tcPr>
          <w:p w14:paraId="47F35D29"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2250" w:type="dxa"/>
            <w:tcBorders>
              <w:top w:val="nil"/>
              <w:left w:val="nil"/>
              <w:bottom w:val="single" w:sz="8" w:space="0" w:color="auto"/>
              <w:right w:val="single" w:sz="8" w:space="0" w:color="auto"/>
            </w:tcBorders>
            <w:shd w:val="clear" w:color="000000" w:fill="FFFFFF"/>
            <w:vAlign w:val="bottom"/>
            <w:hideMark/>
          </w:tcPr>
          <w:p w14:paraId="5E49CE07" w14:textId="39C624A2" w:rsidR="00571EAF" w:rsidRPr="0014539F"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This study has been finalized in 2023 and was reported as such.</w:t>
            </w:r>
          </w:p>
        </w:tc>
      </w:tr>
      <w:tr w:rsidR="00B36062" w:rsidRPr="0086165A" w14:paraId="741D3D70" w14:textId="77777777" w:rsidTr="004A694D">
        <w:trPr>
          <w:trHeight w:val="735"/>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3696EA4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I.1.5</w:t>
            </w:r>
          </w:p>
        </w:tc>
        <w:tc>
          <w:tcPr>
            <w:tcW w:w="1974" w:type="dxa"/>
            <w:tcBorders>
              <w:top w:val="nil"/>
              <w:left w:val="nil"/>
              <w:bottom w:val="single" w:sz="8" w:space="0" w:color="auto"/>
              <w:right w:val="single" w:sz="8" w:space="0" w:color="auto"/>
            </w:tcBorders>
            <w:shd w:val="clear" w:color="000000" w:fill="FFFFFF"/>
            <w:vAlign w:val="center"/>
            <w:hideMark/>
          </w:tcPr>
          <w:p w14:paraId="56A7534E"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Study to identify the potential of geothermal energy in Kosovo</w:t>
            </w:r>
          </w:p>
        </w:tc>
        <w:tc>
          <w:tcPr>
            <w:tcW w:w="698" w:type="dxa"/>
            <w:tcBorders>
              <w:top w:val="nil"/>
              <w:left w:val="nil"/>
              <w:bottom w:val="single" w:sz="8" w:space="0" w:color="auto"/>
              <w:right w:val="single" w:sz="8" w:space="0" w:color="auto"/>
            </w:tcBorders>
            <w:shd w:val="clear" w:color="000000" w:fill="FFFFFF"/>
            <w:vAlign w:val="center"/>
            <w:hideMark/>
          </w:tcPr>
          <w:p w14:paraId="6C33AE2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59" w:type="dxa"/>
            <w:tcBorders>
              <w:top w:val="nil"/>
              <w:left w:val="nil"/>
              <w:bottom w:val="single" w:sz="8" w:space="0" w:color="auto"/>
              <w:right w:val="single" w:sz="8" w:space="0" w:color="auto"/>
            </w:tcBorders>
            <w:shd w:val="clear" w:color="000000" w:fill="FFFFFF"/>
            <w:vAlign w:val="center"/>
            <w:hideMark/>
          </w:tcPr>
          <w:p w14:paraId="15ADE23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1140" w:type="dxa"/>
            <w:tcBorders>
              <w:top w:val="nil"/>
              <w:left w:val="nil"/>
              <w:bottom w:val="single" w:sz="8" w:space="0" w:color="auto"/>
              <w:right w:val="single" w:sz="8" w:space="0" w:color="auto"/>
            </w:tcBorders>
            <w:shd w:val="clear" w:color="000000" w:fill="FFFFFF"/>
            <w:vAlign w:val="center"/>
            <w:hideMark/>
          </w:tcPr>
          <w:p w14:paraId="4ACB56B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1220" w:type="dxa"/>
            <w:tcBorders>
              <w:top w:val="nil"/>
              <w:left w:val="nil"/>
              <w:bottom w:val="single" w:sz="8" w:space="0" w:color="auto"/>
              <w:right w:val="single" w:sz="8" w:space="0" w:color="auto"/>
            </w:tcBorders>
            <w:shd w:val="clear" w:color="000000" w:fill="FFFFFF"/>
            <w:vAlign w:val="center"/>
            <w:hideMark/>
          </w:tcPr>
          <w:p w14:paraId="75CB111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1140" w:type="dxa"/>
            <w:tcBorders>
              <w:top w:val="nil"/>
              <w:left w:val="nil"/>
              <w:bottom w:val="single" w:sz="8" w:space="0" w:color="auto"/>
              <w:right w:val="single" w:sz="8" w:space="0" w:color="auto"/>
            </w:tcBorders>
            <w:shd w:val="clear" w:color="000000" w:fill="FFFFFF"/>
            <w:vAlign w:val="center"/>
            <w:hideMark/>
          </w:tcPr>
          <w:p w14:paraId="0A5C3C7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750,000.00 </w:t>
            </w:r>
          </w:p>
        </w:tc>
        <w:tc>
          <w:tcPr>
            <w:tcW w:w="1099" w:type="dxa"/>
            <w:tcBorders>
              <w:top w:val="nil"/>
              <w:left w:val="nil"/>
              <w:bottom w:val="single" w:sz="8" w:space="0" w:color="auto"/>
              <w:right w:val="single" w:sz="8" w:space="0" w:color="auto"/>
            </w:tcBorders>
            <w:shd w:val="clear" w:color="000000" w:fill="FFFFFF"/>
            <w:vAlign w:val="center"/>
            <w:hideMark/>
          </w:tcPr>
          <w:p w14:paraId="0F8833E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1002" w:type="dxa"/>
            <w:tcBorders>
              <w:top w:val="nil"/>
              <w:left w:val="nil"/>
              <w:bottom w:val="single" w:sz="8" w:space="0" w:color="auto"/>
              <w:right w:val="single" w:sz="8" w:space="0" w:color="auto"/>
            </w:tcBorders>
            <w:shd w:val="clear" w:color="000000" w:fill="FFFFFF"/>
            <w:vAlign w:val="center"/>
            <w:hideMark/>
          </w:tcPr>
          <w:p w14:paraId="773B6E1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1287" w:type="dxa"/>
            <w:tcBorders>
              <w:top w:val="nil"/>
              <w:left w:val="nil"/>
              <w:bottom w:val="single" w:sz="8" w:space="0" w:color="auto"/>
              <w:right w:val="single" w:sz="8" w:space="0" w:color="auto"/>
            </w:tcBorders>
            <w:shd w:val="clear" w:color="000000" w:fill="FFFFFF"/>
            <w:vAlign w:val="center"/>
            <w:hideMark/>
          </w:tcPr>
          <w:p w14:paraId="748B6CAF" w14:textId="77777777" w:rsidR="00C849A7" w:rsidRDefault="00C849A7" w:rsidP="00571EAF">
            <w:pPr>
              <w:spacing w:after="0" w:line="240" w:lineRule="auto"/>
              <w:jc w:val="center"/>
              <w:rPr>
                <w:rFonts w:ascii="Times New Roman" w:hAnsi="Times New Roman"/>
                <w:sz w:val="18"/>
              </w:rPr>
            </w:pPr>
          </w:p>
          <w:p w14:paraId="122588A6" w14:textId="77777777" w:rsidR="00C849A7" w:rsidRDefault="00C849A7" w:rsidP="00571EAF">
            <w:pPr>
              <w:spacing w:after="0" w:line="240" w:lineRule="auto"/>
              <w:jc w:val="center"/>
              <w:rPr>
                <w:rFonts w:ascii="Times New Roman" w:hAnsi="Times New Roman"/>
                <w:sz w:val="18"/>
              </w:rPr>
            </w:pPr>
          </w:p>
          <w:p w14:paraId="139D7708" w14:textId="2C45F06E" w:rsidR="00571EAF" w:rsidRDefault="00571EAF" w:rsidP="00571EAF">
            <w:pPr>
              <w:spacing w:after="0" w:line="240" w:lineRule="auto"/>
              <w:jc w:val="center"/>
              <w:rPr>
                <w:rFonts w:ascii="Times New Roman" w:hAnsi="Times New Roman"/>
                <w:sz w:val="18"/>
              </w:rPr>
            </w:pPr>
            <w:r>
              <w:rPr>
                <w:rFonts w:ascii="Times New Roman" w:hAnsi="Times New Roman"/>
                <w:sz w:val="18"/>
              </w:rPr>
              <w:t>Feasibility study implemented.</w:t>
            </w:r>
          </w:p>
          <w:p w14:paraId="322B4B0C" w14:textId="77777777" w:rsidR="00C849A7" w:rsidRDefault="00C849A7" w:rsidP="00571EAF">
            <w:pPr>
              <w:spacing w:after="0" w:line="240" w:lineRule="auto"/>
              <w:jc w:val="center"/>
              <w:rPr>
                <w:rFonts w:ascii="Times New Roman" w:hAnsi="Times New Roman"/>
                <w:sz w:val="18"/>
              </w:rPr>
            </w:pPr>
          </w:p>
          <w:p w14:paraId="11DAD996" w14:textId="5972AEED" w:rsidR="00C849A7" w:rsidRDefault="00C849A7" w:rsidP="00C849A7">
            <w:pPr>
              <w:spacing w:after="0" w:line="240" w:lineRule="auto"/>
              <w:rPr>
                <w:rFonts w:ascii="Times New Roman" w:hAnsi="Times New Roman"/>
                <w:sz w:val="18"/>
              </w:rPr>
            </w:pPr>
          </w:p>
          <w:p w14:paraId="307998BF" w14:textId="77777777" w:rsidR="00C849A7" w:rsidRDefault="00C849A7" w:rsidP="00571EAF">
            <w:pPr>
              <w:spacing w:after="0" w:line="240" w:lineRule="auto"/>
              <w:jc w:val="center"/>
              <w:rPr>
                <w:rFonts w:ascii="Times New Roman" w:hAnsi="Times New Roman"/>
                <w:sz w:val="18"/>
              </w:rPr>
            </w:pPr>
          </w:p>
          <w:p w14:paraId="3DFA83E1" w14:textId="7BD4DEF0" w:rsidR="00C849A7" w:rsidRPr="0014539F" w:rsidRDefault="00C849A7" w:rsidP="00571EAF">
            <w:pPr>
              <w:spacing w:after="0" w:line="240" w:lineRule="auto"/>
              <w:jc w:val="center"/>
              <w:rPr>
                <w:rFonts w:ascii="Times New Roman" w:eastAsia="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000000" w:fill="FFFFFF"/>
            <w:vAlign w:val="center"/>
            <w:hideMark/>
          </w:tcPr>
          <w:p w14:paraId="4EA21266"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2250" w:type="dxa"/>
            <w:tcBorders>
              <w:top w:val="nil"/>
              <w:left w:val="nil"/>
              <w:bottom w:val="single" w:sz="8" w:space="0" w:color="auto"/>
              <w:right w:val="single" w:sz="8" w:space="0" w:color="auto"/>
            </w:tcBorders>
            <w:shd w:val="clear" w:color="000000" w:fill="FFFFFF"/>
            <w:noWrap/>
            <w:vAlign w:val="bottom"/>
            <w:hideMark/>
          </w:tcPr>
          <w:p w14:paraId="3AA8ADB8" w14:textId="77777777" w:rsidR="00571EAF" w:rsidRPr="0014539F" w:rsidRDefault="00571EAF" w:rsidP="00571EAF">
            <w:pPr>
              <w:spacing w:after="0" w:line="240" w:lineRule="auto"/>
              <w:rPr>
                <w:rFonts w:ascii="Times New Roman" w:eastAsia="Times New Roman" w:hAnsi="Times New Roman" w:cs="Times New Roman"/>
                <w:sz w:val="20"/>
                <w:szCs w:val="20"/>
              </w:rPr>
            </w:pPr>
            <w:r>
              <w:rPr>
                <w:rFonts w:ascii="Times New Roman" w:hAnsi="Times New Roman"/>
              </w:rPr>
              <w:t> </w:t>
            </w:r>
          </w:p>
        </w:tc>
      </w:tr>
      <w:tr w:rsidR="00571EAF" w:rsidRPr="0086165A" w14:paraId="4F8710FB" w14:textId="77777777" w:rsidTr="004A694D">
        <w:trPr>
          <w:trHeight w:val="315"/>
        </w:trPr>
        <w:tc>
          <w:tcPr>
            <w:tcW w:w="577" w:type="dxa"/>
            <w:tcBorders>
              <w:top w:val="nil"/>
              <w:left w:val="single" w:sz="8" w:space="0" w:color="auto"/>
              <w:bottom w:val="single" w:sz="8" w:space="0" w:color="auto"/>
              <w:right w:val="single" w:sz="8" w:space="0" w:color="auto"/>
            </w:tcBorders>
            <w:shd w:val="clear" w:color="000000" w:fill="D9D9D9"/>
            <w:vAlign w:val="center"/>
            <w:hideMark/>
          </w:tcPr>
          <w:p w14:paraId="20CAEA79"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lastRenderedPageBreak/>
              <w:t>I.2</w:t>
            </w:r>
          </w:p>
        </w:tc>
        <w:tc>
          <w:tcPr>
            <w:tcW w:w="11568" w:type="dxa"/>
            <w:gridSpan w:val="10"/>
            <w:tcBorders>
              <w:top w:val="single" w:sz="8" w:space="0" w:color="auto"/>
              <w:left w:val="nil"/>
              <w:bottom w:val="single" w:sz="8" w:space="0" w:color="auto"/>
              <w:right w:val="single" w:sz="8" w:space="0" w:color="000000"/>
            </w:tcBorders>
            <w:shd w:val="clear" w:color="000000" w:fill="D9D9D9"/>
            <w:vAlign w:val="center"/>
            <w:hideMark/>
          </w:tcPr>
          <w:p w14:paraId="2391F64E" w14:textId="77777777" w:rsidR="00571EAF" w:rsidRPr="0014539F"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Modernization of networks and network loss reduction</w:t>
            </w:r>
          </w:p>
        </w:tc>
        <w:tc>
          <w:tcPr>
            <w:tcW w:w="2250" w:type="dxa"/>
            <w:tcBorders>
              <w:top w:val="nil"/>
              <w:left w:val="nil"/>
              <w:bottom w:val="nil"/>
              <w:right w:val="single" w:sz="8" w:space="0" w:color="auto"/>
            </w:tcBorders>
            <w:shd w:val="clear" w:color="auto" w:fill="auto"/>
            <w:noWrap/>
            <w:vAlign w:val="bottom"/>
            <w:hideMark/>
          </w:tcPr>
          <w:p w14:paraId="31A2D9B7" w14:textId="77777777" w:rsidR="00571EAF" w:rsidRPr="0014539F" w:rsidRDefault="00571EAF" w:rsidP="00571EAF">
            <w:pPr>
              <w:spacing w:after="0" w:line="240" w:lineRule="auto"/>
              <w:rPr>
                <w:rFonts w:ascii="Times New Roman" w:eastAsia="Times New Roman" w:hAnsi="Times New Roman" w:cs="Times New Roman"/>
              </w:rPr>
            </w:pPr>
            <w:r>
              <w:rPr>
                <w:rFonts w:ascii="Times New Roman" w:hAnsi="Times New Roman"/>
              </w:rPr>
              <w:t> </w:t>
            </w:r>
          </w:p>
        </w:tc>
      </w:tr>
      <w:tr w:rsidR="00571EAF" w:rsidRPr="0086165A" w14:paraId="3C7E42E5" w14:textId="77777777" w:rsidTr="004A694D">
        <w:trPr>
          <w:trHeight w:val="735"/>
        </w:trPr>
        <w:tc>
          <w:tcPr>
            <w:tcW w:w="577" w:type="dxa"/>
            <w:tcBorders>
              <w:top w:val="nil"/>
              <w:left w:val="single" w:sz="8" w:space="0" w:color="auto"/>
              <w:bottom w:val="single" w:sz="8" w:space="0" w:color="auto"/>
              <w:right w:val="single" w:sz="8" w:space="0" w:color="auto"/>
            </w:tcBorders>
            <w:shd w:val="clear" w:color="000000" w:fill="D0CECE"/>
            <w:vAlign w:val="center"/>
            <w:hideMark/>
          </w:tcPr>
          <w:p w14:paraId="0BA33C50" w14:textId="77777777" w:rsidR="00571EAF" w:rsidRPr="0014539F"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w:t>
            </w:r>
          </w:p>
        </w:tc>
        <w:tc>
          <w:tcPr>
            <w:tcW w:w="1974" w:type="dxa"/>
            <w:tcBorders>
              <w:top w:val="nil"/>
              <w:left w:val="nil"/>
              <w:bottom w:val="single" w:sz="8" w:space="0" w:color="auto"/>
              <w:right w:val="single" w:sz="8" w:space="0" w:color="auto"/>
            </w:tcBorders>
            <w:shd w:val="clear" w:color="000000" w:fill="D0CECE"/>
            <w:vAlign w:val="center"/>
            <w:hideMark/>
          </w:tcPr>
          <w:p w14:paraId="104D755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2897" w:type="dxa"/>
            <w:gridSpan w:val="3"/>
            <w:tcBorders>
              <w:top w:val="single" w:sz="8" w:space="0" w:color="auto"/>
              <w:left w:val="nil"/>
              <w:bottom w:val="single" w:sz="8" w:space="0" w:color="auto"/>
              <w:right w:val="nil"/>
            </w:tcBorders>
            <w:shd w:val="clear" w:color="000000" w:fill="D9D9D9"/>
            <w:vAlign w:val="center"/>
            <w:hideMark/>
          </w:tcPr>
          <w:p w14:paraId="069B983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2360" w:type="dxa"/>
            <w:gridSpan w:val="2"/>
            <w:tcBorders>
              <w:top w:val="single" w:sz="8" w:space="0" w:color="auto"/>
              <w:left w:val="single" w:sz="8" w:space="0" w:color="auto"/>
              <w:bottom w:val="single" w:sz="8" w:space="0" w:color="auto"/>
              <w:right w:val="nil"/>
            </w:tcBorders>
            <w:shd w:val="clear" w:color="000000" w:fill="D9D9D9"/>
            <w:vAlign w:val="center"/>
            <w:hideMark/>
          </w:tcPr>
          <w:p w14:paraId="1A2B81B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1099" w:type="dxa"/>
            <w:tcBorders>
              <w:top w:val="nil"/>
              <w:left w:val="single" w:sz="8" w:space="0" w:color="auto"/>
              <w:bottom w:val="single" w:sz="8" w:space="0" w:color="auto"/>
              <w:right w:val="single" w:sz="8" w:space="0" w:color="auto"/>
            </w:tcBorders>
            <w:shd w:val="clear" w:color="000000" w:fill="D9D9D9"/>
            <w:vAlign w:val="center"/>
            <w:hideMark/>
          </w:tcPr>
          <w:p w14:paraId="121C66D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3238" w:type="dxa"/>
            <w:gridSpan w:val="3"/>
            <w:tcBorders>
              <w:top w:val="single" w:sz="8" w:space="0" w:color="auto"/>
              <w:left w:val="nil"/>
              <w:bottom w:val="single" w:sz="8" w:space="0" w:color="auto"/>
              <w:right w:val="single" w:sz="8" w:space="0" w:color="000000"/>
            </w:tcBorders>
            <w:shd w:val="clear" w:color="000000" w:fill="D9D9D9"/>
            <w:vAlign w:val="center"/>
            <w:hideMark/>
          </w:tcPr>
          <w:p w14:paraId="66A1BDF0" w14:textId="40A7277C"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2250" w:type="dxa"/>
            <w:tcBorders>
              <w:top w:val="nil"/>
              <w:left w:val="nil"/>
              <w:bottom w:val="nil"/>
              <w:right w:val="single" w:sz="8" w:space="0" w:color="auto"/>
            </w:tcBorders>
            <w:shd w:val="clear" w:color="auto" w:fill="auto"/>
            <w:noWrap/>
            <w:vAlign w:val="bottom"/>
            <w:hideMark/>
          </w:tcPr>
          <w:p w14:paraId="660081BE" w14:textId="77777777" w:rsidR="00571EAF" w:rsidRPr="0086165A" w:rsidRDefault="00571EAF" w:rsidP="00571EAF">
            <w:pPr>
              <w:spacing w:after="0" w:line="240" w:lineRule="auto"/>
              <w:rPr>
                <w:rFonts w:ascii="Times New Roman" w:eastAsia="Times New Roman" w:hAnsi="Times New Roman" w:cs="Times New Roman"/>
              </w:rPr>
            </w:pPr>
            <w:r>
              <w:rPr>
                <w:rFonts w:ascii="Times New Roman" w:hAnsi="Times New Roman"/>
              </w:rPr>
              <w:t> </w:t>
            </w:r>
          </w:p>
        </w:tc>
      </w:tr>
      <w:tr w:rsidR="00571EAF" w:rsidRPr="0086165A" w14:paraId="6E98D994" w14:textId="77777777" w:rsidTr="004A694D">
        <w:trPr>
          <w:trHeight w:val="315"/>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52D9221B"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w:t>
            </w:r>
          </w:p>
        </w:tc>
        <w:tc>
          <w:tcPr>
            <w:tcW w:w="1974" w:type="dxa"/>
            <w:tcBorders>
              <w:top w:val="nil"/>
              <w:left w:val="nil"/>
              <w:bottom w:val="single" w:sz="8" w:space="0" w:color="auto"/>
              <w:right w:val="single" w:sz="8" w:space="0" w:color="auto"/>
            </w:tcBorders>
            <w:shd w:val="clear" w:color="auto" w:fill="auto"/>
            <w:vAlign w:val="center"/>
            <w:hideMark/>
          </w:tcPr>
          <w:p w14:paraId="6EFE5A9F"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Distribution losses</w:t>
            </w:r>
          </w:p>
        </w:tc>
        <w:tc>
          <w:tcPr>
            <w:tcW w:w="2897" w:type="dxa"/>
            <w:gridSpan w:val="3"/>
            <w:tcBorders>
              <w:top w:val="single" w:sz="8" w:space="0" w:color="auto"/>
              <w:left w:val="nil"/>
              <w:bottom w:val="single" w:sz="8" w:space="0" w:color="auto"/>
              <w:right w:val="single" w:sz="8" w:space="0" w:color="000000"/>
            </w:tcBorders>
            <w:shd w:val="clear" w:color="auto" w:fill="auto"/>
            <w:vAlign w:val="center"/>
            <w:hideMark/>
          </w:tcPr>
          <w:p w14:paraId="2EE7666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18.48%  [2021]</w:t>
            </w:r>
          </w:p>
        </w:tc>
        <w:tc>
          <w:tcPr>
            <w:tcW w:w="2360" w:type="dxa"/>
            <w:gridSpan w:val="2"/>
            <w:tcBorders>
              <w:top w:val="single" w:sz="8" w:space="0" w:color="auto"/>
              <w:left w:val="nil"/>
              <w:bottom w:val="single" w:sz="8" w:space="0" w:color="auto"/>
              <w:right w:val="single" w:sz="8" w:space="0" w:color="000000"/>
            </w:tcBorders>
            <w:shd w:val="clear" w:color="auto" w:fill="auto"/>
            <w:hideMark/>
          </w:tcPr>
          <w:p w14:paraId="7E50FCF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t>13.3%</w:t>
            </w:r>
          </w:p>
        </w:tc>
        <w:tc>
          <w:tcPr>
            <w:tcW w:w="1099" w:type="dxa"/>
            <w:tcBorders>
              <w:top w:val="nil"/>
              <w:left w:val="nil"/>
              <w:bottom w:val="single" w:sz="8" w:space="0" w:color="auto"/>
              <w:right w:val="single" w:sz="8" w:space="0" w:color="auto"/>
            </w:tcBorders>
            <w:shd w:val="clear" w:color="auto" w:fill="auto"/>
            <w:vAlign w:val="center"/>
            <w:hideMark/>
          </w:tcPr>
          <w:p w14:paraId="0406B295" w14:textId="77777777" w:rsidR="00571EAF" w:rsidRPr="008B1E87"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9%</w:t>
            </w:r>
          </w:p>
        </w:tc>
        <w:tc>
          <w:tcPr>
            <w:tcW w:w="3238" w:type="dxa"/>
            <w:gridSpan w:val="3"/>
            <w:tcBorders>
              <w:top w:val="single" w:sz="8" w:space="0" w:color="auto"/>
              <w:left w:val="nil"/>
              <w:bottom w:val="single" w:sz="8" w:space="0" w:color="auto"/>
              <w:right w:val="single" w:sz="8" w:space="0" w:color="000000"/>
            </w:tcBorders>
            <w:shd w:val="clear" w:color="000000" w:fill="FFFFFF"/>
            <w:vAlign w:val="center"/>
            <w:hideMark/>
          </w:tcPr>
          <w:p w14:paraId="0FFDBFFE" w14:textId="2B53EBF4" w:rsidR="00571EAF" w:rsidRPr="008B1E87"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14.49% (2024)</w:t>
            </w:r>
          </w:p>
        </w:tc>
        <w:tc>
          <w:tcPr>
            <w:tcW w:w="2250" w:type="dxa"/>
            <w:tcBorders>
              <w:top w:val="nil"/>
              <w:left w:val="nil"/>
              <w:bottom w:val="nil"/>
              <w:right w:val="single" w:sz="8" w:space="0" w:color="auto"/>
            </w:tcBorders>
            <w:shd w:val="clear" w:color="auto" w:fill="auto"/>
            <w:noWrap/>
            <w:vAlign w:val="bottom"/>
            <w:hideMark/>
          </w:tcPr>
          <w:p w14:paraId="14BB4027" w14:textId="77777777" w:rsidR="00571EAF" w:rsidRPr="0086165A" w:rsidRDefault="00571EAF" w:rsidP="00571EAF">
            <w:pPr>
              <w:spacing w:after="0" w:line="240" w:lineRule="auto"/>
              <w:rPr>
                <w:rFonts w:ascii="Times New Roman" w:eastAsia="Times New Roman" w:hAnsi="Times New Roman" w:cs="Times New Roman"/>
              </w:rPr>
            </w:pPr>
            <w:r>
              <w:rPr>
                <w:rFonts w:ascii="Times New Roman" w:hAnsi="Times New Roman"/>
              </w:rPr>
              <w:t> </w:t>
            </w:r>
          </w:p>
        </w:tc>
      </w:tr>
      <w:tr w:rsidR="00571EAF" w:rsidRPr="0086165A" w14:paraId="197EB264" w14:textId="77777777" w:rsidTr="00897969">
        <w:trPr>
          <w:trHeight w:val="735"/>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78DFF28E"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w:t>
            </w:r>
          </w:p>
        </w:tc>
        <w:tc>
          <w:tcPr>
            <w:tcW w:w="1974" w:type="dxa"/>
            <w:tcBorders>
              <w:top w:val="nil"/>
              <w:left w:val="nil"/>
              <w:bottom w:val="single" w:sz="8" w:space="0" w:color="auto"/>
              <w:right w:val="single" w:sz="8" w:space="0" w:color="auto"/>
            </w:tcBorders>
            <w:shd w:val="clear" w:color="auto" w:fill="auto"/>
            <w:hideMark/>
          </w:tcPr>
          <w:p w14:paraId="42693217" w14:textId="14F443BC"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The amount of variable RES capacity that the network is able to process/integrate.</w:t>
            </w:r>
          </w:p>
        </w:tc>
        <w:tc>
          <w:tcPr>
            <w:tcW w:w="2897" w:type="dxa"/>
            <w:gridSpan w:val="3"/>
            <w:tcBorders>
              <w:top w:val="single" w:sz="8" w:space="0" w:color="auto"/>
              <w:left w:val="nil"/>
              <w:bottom w:val="single" w:sz="8" w:space="0" w:color="auto"/>
              <w:right w:val="single" w:sz="8" w:space="0" w:color="000000"/>
            </w:tcBorders>
            <w:shd w:val="clear" w:color="auto" w:fill="auto"/>
            <w:vAlign w:val="center"/>
            <w:hideMark/>
          </w:tcPr>
          <w:p w14:paraId="58B3639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147 MW [2021]</w:t>
            </w:r>
          </w:p>
        </w:tc>
        <w:tc>
          <w:tcPr>
            <w:tcW w:w="2360" w:type="dxa"/>
            <w:gridSpan w:val="2"/>
            <w:tcBorders>
              <w:top w:val="single" w:sz="8" w:space="0" w:color="auto"/>
              <w:left w:val="nil"/>
              <w:bottom w:val="single" w:sz="8" w:space="0" w:color="auto"/>
              <w:right w:val="single" w:sz="8" w:space="0" w:color="000000"/>
            </w:tcBorders>
            <w:shd w:val="clear" w:color="auto" w:fill="auto"/>
            <w:vAlign w:val="center"/>
            <w:hideMark/>
          </w:tcPr>
          <w:p w14:paraId="75014DE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500 MW</w:t>
            </w:r>
          </w:p>
        </w:tc>
        <w:tc>
          <w:tcPr>
            <w:tcW w:w="1099" w:type="dxa"/>
            <w:tcBorders>
              <w:top w:val="nil"/>
              <w:left w:val="nil"/>
              <w:bottom w:val="single" w:sz="8" w:space="0" w:color="auto"/>
              <w:right w:val="single" w:sz="8" w:space="0" w:color="auto"/>
            </w:tcBorders>
            <w:shd w:val="clear" w:color="auto" w:fill="auto"/>
            <w:vAlign w:val="center"/>
            <w:hideMark/>
          </w:tcPr>
          <w:p w14:paraId="4E16AF3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2000 MW</w:t>
            </w:r>
          </w:p>
        </w:tc>
        <w:tc>
          <w:tcPr>
            <w:tcW w:w="3238" w:type="dxa"/>
            <w:gridSpan w:val="3"/>
            <w:tcBorders>
              <w:top w:val="single" w:sz="8" w:space="0" w:color="auto"/>
              <w:left w:val="nil"/>
              <w:bottom w:val="single" w:sz="8" w:space="0" w:color="auto"/>
              <w:right w:val="single" w:sz="8" w:space="0" w:color="000000"/>
            </w:tcBorders>
            <w:shd w:val="clear" w:color="000000" w:fill="FFFFFF"/>
            <w:vAlign w:val="center"/>
            <w:hideMark/>
          </w:tcPr>
          <w:p w14:paraId="574DE85D" w14:textId="7B5AD6F8" w:rsidR="00571EAF" w:rsidRPr="00897969" w:rsidRDefault="00897969" w:rsidP="00571EAF">
            <w:pPr>
              <w:spacing w:after="0" w:line="240" w:lineRule="auto"/>
              <w:rPr>
                <w:rFonts w:ascii="Times New Roman" w:eastAsia="Times New Roman" w:hAnsi="Times New Roman" w:cs="Times New Roman"/>
                <w:sz w:val="18"/>
                <w:szCs w:val="18"/>
                <w:highlight w:val="yellow"/>
              </w:rPr>
            </w:pPr>
            <w:r>
              <w:rPr>
                <w:rFonts w:ascii="Times New Roman" w:hAnsi="Times New Roman"/>
                <w:sz w:val="18"/>
              </w:rPr>
              <w:t>1400 MW (2024)</w:t>
            </w:r>
          </w:p>
        </w:tc>
        <w:tc>
          <w:tcPr>
            <w:tcW w:w="2250" w:type="dxa"/>
            <w:tcBorders>
              <w:top w:val="nil"/>
              <w:left w:val="nil"/>
              <w:bottom w:val="nil"/>
              <w:right w:val="single" w:sz="8" w:space="0" w:color="auto"/>
            </w:tcBorders>
            <w:shd w:val="clear" w:color="auto" w:fill="auto"/>
            <w:noWrap/>
            <w:vAlign w:val="bottom"/>
          </w:tcPr>
          <w:p w14:paraId="62D827E0" w14:textId="7B723637" w:rsidR="00571EAF" w:rsidRPr="00897969" w:rsidRDefault="00571EAF" w:rsidP="00897969">
            <w:pPr>
              <w:spacing w:after="0" w:line="240" w:lineRule="auto"/>
              <w:rPr>
                <w:rFonts w:ascii="Times New Roman" w:eastAsia="Times New Roman" w:hAnsi="Times New Roman" w:cs="Times New Roman"/>
                <w:highlight w:val="yellow"/>
              </w:rPr>
            </w:pPr>
          </w:p>
        </w:tc>
      </w:tr>
      <w:tr w:rsidR="00571EAF" w:rsidRPr="0086165A" w14:paraId="579E19AF" w14:textId="77777777" w:rsidTr="004A694D">
        <w:trPr>
          <w:trHeight w:val="315"/>
        </w:trPr>
        <w:tc>
          <w:tcPr>
            <w:tcW w:w="57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C8E5D07"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No.</w:t>
            </w:r>
          </w:p>
        </w:tc>
        <w:tc>
          <w:tcPr>
            <w:tcW w:w="197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C939FF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69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66BEEE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4559" w:type="dxa"/>
            <w:gridSpan w:val="4"/>
            <w:tcBorders>
              <w:top w:val="single" w:sz="8" w:space="0" w:color="auto"/>
              <w:left w:val="nil"/>
              <w:bottom w:val="single" w:sz="8" w:space="0" w:color="auto"/>
              <w:right w:val="single" w:sz="8" w:space="0" w:color="000000"/>
            </w:tcBorders>
            <w:shd w:val="clear" w:color="000000" w:fill="D9D9D9"/>
            <w:vAlign w:val="center"/>
            <w:hideMark/>
          </w:tcPr>
          <w:p w14:paraId="25B9655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109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471AED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100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84C7D9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128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979DDE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94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342793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225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8307FA7" w14:textId="77777777" w:rsidR="00571EAF" w:rsidRPr="0086165A" w:rsidRDefault="004A5EF7" w:rsidP="005D6B3A">
            <w:pPr>
              <w:spacing w:after="0" w:line="240" w:lineRule="auto"/>
              <w:jc w:val="center"/>
              <w:rPr>
                <w:rFonts w:ascii="Times New Roman" w:eastAsia="Times New Roman" w:hAnsi="Times New Roman" w:cs="Times New Roman"/>
                <w:b/>
                <w:bCs/>
                <w:sz w:val="20"/>
                <w:szCs w:val="20"/>
              </w:rPr>
            </w:pPr>
            <w:r>
              <w:rPr>
                <w:rFonts w:ascii="Times New Roman" w:hAnsi="Times New Roman"/>
                <w:b/>
                <w:sz w:val="20"/>
              </w:rPr>
              <w:t>Implementation progress for 2024</w:t>
            </w:r>
          </w:p>
        </w:tc>
      </w:tr>
      <w:tr w:rsidR="00B36062" w:rsidRPr="0086165A" w14:paraId="22B3AE8F" w14:textId="77777777" w:rsidTr="004A694D">
        <w:trPr>
          <w:trHeight w:val="300"/>
        </w:trPr>
        <w:tc>
          <w:tcPr>
            <w:tcW w:w="577" w:type="dxa"/>
            <w:vMerge/>
            <w:tcBorders>
              <w:top w:val="nil"/>
              <w:left w:val="single" w:sz="8" w:space="0" w:color="auto"/>
              <w:bottom w:val="single" w:sz="8" w:space="0" w:color="000000"/>
              <w:right w:val="single" w:sz="8" w:space="0" w:color="auto"/>
            </w:tcBorders>
            <w:vAlign w:val="center"/>
            <w:hideMark/>
          </w:tcPr>
          <w:p w14:paraId="674C3D9E"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974" w:type="dxa"/>
            <w:vMerge/>
            <w:tcBorders>
              <w:top w:val="nil"/>
              <w:left w:val="single" w:sz="8" w:space="0" w:color="auto"/>
              <w:bottom w:val="single" w:sz="8" w:space="0" w:color="000000"/>
              <w:right w:val="single" w:sz="8" w:space="0" w:color="auto"/>
            </w:tcBorders>
            <w:vAlign w:val="center"/>
            <w:hideMark/>
          </w:tcPr>
          <w:p w14:paraId="72E4B79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98" w:type="dxa"/>
            <w:vMerge/>
            <w:tcBorders>
              <w:top w:val="nil"/>
              <w:left w:val="single" w:sz="8" w:space="0" w:color="auto"/>
              <w:bottom w:val="single" w:sz="8" w:space="0" w:color="000000"/>
              <w:right w:val="single" w:sz="8" w:space="0" w:color="auto"/>
            </w:tcBorders>
            <w:vAlign w:val="center"/>
            <w:hideMark/>
          </w:tcPr>
          <w:p w14:paraId="4B63992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59" w:type="dxa"/>
            <w:tcBorders>
              <w:top w:val="nil"/>
              <w:left w:val="nil"/>
              <w:bottom w:val="nil"/>
              <w:right w:val="single" w:sz="8" w:space="0" w:color="auto"/>
            </w:tcBorders>
            <w:shd w:val="clear" w:color="000000" w:fill="D9D9D9"/>
            <w:vAlign w:val="center"/>
            <w:hideMark/>
          </w:tcPr>
          <w:p w14:paraId="46F77F0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140" w:type="dxa"/>
            <w:tcBorders>
              <w:top w:val="nil"/>
              <w:left w:val="nil"/>
              <w:bottom w:val="nil"/>
              <w:right w:val="single" w:sz="8" w:space="0" w:color="auto"/>
            </w:tcBorders>
            <w:shd w:val="clear" w:color="000000" w:fill="D9D9D9"/>
            <w:vAlign w:val="center"/>
            <w:hideMark/>
          </w:tcPr>
          <w:p w14:paraId="1FD208A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220" w:type="dxa"/>
            <w:tcBorders>
              <w:top w:val="nil"/>
              <w:left w:val="nil"/>
              <w:bottom w:val="nil"/>
              <w:right w:val="single" w:sz="8" w:space="0" w:color="auto"/>
            </w:tcBorders>
            <w:shd w:val="clear" w:color="000000" w:fill="D9D9D9"/>
            <w:vAlign w:val="center"/>
            <w:hideMark/>
          </w:tcPr>
          <w:p w14:paraId="57A32DA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140" w:type="dxa"/>
            <w:tcBorders>
              <w:top w:val="nil"/>
              <w:left w:val="nil"/>
              <w:bottom w:val="nil"/>
              <w:right w:val="single" w:sz="8" w:space="0" w:color="auto"/>
            </w:tcBorders>
            <w:shd w:val="clear" w:color="000000" w:fill="D9D9D9"/>
            <w:vAlign w:val="center"/>
            <w:hideMark/>
          </w:tcPr>
          <w:p w14:paraId="2A1B864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099" w:type="dxa"/>
            <w:vMerge/>
            <w:tcBorders>
              <w:top w:val="nil"/>
              <w:left w:val="single" w:sz="8" w:space="0" w:color="auto"/>
              <w:bottom w:val="single" w:sz="8" w:space="0" w:color="000000"/>
              <w:right w:val="single" w:sz="8" w:space="0" w:color="auto"/>
            </w:tcBorders>
            <w:vAlign w:val="center"/>
            <w:hideMark/>
          </w:tcPr>
          <w:p w14:paraId="7CFC5D5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02" w:type="dxa"/>
            <w:vMerge/>
            <w:tcBorders>
              <w:top w:val="nil"/>
              <w:left w:val="single" w:sz="8" w:space="0" w:color="auto"/>
              <w:bottom w:val="single" w:sz="8" w:space="0" w:color="000000"/>
              <w:right w:val="single" w:sz="8" w:space="0" w:color="auto"/>
            </w:tcBorders>
            <w:vAlign w:val="center"/>
            <w:hideMark/>
          </w:tcPr>
          <w:p w14:paraId="7895A7D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287" w:type="dxa"/>
            <w:vMerge/>
            <w:tcBorders>
              <w:top w:val="nil"/>
              <w:left w:val="single" w:sz="8" w:space="0" w:color="auto"/>
              <w:bottom w:val="single" w:sz="8" w:space="0" w:color="000000"/>
              <w:right w:val="single" w:sz="8" w:space="0" w:color="auto"/>
            </w:tcBorders>
            <w:vAlign w:val="center"/>
            <w:hideMark/>
          </w:tcPr>
          <w:p w14:paraId="20560B2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49" w:type="dxa"/>
            <w:vMerge/>
            <w:tcBorders>
              <w:top w:val="nil"/>
              <w:left w:val="single" w:sz="8" w:space="0" w:color="auto"/>
              <w:bottom w:val="single" w:sz="8" w:space="0" w:color="000000"/>
              <w:right w:val="single" w:sz="8" w:space="0" w:color="auto"/>
            </w:tcBorders>
            <w:vAlign w:val="center"/>
            <w:hideMark/>
          </w:tcPr>
          <w:p w14:paraId="1FF5A0D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2D29411D" w14:textId="77777777" w:rsidR="00571EAF" w:rsidRPr="0086165A" w:rsidRDefault="00571EAF" w:rsidP="00571EAF">
            <w:pPr>
              <w:spacing w:after="0" w:line="240" w:lineRule="auto"/>
              <w:rPr>
                <w:rFonts w:ascii="Times New Roman" w:eastAsia="Times New Roman" w:hAnsi="Times New Roman" w:cs="Times New Roman"/>
                <w:b/>
                <w:bCs/>
              </w:rPr>
            </w:pPr>
          </w:p>
        </w:tc>
      </w:tr>
      <w:tr w:rsidR="00B36062" w:rsidRPr="0086165A" w14:paraId="77E2AFD2" w14:textId="77777777" w:rsidTr="004A694D">
        <w:trPr>
          <w:trHeight w:val="720"/>
        </w:trPr>
        <w:tc>
          <w:tcPr>
            <w:tcW w:w="577" w:type="dxa"/>
            <w:vMerge/>
            <w:tcBorders>
              <w:top w:val="nil"/>
              <w:left w:val="single" w:sz="8" w:space="0" w:color="auto"/>
              <w:bottom w:val="single" w:sz="8" w:space="0" w:color="000000"/>
              <w:right w:val="single" w:sz="8" w:space="0" w:color="auto"/>
            </w:tcBorders>
            <w:vAlign w:val="center"/>
            <w:hideMark/>
          </w:tcPr>
          <w:p w14:paraId="623C6031"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974" w:type="dxa"/>
            <w:vMerge/>
            <w:tcBorders>
              <w:top w:val="nil"/>
              <w:left w:val="single" w:sz="8" w:space="0" w:color="auto"/>
              <w:bottom w:val="single" w:sz="8" w:space="0" w:color="000000"/>
              <w:right w:val="single" w:sz="8" w:space="0" w:color="auto"/>
            </w:tcBorders>
            <w:vAlign w:val="center"/>
            <w:hideMark/>
          </w:tcPr>
          <w:p w14:paraId="4143132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98" w:type="dxa"/>
            <w:vMerge/>
            <w:tcBorders>
              <w:top w:val="nil"/>
              <w:left w:val="single" w:sz="8" w:space="0" w:color="auto"/>
              <w:bottom w:val="single" w:sz="8" w:space="0" w:color="000000"/>
              <w:right w:val="single" w:sz="8" w:space="0" w:color="auto"/>
            </w:tcBorders>
            <w:vAlign w:val="center"/>
            <w:hideMark/>
          </w:tcPr>
          <w:p w14:paraId="45420FAA"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59" w:type="dxa"/>
            <w:tcBorders>
              <w:top w:val="nil"/>
              <w:left w:val="nil"/>
              <w:bottom w:val="single" w:sz="8" w:space="0" w:color="auto"/>
              <w:right w:val="single" w:sz="8" w:space="0" w:color="auto"/>
            </w:tcBorders>
            <w:shd w:val="clear" w:color="000000" w:fill="D9D9D9"/>
            <w:vAlign w:val="center"/>
            <w:hideMark/>
          </w:tcPr>
          <w:p w14:paraId="125FC07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1140" w:type="dxa"/>
            <w:tcBorders>
              <w:top w:val="nil"/>
              <w:left w:val="nil"/>
              <w:bottom w:val="single" w:sz="8" w:space="0" w:color="auto"/>
              <w:right w:val="single" w:sz="8" w:space="0" w:color="auto"/>
            </w:tcBorders>
            <w:shd w:val="clear" w:color="000000" w:fill="D9D9D9"/>
            <w:vAlign w:val="center"/>
            <w:hideMark/>
          </w:tcPr>
          <w:p w14:paraId="7E66F7D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1220" w:type="dxa"/>
            <w:tcBorders>
              <w:top w:val="nil"/>
              <w:left w:val="nil"/>
              <w:bottom w:val="single" w:sz="8" w:space="0" w:color="auto"/>
              <w:right w:val="single" w:sz="8" w:space="0" w:color="auto"/>
            </w:tcBorders>
            <w:shd w:val="clear" w:color="000000" w:fill="D9D9D9"/>
            <w:vAlign w:val="center"/>
            <w:hideMark/>
          </w:tcPr>
          <w:p w14:paraId="4F3F84F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1140" w:type="dxa"/>
            <w:tcBorders>
              <w:top w:val="nil"/>
              <w:left w:val="nil"/>
              <w:bottom w:val="single" w:sz="8" w:space="0" w:color="auto"/>
              <w:right w:val="single" w:sz="8" w:space="0" w:color="auto"/>
            </w:tcBorders>
            <w:shd w:val="clear" w:color="000000" w:fill="D9D9D9"/>
            <w:vAlign w:val="center"/>
            <w:hideMark/>
          </w:tcPr>
          <w:p w14:paraId="52DCF40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99" w:type="dxa"/>
            <w:vMerge/>
            <w:tcBorders>
              <w:top w:val="nil"/>
              <w:left w:val="single" w:sz="8" w:space="0" w:color="auto"/>
              <w:bottom w:val="single" w:sz="8" w:space="0" w:color="000000"/>
              <w:right w:val="single" w:sz="8" w:space="0" w:color="auto"/>
            </w:tcBorders>
            <w:vAlign w:val="center"/>
            <w:hideMark/>
          </w:tcPr>
          <w:p w14:paraId="018AE43A"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02" w:type="dxa"/>
            <w:vMerge/>
            <w:tcBorders>
              <w:top w:val="nil"/>
              <w:left w:val="single" w:sz="8" w:space="0" w:color="auto"/>
              <w:bottom w:val="single" w:sz="8" w:space="0" w:color="000000"/>
              <w:right w:val="single" w:sz="8" w:space="0" w:color="auto"/>
            </w:tcBorders>
            <w:vAlign w:val="center"/>
            <w:hideMark/>
          </w:tcPr>
          <w:p w14:paraId="4862283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287" w:type="dxa"/>
            <w:vMerge/>
            <w:tcBorders>
              <w:top w:val="nil"/>
              <w:left w:val="single" w:sz="8" w:space="0" w:color="auto"/>
              <w:bottom w:val="single" w:sz="8" w:space="0" w:color="000000"/>
              <w:right w:val="single" w:sz="8" w:space="0" w:color="auto"/>
            </w:tcBorders>
            <w:vAlign w:val="center"/>
            <w:hideMark/>
          </w:tcPr>
          <w:p w14:paraId="78AD80B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49" w:type="dxa"/>
            <w:vMerge/>
            <w:tcBorders>
              <w:top w:val="nil"/>
              <w:left w:val="single" w:sz="8" w:space="0" w:color="auto"/>
              <w:bottom w:val="single" w:sz="8" w:space="0" w:color="000000"/>
              <w:right w:val="single" w:sz="8" w:space="0" w:color="auto"/>
            </w:tcBorders>
            <w:vAlign w:val="center"/>
            <w:hideMark/>
          </w:tcPr>
          <w:p w14:paraId="33302E1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5A653658" w14:textId="77777777" w:rsidR="00571EAF" w:rsidRPr="0086165A" w:rsidRDefault="00571EAF" w:rsidP="00571EAF">
            <w:pPr>
              <w:spacing w:after="0" w:line="240" w:lineRule="auto"/>
              <w:rPr>
                <w:rFonts w:ascii="Times New Roman" w:eastAsia="Times New Roman" w:hAnsi="Times New Roman" w:cs="Times New Roman"/>
                <w:b/>
                <w:bCs/>
              </w:rPr>
            </w:pPr>
          </w:p>
        </w:tc>
      </w:tr>
      <w:tr w:rsidR="00B36062" w:rsidRPr="0086165A" w14:paraId="087DEA8C" w14:textId="77777777" w:rsidTr="004A694D">
        <w:trPr>
          <w:trHeight w:val="990"/>
        </w:trPr>
        <w:tc>
          <w:tcPr>
            <w:tcW w:w="577" w:type="dxa"/>
            <w:tcBorders>
              <w:top w:val="nil"/>
              <w:left w:val="single" w:sz="8" w:space="0" w:color="auto"/>
              <w:bottom w:val="nil"/>
              <w:right w:val="single" w:sz="8" w:space="0" w:color="auto"/>
            </w:tcBorders>
            <w:shd w:val="clear" w:color="auto" w:fill="auto"/>
            <w:vAlign w:val="center"/>
            <w:hideMark/>
          </w:tcPr>
          <w:p w14:paraId="4E80140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I.2.1</w:t>
            </w:r>
          </w:p>
        </w:tc>
        <w:tc>
          <w:tcPr>
            <w:tcW w:w="1974" w:type="dxa"/>
            <w:tcBorders>
              <w:top w:val="nil"/>
              <w:left w:val="nil"/>
              <w:bottom w:val="single" w:sz="8" w:space="0" w:color="auto"/>
              <w:right w:val="single" w:sz="8" w:space="0" w:color="auto"/>
            </w:tcBorders>
            <w:shd w:val="clear" w:color="000000" w:fill="FFFFFF"/>
            <w:vAlign w:val="center"/>
            <w:hideMark/>
          </w:tcPr>
          <w:p w14:paraId="228D63C7"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Development of the system (SCADA &amp; Telecommunications)</w:t>
            </w:r>
          </w:p>
        </w:tc>
        <w:tc>
          <w:tcPr>
            <w:tcW w:w="698" w:type="dxa"/>
            <w:tcBorders>
              <w:top w:val="nil"/>
              <w:left w:val="nil"/>
              <w:bottom w:val="single" w:sz="8" w:space="0" w:color="auto"/>
              <w:right w:val="single" w:sz="8" w:space="0" w:color="auto"/>
            </w:tcBorders>
            <w:shd w:val="clear" w:color="000000" w:fill="FFFFFF"/>
            <w:vAlign w:val="center"/>
            <w:hideMark/>
          </w:tcPr>
          <w:p w14:paraId="2539A03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1059" w:type="dxa"/>
            <w:tcBorders>
              <w:top w:val="nil"/>
              <w:left w:val="nil"/>
              <w:bottom w:val="nil"/>
              <w:right w:val="single" w:sz="8" w:space="0" w:color="auto"/>
            </w:tcBorders>
            <w:shd w:val="clear" w:color="000000" w:fill="FFFFFF"/>
            <w:vAlign w:val="center"/>
            <w:hideMark/>
          </w:tcPr>
          <w:p w14:paraId="2EC4061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140" w:type="dxa"/>
            <w:tcBorders>
              <w:top w:val="nil"/>
              <w:left w:val="nil"/>
              <w:bottom w:val="nil"/>
              <w:right w:val="single" w:sz="8" w:space="0" w:color="auto"/>
            </w:tcBorders>
            <w:shd w:val="clear" w:color="000000" w:fill="FFFFFF"/>
            <w:vAlign w:val="center"/>
            <w:hideMark/>
          </w:tcPr>
          <w:p w14:paraId="31299AD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5,684,923.33 </w:t>
            </w:r>
          </w:p>
        </w:tc>
        <w:tc>
          <w:tcPr>
            <w:tcW w:w="1220" w:type="dxa"/>
            <w:tcBorders>
              <w:top w:val="nil"/>
              <w:left w:val="nil"/>
              <w:bottom w:val="nil"/>
              <w:right w:val="single" w:sz="8" w:space="0" w:color="auto"/>
            </w:tcBorders>
            <w:shd w:val="clear" w:color="000000" w:fill="FFFFFF"/>
            <w:vAlign w:val="center"/>
            <w:hideMark/>
          </w:tcPr>
          <w:p w14:paraId="2425C35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4,063,814.93 </w:t>
            </w:r>
          </w:p>
        </w:tc>
        <w:tc>
          <w:tcPr>
            <w:tcW w:w="1140" w:type="dxa"/>
            <w:tcBorders>
              <w:top w:val="nil"/>
              <w:left w:val="nil"/>
              <w:bottom w:val="nil"/>
              <w:right w:val="single" w:sz="8" w:space="0" w:color="auto"/>
            </w:tcBorders>
            <w:shd w:val="clear" w:color="000000" w:fill="FFFFFF"/>
            <w:vAlign w:val="center"/>
            <w:hideMark/>
          </w:tcPr>
          <w:p w14:paraId="57C45C1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1,863,702.50 </w:t>
            </w:r>
          </w:p>
        </w:tc>
        <w:tc>
          <w:tcPr>
            <w:tcW w:w="1099" w:type="dxa"/>
            <w:tcBorders>
              <w:top w:val="nil"/>
              <w:left w:val="nil"/>
              <w:bottom w:val="nil"/>
              <w:right w:val="single" w:sz="8" w:space="0" w:color="auto"/>
            </w:tcBorders>
            <w:shd w:val="clear" w:color="000000" w:fill="FFFFFF"/>
            <w:vAlign w:val="center"/>
            <w:hideMark/>
          </w:tcPr>
          <w:p w14:paraId="230CC22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KOSTT </w:t>
            </w:r>
          </w:p>
        </w:tc>
        <w:tc>
          <w:tcPr>
            <w:tcW w:w="1002" w:type="dxa"/>
            <w:tcBorders>
              <w:top w:val="nil"/>
              <w:left w:val="nil"/>
              <w:bottom w:val="nil"/>
              <w:right w:val="single" w:sz="8" w:space="0" w:color="auto"/>
            </w:tcBorders>
            <w:shd w:val="clear" w:color="000000" w:fill="FFFFFF"/>
            <w:vAlign w:val="center"/>
            <w:hideMark/>
          </w:tcPr>
          <w:p w14:paraId="3B80508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KOSTT </w:t>
            </w:r>
          </w:p>
        </w:tc>
        <w:tc>
          <w:tcPr>
            <w:tcW w:w="1287" w:type="dxa"/>
            <w:tcBorders>
              <w:top w:val="nil"/>
              <w:left w:val="nil"/>
              <w:bottom w:val="nil"/>
              <w:right w:val="single" w:sz="8" w:space="0" w:color="auto"/>
            </w:tcBorders>
            <w:shd w:val="clear" w:color="000000" w:fill="FFFFFF"/>
            <w:vAlign w:val="center"/>
            <w:hideMark/>
          </w:tcPr>
          <w:p w14:paraId="449EB532"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ENTSO-E requirements have been met</w:t>
            </w:r>
          </w:p>
        </w:tc>
        <w:tc>
          <w:tcPr>
            <w:tcW w:w="949" w:type="dxa"/>
            <w:tcBorders>
              <w:top w:val="nil"/>
              <w:left w:val="nil"/>
              <w:bottom w:val="single" w:sz="8" w:space="0" w:color="auto"/>
              <w:right w:val="single" w:sz="8" w:space="0" w:color="auto"/>
            </w:tcBorders>
            <w:shd w:val="clear" w:color="000000" w:fill="FFFFFF"/>
            <w:vAlign w:val="center"/>
            <w:hideMark/>
          </w:tcPr>
          <w:p w14:paraId="179A0AB2" w14:textId="59CCB2A4"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22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9905BD" w14:textId="3C301EE0" w:rsidR="00571EAF" w:rsidRPr="0086165A"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These projects fall under the set of projects to be implemented with the German Bank </w:t>
            </w:r>
            <w:proofErr w:type="spellStart"/>
            <w:r>
              <w:rPr>
                <w:rFonts w:ascii="Times New Roman" w:hAnsi="Times New Roman"/>
                <w:sz w:val="18"/>
              </w:rPr>
              <w:t>KfW</w:t>
            </w:r>
            <w:proofErr w:type="spellEnd"/>
            <w:r>
              <w:rPr>
                <w:rFonts w:ascii="Times New Roman" w:hAnsi="Times New Roman"/>
                <w:sz w:val="18"/>
              </w:rPr>
              <w:t>, phase VII. A consultancy services contract was signed on 26.11.2024 to prepare the technical specifications and the tender dossier. The projects are expected to be implemented during Q1 2026–Q4 2027.</w:t>
            </w:r>
          </w:p>
        </w:tc>
      </w:tr>
      <w:tr w:rsidR="00B36062" w:rsidRPr="0086165A" w14:paraId="012E056F" w14:textId="77777777" w:rsidTr="004A694D">
        <w:trPr>
          <w:trHeight w:val="735"/>
        </w:trPr>
        <w:tc>
          <w:tcPr>
            <w:tcW w:w="5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9BA9E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I.2.2</w:t>
            </w:r>
          </w:p>
        </w:tc>
        <w:tc>
          <w:tcPr>
            <w:tcW w:w="1974" w:type="dxa"/>
            <w:tcBorders>
              <w:top w:val="nil"/>
              <w:left w:val="nil"/>
              <w:bottom w:val="single" w:sz="8" w:space="0" w:color="auto"/>
              <w:right w:val="single" w:sz="8" w:space="0" w:color="auto"/>
            </w:tcBorders>
            <w:shd w:val="clear" w:color="000000" w:fill="FFFFFF"/>
            <w:vAlign w:val="center"/>
            <w:hideMark/>
          </w:tcPr>
          <w:p w14:paraId="2BD1700A" w14:textId="29770B35"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Strengthening and rehabilitating the existing electricity network (TSO)</w:t>
            </w:r>
          </w:p>
        </w:tc>
        <w:tc>
          <w:tcPr>
            <w:tcW w:w="698" w:type="dxa"/>
            <w:tcBorders>
              <w:top w:val="nil"/>
              <w:left w:val="nil"/>
              <w:bottom w:val="single" w:sz="8" w:space="0" w:color="auto"/>
              <w:right w:val="single" w:sz="8" w:space="0" w:color="auto"/>
            </w:tcBorders>
            <w:shd w:val="clear" w:color="000000" w:fill="FFFFFF"/>
            <w:vAlign w:val="center"/>
            <w:hideMark/>
          </w:tcPr>
          <w:p w14:paraId="1CC3EBC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2339EBD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2,400,000.00€ </w:t>
            </w:r>
          </w:p>
        </w:tc>
        <w:tc>
          <w:tcPr>
            <w:tcW w:w="1140" w:type="dxa"/>
            <w:tcBorders>
              <w:top w:val="single" w:sz="8" w:space="0" w:color="auto"/>
              <w:left w:val="nil"/>
              <w:bottom w:val="single" w:sz="8" w:space="0" w:color="auto"/>
              <w:right w:val="single" w:sz="8" w:space="0" w:color="auto"/>
            </w:tcBorders>
            <w:shd w:val="clear" w:color="000000" w:fill="FFFFFF"/>
            <w:vAlign w:val="center"/>
            <w:hideMark/>
          </w:tcPr>
          <w:p w14:paraId="0019852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2,260,000.00 </w:t>
            </w:r>
          </w:p>
        </w:tc>
        <w:tc>
          <w:tcPr>
            <w:tcW w:w="1220" w:type="dxa"/>
            <w:tcBorders>
              <w:top w:val="single" w:sz="8" w:space="0" w:color="auto"/>
              <w:left w:val="nil"/>
              <w:bottom w:val="single" w:sz="8" w:space="0" w:color="auto"/>
              <w:right w:val="single" w:sz="8" w:space="0" w:color="auto"/>
            </w:tcBorders>
            <w:shd w:val="clear" w:color="000000" w:fill="FFFFFF"/>
            <w:vAlign w:val="center"/>
            <w:hideMark/>
          </w:tcPr>
          <w:p w14:paraId="6E16E2A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1,063,542.37 </w:t>
            </w:r>
          </w:p>
        </w:tc>
        <w:tc>
          <w:tcPr>
            <w:tcW w:w="1140" w:type="dxa"/>
            <w:tcBorders>
              <w:top w:val="single" w:sz="8" w:space="0" w:color="auto"/>
              <w:left w:val="nil"/>
              <w:bottom w:val="single" w:sz="8" w:space="0" w:color="auto"/>
              <w:right w:val="single" w:sz="8" w:space="0" w:color="auto"/>
            </w:tcBorders>
            <w:shd w:val="clear" w:color="000000" w:fill="FFFFFF"/>
            <w:vAlign w:val="center"/>
            <w:hideMark/>
          </w:tcPr>
          <w:p w14:paraId="7F02935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1,354,203.39 </w:t>
            </w:r>
          </w:p>
        </w:tc>
        <w:tc>
          <w:tcPr>
            <w:tcW w:w="1099" w:type="dxa"/>
            <w:tcBorders>
              <w:top w:val="single" w:sz="8" w:space="0" w:color="auto"/>
              <w:left w:val="nil"/>
              <w:bottom w:val="single" w:sz="8" w:space="0" w:color="auto"/>
              <w:right w:val="single" w:sz="8" w:space="0" w:color="auto"/>
            </w:tcBorders>
            <w:shd w:val="clear" w:color="000000" w:fill="FFFFFF"/>
            <w:vAlign w:val="center"/>
            <w:hideMark/>
          </w:tcPr>
          <w:p w14:paraId="20DC24C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KOSTT </w:t>
            </w:r>
          </w:p>
        </w:tc>
        <w:tc>
          <w:tcPr>
            <w:tcW w:w="1002" w:type="dxa"/>
            <w:tcBorders>
              <w:top w:val="single" w:sz="8" w:space="0" w:color="auto"/>
              <w:left w:val="nil"/>
              <w:bottom w:val="single" w:sz="8" w:space="0" w:color="auto"/>
              <w:right w:val="single" w:sz="8" w:space="0" w:color="auto"/>
            </w:tcBorders>
            <w:shd w:val="clear" w:color="000000" w:fill="FFFFFF"/>
            <w:vAlign w:val="center"/>
            <w:hideMark/>
          </w:tcPr>
          <w:p w14:paraId="387C104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KOSTT </w:t>
            </w:r>
          </w:p>
        </w:tc>
        <w:tc>
          <w:tcPr>
            <w:tcW w:w="1287" w:type="dxa"/>
            <w:tcBorders>
              <w:top w:val="single" w:sz="8" w:space="0" w:color="auto"/>
              <w:left w:val="nil"/>
              <w:bottom w:val="single" w:sz="8" w:space="0" w:color="auto"/>
              <w:right w:val="single" w:sz="8" w:space="0" w:color="auto"/>
            </w:tcBorders>
            <w:shd w:val="clear" w:color="000000" w:fill="FFFFFF"/>
            <w:vAlign w:val="center"/>
            <w:hideMark/>
          </w:tcPr>
          <w:p w14:paraId="0A8A5FA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Enhancing network reliability and security  </w:t>
            </w:r>
          </w:p>
        </w:tc>
        <w:tc>
          <w:tcPr>
            <w:tcW w:w="949" w:type="dxa"/>
            <w:tcBorders>
              <w:top w:val="nil"/>
              <w:left w:val="nil"/>
              <w:bottom w:val="single" w:sz="8" w:space="0" w:color="auto"/>
              <w:right w:val="single" w:sz="8" w:space="0" w:color="auto"/>
            </w:tcBorders>
            <w:shd w:val="clear" w:color="000000" w:fill="FFFFFF"/>
            <w:vAlign w:val="center"/>
            <w:hideMark/>
          </w:tcPr>
          <w:p w14:paraId="79841893"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2250" w:type="dxa"/>
            <w:vMerge/>
            <w:tcBorders>
              <w:top w:val="nil"/>
              <w:left w:val="single" w:sz="8" w:space="0" w:color="auto"/>
              <w:bottom w:val="single" w:sz="8" w:space="0" w:color="000000"/>
              <w:right w:val="single" w:sz="8" w:space="0" w:color="auto"/>
            </w:tcBorders>
            <w:vAlign w:val="center"/>
            <w:hideMark/>
          </w:tcPr>
          <w:p w14:paraId="5BAFC539" w14:textId="77777777" w:rsidR="00571EAF" w:rsidRPr="008F2F6A" w:rsidRDefault="00571EAF" w:rsidP="00571EAF">
            <w:pPr>
              <w:spacing w:after="0" w:line="240" w:lineRule="auto"/>
              <w:rPr>
                <w:rFonts w:ascii="Times New Roman" w:eastAsia="Times New Roman" w:hAnsi="Times New Roman" w:cs="Times New Roman"/>
                <w:sz w:val="18"/>
                <w:szCs w:val="18"/>
              </w:rPr>
            </w:pPr>
          </w:p>
        </w:tc>
      </w:tr>
      <w:tr w:rsidR="00B36062" w:rsidRPr="0086165A" w14:paraId="60641ACD" w14:textId="77777777" w:rsidTr="004A694D">
        <w:trPr>
          <w:trHeight w:val="1455"/>
        </w:trPr>
        <w:tc>
          <w:tcPr>
            <w:tcW w:w="577" w:type="dxa"/>
            <w:tcBorders>
              <w:top w:val="nil"/>
              <w:left w:val="single" w:sz="8" w:space="0" w:color="auto"/>
              <w:bottom w:val="nil"/>
              <w:right w:val="single" w:sz="8" w:space="0" w:color="auto"/>
            </w:tcBorders>
            <w:shd w:val="clear" w:color="auto" w:fill="auto"/>
            <w:vAlign w:val="center"/>
            <w:hideMark/>
          </w:tcPr>
          <w:p w14:paraId="5D93321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I.2.3</w:t>
            </w:r>
          </w:p>
        </w:tc>
        <w:tc>
          <w:tcPr>
            <w:tcW w:w="1974" w:type="dxa"/>
            <w:tcBorders>
              <w:top w:val="nil"/>
              <w:left w:val="nil"/>
              <w:bottom w:val="single" w:sz="8" w:space="0" w:color="auto"/>
              <w:right w:val="single" w:sz="8" w:space="0" w:color="auto"/>
            </w:tcBorders>
            <w:shd w:val="clear" w:color="000000" w:fill="FFFFFF"/>
            <w:vAlign w:val="center"/>
            <w:hideMark/>
          </w:tcPr>
          <w:p w14:paraId="72F6649D"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Construction of new transmission capacities and transformational capacities - Shunt-variable reactor (100 </w:t>
            </w:r>
            <w:proofErr w:type="spellStart"/>
            <w:r>
              <w:rPr>
                <w:rFonts w:ascii="Times New Roman" w:hAnsi="Times New Roman"/>
                <w:sz w:val="18"/>
              </w:rPr>
              <w:t>MWAr</w:t>
            </w:r>
            <w:proofErr w:type="spellEnd"/>
            <w:r>
              <w:rPr>
                <w:rFonts w:ascii="Times New Roman" w:hAnsi="Times New Roman"/>
                <w:sz w:val="18"/>
              </w:rPr>
              <w:t>)</w:t>
            </w:r>
          </w:p>
        </w:tc>
        <w:tc>
          <w:tcPr>
            <w:tcW w:w="698" w:type="dxa"/>
            <w:tcBorders>
              <w:top w:val="nil"/>
              <w:left w:val="nil"/>
              <w:bottom w:val="single" w:sz="8" w:space="0" w:color="auto"/>
              <w:right w:val="single" w:sz="8" w:space="0" w:color="auto"/>
            </w:tcBorders>
            <w:shd w:val="clear" w:color="000000" w:fill="FFFFFF"/>
            <w:vAlign w:val="center"/>
            <w:hideMark/>
          </w:tcPr>
          <w:p w14:paraId="717EDDC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59" w:type="dxa"/>
            <w:tcBorders>
              <w:top w:val="nil"/>
              <w:left w:val="nil"/>
              <w:bottom w:val="single" w:sz="8" w:space="0" w:color="auto"/>
              <w:right w:val="single" w:sz="8" w:space="0" w:color="auto"/>
            </w:tcBorders>
            <w:shd w:val="clear" w:color="auto" w:fill="auto"/>
            <w:vAlign w:val="center"/>
            <w:hideMark/>
          </w:tcPr>
          <w:p w14:paraId="2B0F4083" w14:textId="77777777" w:rsidR="00571EAF" w:rsidRPr="0086165A" w:rsidRDefault="00571EAF" w:rsidP="00571EAF">
            <w:pPr>
              <w:spacing w:after="0" w:line="240" w:lineRule="auto"/>
              <w:jc w:val="center"/>
              <w:rPr>
                <w:rFonts w:ascii="Times New Roman" w:eastAsia="Times New Roman" w:hAnsi="Times New Roman" w:cs="Times New Roman"/>
                <w:sz w:val="20"/>
                <w:szCs w:val="20"/>
              </w:rPr>
            </w:pPr>
            <w:r>
              <w:rPr>
                <w:rFonts w:ascii="Times New Roman" w:hAnsi="Times New Roman"/>
                <w:sz w:val="20"/>
              </w:rPr>
              <w:t xml:space="preserve"> €                   -   </w:t>
            </w:r>
          </w:p>
        </w:tc>
        <w:tc>
          <w:tcPr>
            <w:tcW w:w="1140" w:type="dxa"/>
            <w:tcBorders>
              <w:top w:val="nil"/>
              <w:left w:val="nil"/>
              <w:bottom w:val="nil"/>
              <w:right w:val="single" w:sz="8" w:space="0" w:color="auto"/>
            </w:tcBorders>
            <w:shd w:val="clear" w:color="000000" w:fill="FFFFFF"/>
            <w:vAlign w:val="center"/>
            <w:hideMark/>
          </w:tcPr>
          <w:p w14:paraId="032AA90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1,000,000.00 </w:t>
            </w:r>
          </w:p>
        </w:tc>
        <w:tc>
          <w:tcPr>
            <w:tcW w:w="1220" w:type="dxa"/>
            <w:tcBorders>
              <w:top w:val="nil"/>
              <w:left w:val="nil"/>
              <w:bottom w:val="nil"/>
              <w:right w:val="single" w:sz="8" w:space="0" w:color="auto"/>
            </w:tcBorders>
            <w:shd w:val="clear" w:color="000000" w:fill="FFFFFF"/>
            <w:vAlign w:val="center"/>
            <w:hideMark/>
          </w:tcPr>
          <w:p w14:paraId="16A21C7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1140" w:type="dxa"/>
            <w:tcBorders>
              <w:top w:val="nil"/>
              <w:left w:val="nil"/>
              <w:bottom w:val="nil"/>
              <w:right w:val="single" w:sz="8" w:space="0" w:color="auto"/>
            </w:tcBorders>
            <w:shd w:val="clear" w:color="auto" w:fill="auto"/>
            <w:vAlign w:val="center"/>
            <w:hideMark/>
          </w:tcPr>
          <w:p w14:paraId="642A2B2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3,449,152.54 </w:t>
            </w:r>
          </w:p>
        </w:tc>
        <w:tc>
          <w:tcPr>
            <w:tcW w:w="1099" w:type="dxa"/>
            <w:tcBorders>
              <w:top w:val="nil"/>
              <w:left w:val="nil"/>
              <w:bottom w:val="single" w:sz="8" w:space="0" w:color="auto"/>
              <w:right w:val="single" w:sz="8" w:space="0" w:color="auto"/>
            </w:tcBorders>
            <w:shd w:val="clear" w:color="000000" w:fill="FFFFFF"/>
            <w:vAlign w:val="center"/>
            <w:hideMark/>
          </w:tcPr>
          <w:p w14:paraId="40C5D9D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KOSTT </w:t>
            </w:r>
          </w:p>
        </w:tc>
        <w:tc>
          <w:tcPr>
            <w:tcW w:w="1002" w:type="dxa"/>
            <w:tcBorders>
              <w:top w:val="nil"/>
              <w:left w:val="nil"/>
              <w:bottom w:val="single" w:sz="8" w:space="0" w:color="auto"/>
              <w:right w:val="single" w:sz="8" w:space="0" w:color="auto"/>
            </w:tcBorders>
            <w:shd w:val="clear" w:color="000000" w:fill="FFFFFF"/>
            <w:vAlign w:val="center"/>
            <w:hideMark/>
          </w:tcPr>
          <w:p w14:paraId="0144190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KOSTT</w:t>
            </w:r>
          </w:p>
        </w:tc>
        <w:tc>
          <w:tcPr>
            <w:tcW w:w="1287" w:type="dxa"/>
            <w:tcBorders>
              <w:top w:val="nil"/>
              <w:left w:val="nil"/>
              <w:bottom w:val="single" w:sz="8" w:space="0" w:color="auto"/>
              <w:right w:val="single" w:sz="8" w:space="0" w:color="auto"/>
            </w:tcBorders>
            <w:shd w:val="clear" w:color="000000" w:fill="FFFFFF"/>
            <w:vAlign w:val="center"/>
            <w:hideMark/>
          </w:tcPr>
          <w:p w14:paraId="2C80F34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Enhancing network reliability and security. Meeting the Grid Code requirements.</w:t>
            </w:r>
          </w:p>
        </w:tc>
        <w:tc>
          <w:tcPr>
            <w:tcW w:w="949" w:type="dxa"/>
            <w:tcBorders>
              <w:top w:val="nil"/>
              <w:left w:val="nil"/>
              <w:bottom w:val="single" w:sz="8" w:space="0" w:color="auto"/>
              <w:right w:val="single" w:sz="8" w:space="0" w:color="auto"/>
            </w:tcBorders>
            <w:shd w:val="clear" w:color="000000" w:fill="FFFFFF"/>
            <w:vAlign w:val="center"/>
            <w:hideMark/>
          </w:tcPr>
          <w:p w14:paraId="6A023E3D"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2250" w:type="dxa"/>
            <w:vMerge/>
            <w:tcBorders>
              <w:top w:val="nil"/>
              <w:left w:val="single" w:sz="8" w:space="0" w:color="auto"/>
              <w:bottom w:val="single" w:sz="8" w:space="0" w:color="000000"/>
              <w:right w:val="single" w:sz="8" w:space="0" w:color="auto"/>
            </w:tcBorders>
            <w:vAlign w:val="center"/>
            <w:hideMark/>
          </w:tcPr>
          <w:p w14:paraId="731AA620" w14:textId="77777777" w:rsidR="00571EAF" w:rsidRPr="008F2F6A" w:rsidRDefault="00571EAF" w:rsidP="00571EAF">
            <w:pPr>
              <w:spacing w:after="0" w:line="240" w:lineRule="auto"/>
              <w:rPr>
                <w:rFonts w:ascii="Times New Roman" w:eastAsia="Times New Roman" w:hAnsi="Times New Roman" w:cs="Times New Roman"/>
                <w:sz w:val="18"/>
                <w:szCs w:val="18"/>
              </w:rPr>
            </w:pPr>
          </w:p>
        </w:tc>
      </w:tr>
      <w:tr w:rsidR="00B36062" w:rsidRPr="0086165A" w14:paraId="32FCF178" w14:textId="77777777" w:rsidTr="004A694D">
        <w:trPr>
          <w:trHeight w:val="790"/>
        </w:trPr>
        <w:tc>
          <w:tcPr>
            <w:tcW w:w="5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650A0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I.2.4</w:t>
            </w:r>
          </w:p>
        </w:tc>
        <w:tc>
          <w:tcPr>
            <w:tcW w:w="1974" w:type="dxa"/>
            <w:tcBorders>
              <w:top w:val="nil"/>
              <w:left w:val="nil"/>
              <w:bottom w:val="single" w:sz="8" w:space="0" w:color="auto"/>
              <w:right w:val="single" w:sz="8" w:space="0" w:color="auto"/>
            </w:tcBorders>
            <w:shd w:val="clear" w:color="000000" w:fill="FFFFFF"/>
            <w:vAlign w:val="center"/>
            <w:hideMark/>
          </w:tcPr>
          <w:p w14:paraId="6E3DB8E7" w14:textId="56F5C0E0"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Support for the new load/connections 110/10 (20) kV (TSO &amp; DSO) (SS </w:t>
            </w:r>
            <w:proofErr w:type="spellStart"/>
            <w:r>
              <w:rPr>
                <w:rFonts w:ascii="Times New Roman" w:hAnsi="Times New Roman"/>
                <w:sz w:val="18"/>
              </w:rPr>
              <w:t>Kastriot</w:t>
            </w:r>
            <w:proofErr w:type="spellEnd"/>
            <w:r>
              <w:rPr>
                <w:rFonts w:ascii="Times New Roman" w:hAnsi="Times New Roman"/>
                <w:sz w:val="18"/>
              </w:rPr>
              <w:t xml:space="preserve"> - </w:t>
            </w:r>
            <w:proofErr w:type="spellStart"/>
            <w:r>
              <w:rPr>
                <w:rFonts w:ascii="Times New Roman" w:hAnsi="Times New Roman"/>
                <w:sz w:val="18"/>
              </w:rPr>
              <w:t>Ferizaj</w:t>
            </w:r>
            <w:proofErr w:type="spellEnd"/>
            <w:r>
              <w:rPr>
                <w:rFonts w:ascii="Times New Roman" w:hAnsi="Times New Roman"/>
                <w:sz w:val="18"/>
              </w:rPr>
              <w:t xml:space="preserve"> 3 and TS </w:t>
            </w:r>
            <w:proofErr w:type="spellStart"/>
            <w:r>
              <w:rPr>
                <w:rFonts w:ascii="Times New Roman" w:hAnsi="Times New Roman"/>
                <w:sz w:val="18"/>
              </w:rPr>
              <w:t>Malisheva</w:t>
            </w:r>
            <w:proofErr w:type="spellEnd"/>
            <w:r>
              <w:rPr>
                <w:rFonts w:ascii="Times New Roman" w:hAnsi="Times New Roman"/>
                <w:sz w:val="18"/>
              </w:rPr>
              <w:t xml:space="preserve">), (SS </w:t>
            </w:r>
            <w:proofErr w:type="spellStart"/>
            <w:r>
              <w:rPr>
                <w:rFonts w:ascii="Times New Roman" w:hAnsi="Times New Roman"/>
                <w:sz w:val="18"/>
              </w:rPr>
              <w:t>Kastrioti</w:t>
            </w:r>
            <w:proofErr w:type="spellEnd"/>
            <w:r>
              <w:rPr>
                <w:rFonts w:ascii="Times New Roman" w:hAnsi="Times New Roman"/>
                <w:sz w:val="18"/>
              </w:rPr>
              <w:t xml:space="preserve"> - </w:t>
            </w:r>
            <w:proofErr w:type="spellStart"/>
            <w:r>
              <w:rPr>
                <w:rFonts w:ascii="Times New Roman" w:hAnsi="Times New Roman"/>
                <w:sz w:val="18"/>
              </w:rPr>
              <w:t>Ferizaj</w:t>
            </w:r>
            <w:proofErr w:type="spellEnd"/>
            <w:r>
              <w:rPr>
                <w:rFonts w:ascii="Times New Roman" w:hAnsi="Times New Roman"/>
                <w:sz w:val="18"/>
              </w:rPr>
              <w:t xml:space="preserve"> 3 and TS </w:t>
            </w:r>
            <w:proofErr w:type="spellStart"/>
            <w:r>
              <w:rPr>
                <w:rFonts w:ascii="Times New Roman" w:hAnsi="Times New Roman"/>
                <w:sz w:val="18"/>
              </w:rPr>
              <w:t>Malisheva</w:t>
            </w:r>
            <w:proofErr w:type="spellEnd"/>
            <w:r>
              <w:rPr>
                <w:rFonts w:ascii="Times New Roman" w:hAnsi="Times New Roman"/>
                <w:sz w:val="18"/>
              </w:rPr>
              <w:t>);</w:t>
            </w:r>
          </w:p>
        </w:tc>
        <w:tc>
          <w:tcPr>
            <w:tcW w:w="698" w:type="dxa"/>
            <w:tcBorders>
              <w:top w:val="nil"/>
              <w:left w:val="nil"/>
              <w:bottom w:val="single" w:sz="8" w:space="0" w:color="auto"/>
              <w:right w:val="single" w:sz="8" w:space="0" w:color="auto"/>
            </w:tcBorders>
            <w:shd w:val="clear" w:color="000000" w:fill="FFFFFF"/>
            <w:vAlign w:val="center"/>
            <w:hideMark/>
          </w:tcPr>
          <w:p w14:paraId="50EB6F8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1059" w:type="dxa"/>
            <w:tcBorders>
              <w:top w:val="nil"/>
              <w:left w:val="nil"/>
              <w:bottom w:val="single" w:sz="8" w:space="0" w:color="auto"/>
              <w:right w:val="single" w:sz="8" w:space="0" w:color="auto"/>
            </w:tcBorders>
            <w:shd w:val="clear" w:color="000000" w:fill="FFFFFF"/>
            <w:vAlign w:val="center"/>
            <w:hideMark/>
          </w:tcPr>
          <w:p w14:paraId="7322606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€ 3,000,000.00 </w:t>
            </w:r>
          </w:p>
        </w:tc>
        <w:tc>
          <w:tcPr>
            <w:tcW w:w="1140" w:type="dxa"/>
            <w:tcBorders>
              <w:top w:val="single" w:sz="8" w:space="0" w:color="auto"/>
              <w:left w:val="nil"/>
              <w:bottom w:val="single" w:sz="8" w:space="0" w:color="auto"/>
              <w:right w:val="single" w:sz="8" w:space="0" w:color="auto"/>
            </w:tcBorders>
            <w:shd w:val="clear" w:color="000000" w:fill="FFFFFF"/>
            <w:vAlign w:val="center"/>
            <w:hideMark/>
          </w:tcPr>
          <w:p w14:paraId="08D8A7B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5,061,277.00 </w:t>
            </w:r>
          </w:p>
        </w:tc>
        <w:tc>
          <w:tcPr>
            <w:tcW w:w="1220" w:type="dxa"/>
            <w:tcBorders>
              <w:top w:val="single" w:sz="8" w:space="0" w:color="auto"/>
              <w:left w:val="nil"/>
              <w:bottom w:val="single" w:sz="8" w:space="0" w:color="auto"/>
              <w:right w:val="single" w:sz="8" w:space="0" w:color="auto"/>
            </w:tcBorders>
            <w:shd w:val="clear" w:color="000000" w:fill="FFFFFF"/>
            <w:vAlign w:val="center"/>
            <w:hideMark/>
          </w:tcPr>
          <w:p w14:paraId="7AA69A6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10,094,931.52 </w:t>
            </w:r>
          </w:p>
        </w:tc>
        <w:tc>
          <w:tcPr>
            <w:tcW w:w="1140" w:type="dxa"/>
            <w:tcBorders>
              <w:top w:val="single" w:sz="8" w:space="0" w:color="auto"/>
              <w:left w:val="nil"/>
              <w:bottom w:val="nil"/>
              <w:right w:val="single" w:sz="8" w:space="0" w:color="auto"/>
            </w:tcBorders>
            <w:shd w:val="clear" w:color="auto" w:fill="auto"/>
            <w:vAlign w:val="center"/>
            <w:hideMark/>
          </w:tcPr>
          <w:p w14:paraId="647E3E7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099" w:type="dxa"/>
            <w:tcBorders>
              <w:top w:val="nil"/>
              <w:left w:val="nil"/>
              <w:bottom w:val="single" w:sz="8" w:space="0" w:color="auto"/>
              <w:right w:val="single" w:sz="8" w:space="0" w:color="auto"/>
            </w:tcBorders>
            <w:shd w:val="clear" w:color="000000" w:fill="FFFFFF"/>
            <w:vAlign w:val="center"/>
            <w:hideMark/>
          </w:tcPr>
          <w:p w14:paraId="5A2FBF3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KOSTT </w:t>
            </w:r>
          </w:p>
        </w:tc>
        <w:tc>
          <w:tcPr>
            <w:tcW w:w="1002" w:type="dxa"/>
            <w:tcBorders>
              <w:top w:val="nil"/>
              <w:left w:val="nil"/>
              <w:bottom w:val="single" w:sz="8" w:space="0" w:color="auto"/>
              <w:right w:val="single" w:sz="8" w:space="0" w:color="auto"/>
            </w:tcBorders>
            <w:shd w:val="clear" w:color="000000" w:fill="FFFFFF"/>
            <w:vAlign w:val="center"/>
            <w:hideMark/>
          </w:tcPr>
          <w:p w14:paraId="74C856B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KOSTT</w:t>
            </w:r>
          </w:p>
        </w:tc>
        <w:tc>
          <w:tcPr>
            <w:tcW w:w="1287" w:type="dxa"/>
            <w:tcBorders>
              <w:top w:val="nil"/>
              <w:left w:val="nil"/>
              <w:bottom w:val="single" w:sz="8" w:space="0" w:color="auto"/>
              <w:right w:val="single" w:sz="8" w:space="0" w:color="auto"/>
            </w:tcBorders>
            <w:shd w:val="clear" w:color="000000" w:fill="FFFFFF"/>
            <w:vAlign w:val="center"/>
            <w:hideMark/>
          </w:tcPr>
          <w:p w14:paraId="44B4406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Reduction of energy losses and unserved power</w:t>
            </w:r>
          </w:p>
          <w:p w14:paraId="52170AED" w14:textId="77777777" w:rsidR="006C1591" w:rsidRPr="0086165A" w:rsidRDefault="006C1591" w:rsidP="00571EAF">
            <w:pPr>
              <w:spacing w:after="0" w:line="240" w:lineRule="auto"/>
              <w:jc w:val="center"/>
              <w:rPr>
                <w:rFonts w:ascii="Times New Roman" w:eastAsia="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000000" w:fill="FFFFFF"/>
            <w:vAlign w:val="center"/>
            <w:hideMark/>
          </w:tcPr>
          <w:p w14:paraId="590B14B1"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2250" w:type="dxa"/>
            <w:tcBorders>
              <w:top w:val="nil"/>
              <w:left w:val="nil"/>
              <w:bottom w:val="nil"/>
              <w:right w:val="single" w:sz="8" w:space="0" w:color="auto"/>
            </w:tcBorders>
            <w:shd w:val="clear" w:color="000000" w:fill="FFFFFF"/>
            <w:vAlign w:val="center"/>
            <w:hideMark/>
          </w:tcPr>
          <w:p w14:paraId="54AC4406" w14:textId="58B0F9BC" w:rsidR="00CA0961" w:rsidRPr="00D94C33"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1. The project “Construction of Substation (SS) 110/35/10(20) kV </w:t>
            </w:r>
            <w:proofErr w:type="spellStart"/>
            <w:r>
              <w:rPr>
                <w:rFonts w:ascii="Times New Roman" w:hAnsi="Times New Roman"/>
                <w:sz w:val="18"/>
              </w:rPr>
              <w:t>Ferizaj</w:t>
            </w:r>
            <w:proofErr w:type="spellEnd"/>
            <w:r>
              <w:rPr>
                <w:rFonts w:ascii="Times New Roman" w:hAnsi="Times New Roman"/>
                <w:sz w:val="18"/>
              </w:rPr>
              <w:t xml:space="preserve"> 3” has been completed.  </w:t>
            </w:r>
          </w:p>
          <w:p w14:paraId="6151DAD8" w14:textId="324E447D" w:rsidR="00CA0961" w:rsidRPr="00D94C33"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2. The project “Construction of Substation (SS) 110/35/10(20) kV </w:t>
            </w:r>
            <w:proofErr w:type="spellStart"/>
            <w:r>
              <w:rPr>
                <w:rFonts w:ascii="Times New Roman" w:hAnsi="Times New Roman"/>
                <w:sz w:val="18"/>
              </w:rPr>
              <w:t>Fushe-Kosova</w:t>
            </w:r>
            <w:proofErr w:type="spellEnd"/>
            <w:r>
              <w:rPr>
                <w:rFonts w:ascii="Times New Roman" w:hAnsi="Times New Roman"/>
                <w:sz w:val="18"/>
              </w:rPr>
              <w:t xml:space="preserve">” with its accompanying line has been completed, and with </w:t>
            </w:r>
            <w:r>
              <w:rPr>
                <w:rFonts w:ascii="Times New Roman" w:hAnsi="Times New Roman"/>
                <w:sz w:val="18"/>
              </w:rPr>
              <w:lastRenderedPageBreak/>
              <w:t xml:space="preserve">the installation of the 40 MVA transformer, the substation was energized on 15.12.2024. </w:t>
            </w:r>
          </w:p>
          <w:p w14:paraId="1C458B47" w14:textId="335DD3E3" w:rsidR="00571EAF" w:rsidRPr="0014539F"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3. In accordance with the applicable laws, a design has been prepared for the 110/35/10(20) kV </w:t>
            </w:r>
            <w:proofErr w:type="spellStart"/>
            <w:r>
              <w:rPr>
                <w:rFonts w:ascii="Times New Roman" w:hAnsi="Times New Roman"/>
                <w:sz w:val="18"/>
              </w:rPr>
              <w:t>Malisheva</w:t>
            </w:r>
            <w:proofErr w:type="spellEnd"/>
            <w:r>
              <w:rPr>
                <w:rFonts w:ascii="Times New Roman" w:hAnsi="Times New Roman"/>
                <w:sz w:val="18"/>
              </w:rPr>
              <w:t xml:space="preserve"> Substation by the design company; construction conditions have been obtained, and the construction permit from MESPI is also expected. The technical specifications have been prepared, and the tender is expected to be announced during Q1 2025. The implementation period is planned for Q3 2025–Q4 2026. </w:t>
            </w:r>
          </w:p>
        </w:tc>
      </w:tr>
      <w:tr w:rsidR="00B36062" w:rsidRPr="0086165A" w14:paraId="17BC573B" w14:textId="77777777" w:rsidTr="004A694D">
        <w:trPr>
          <w:trHeight w:val="189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2CC857C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I.2.5</w:t>
            </w:r>
          </w:p>
        </w:tc>
        <w:tc>
          <w:tcPr>
            <w:tcW w:w="1974" w:type="dxa"/>
            <w:tcBorders>
              <w:top w:val="nil"/>
              <w:left w:val="nil"/>
              <w:bottom w:val="nil"/>
              <w:right w:val="nil"/>
            </w:tcBorders>
            <w:shd w:val="clear" w:color="000000" w:fill="FFFFFF"/>
            <w:vAlign w:val="center"/>
            <w:hideMark/>
          </w:tcPr>
          <w:p w14:paraId="1CDCE05D"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Medium Voltage </w:t>
            </w:r>
            <w:r>
              <w:rPr>
                <w:rFonts w:ascii="Times New Roman" w:hAnsi="Times New Roman"/>
                <w:sz w:val="18"/>
              </w:rPr>
              <w:br/>
              <w:t>Projects 35/10(20) kV</w:t>
            </w:r>
          </w:p>
        </w:tc>
        <w:tc>
          <w:tcPr>
            <w:tcW w:w="698" w:type="dxa"/>
            <w:tcBorders>
              <w:top w:val="nil"/>
              <w:left w:val="single" w:sz="8" w:space="0" w:color="auto"/>
              <w:bottom w:val="single" w:sz="8" w:space="0" w:color="auto"/>
              <w:right w:val="single" w:sz="8" w:space="0" w:color="auto"/>
            </w:tcBorders>
            <w:shd w:val="clear" w:color="000000" w:fill="FFFFFF"/>
            <w:vAlign w:val="center"/>
            <w:hideMark/>
          </w:tcPr>
          <w:p w14:paraId="60980C8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1059" w:type="dxa"/>
            <w:tcBorders>
              <w:top w:val="nil"/>
              <w:left w:val="nil"/>
              <w:bottom w:val="single" w:sz="8" w:space="0" w:color="auto"/>
              <w:right w:val="single" w:sz="8" w:space="0" w:color="auto"/>
            </w:tcBorders>
            <w:shd w:val="clear" w:color="000000" w:fill="FFFFFF"/>
            <w:vAlign w:val="center"/>
            <w:hideMark/>
          </w:tcPr>
          <w:p w14:paraId="442662F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€ 9,247,735.33 </w:t>
            </w:r>
          </w:p>
        </w:tc>
        <w:tc>
          <w:tcPr>
            <w:tcW w:w="1140" w:type="dxa"/>
            <w:tcBorders>
              <w:top w:val="nil"/>
              <w:left w:val="nil"/>
              <w:bottom w:val="single" w:sz="8" w:space="0" w:color="auto"/>
              <w:right w:val="single" w:sz="8" w:space="0" w:color="auto"/>
            </w:tcBorders>
            <w:shd w:val="clear" w:color="000000" w:fill="FFFFFF"/>
            <w:vAlign w:val="center"/>
            <w:hideMark/>
          </w:tcPr>
          <w:p w14:paraId="0FAFDDE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13,216,444.00 </w:t>
            </w:r>
          </w:p>
        </w:tc>
        <w:tc>
          <w:tcPr>
            <w:tcW w:w="1220" w:type="dxa"/>
            <w:tcBorders>
              <w:top w:val="nil"/>
              <w:left w:val="nil"/>
              <w:bottom w:val="single" w:sz="8" w:space="0" w:color="auto"/>
              <w:right w:val="single" w:sz="8" w:space="0" w:color="auto"/>
            </w:tcBorders>
            <w:shd w:val="clear" w:color="000000" w:fill="FFFFFF"/>
            <w:vAlign w:val="center"/>
            <w:hideMark/>
          </w:tcPr>
          <w:p w14:paraId="68E17D0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8,800,613.00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D873F2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7,232,203.00 </w:t>
            </w:r>
          </w:p>
        </w:tc>
        <w:tc>
          <w:tcPr>
            <w:tcW w:w="1099" w:type="dxa"/>
            <w:tcBorders>
              <w:top w:val="nil"/>
              <w:left w:val="nil"/>
              <w:bottom w:val="nil"/>
              <w:right w:val="single" w:sz="8" w:space="0" w:color="auto"/>
            </w:tcBorders>
            <w:shd w:val="clear" w:color="000000" w:fill="FFFFFF"/>
            <w:vAlign w:val="center"/>
            <w:hideMark/>
          </w:tcPr>
          <w:p w14:paraId="388E966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002" w:type="dxa"/>
            <w:tcBorders>
              <w:top w:val="nil"/>
              <w:left w:val="nil"/>
              <w:bottom w:val="nil"/>
              <w:right w:val="single" w:sz="8" w:space="0" w:color="auto"/>
            </w:tcBorders>
            <w:shd w:val="clear" w:color="000000" w:fill="FFFFFF"/>
            <w:vAlign w:val="center"/>
            <w:hideMark/>
          </w:tcPr>
          <w:p w14:paraId="512DDCF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287" w:type="dxa"/>
            <w:tcBorders>
              <w:top w:val="nil"/>
              <w:left w:val="nil"/>
              <w:bottom w:val="single" w:sz="8" w:space="0" w:color="auto"/>
              <w:right w:val="single" w:sz="8" w:space="0" w:color="auto"/>
            </w:tcBorders>
            <w:shd w:val="clear" w:color="000000" w:fill="FFFFFF"/>
            <w:vAlign w:val="center"/>
            <w:hideMark/>
          </w:tcPr>
          <w:p w14:paraId="6781E15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Improvement of the electricity supply quality</w:t>
            </w:r>
          </w:p>
        </w:tc>
        <w:tc>
          <w:tcPr>
            <w:tcW w:w="949" w:type="dxa"/>
            <w:tcBorders>
              <w:top w:val="nil"/>
              <w:left w:val="nil"/>
              <w:bottom w:val="single" w:sz="8" w:space="0" w:color="auto"/>
              <w:right w:val="single" w:sz="8" w:space="0" w:color="auto"/>
            </w:tcBorders>
            <w:shd w:val="clear" w:color="000000" w:fill="FFFFFF"/>
            <w:vAlign w:val="center"/>
            <w:hideMark/>
          </w:tcPr>
          <w:p w14:paraId="7CAFA87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r>
              <w:rPr>
                <w:rFonts w:ascii="Times New Roman" w:hAnsi="Times New Roman"/>
                <w:sz w:val="18"/>
              </w:rPr>
              <w:br/>
              <w:t>Distribution System Operator Development and Investment Plan for the period 2023-2027</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14:paraId="79DFBF57" w14:textId="152D15DB" w:rsidR="00571EAF" w:rsidRPr="0086165A" w:rsidRDefault="00CA0961"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7,330,808.67 ( Euro ).                                                                                                          In 2024, the medium-voltage investment projects implemented in 2024 were focused in regions such as: </w:t>
            </w:r>
            <w:proofErr w:type="spellStart"/>
            <w:r>
              <w:rPr>
                <w:rFonts w:ascii="Times New Roman" w:hAnsi="Times New Roman"/>
                <w:sz w:val="18"/>
              </w:rPr>
              <w:t>Lipjan</w:t>
            </w:r>
            <w:proofErr w:type="spellEnd"/>
            <w:r>
              <w:rPr>
                <w:rFonts w:ascii="Times New Roman" w:hAnsi="Times New Roman"/>
                <w:sz w:val="18"/>
              </w:rPr>
              <w:t xml:space="preserve">, </w:t>
            </w:r>
            <w:proofErr w:type="spellStart"/>
            <w:r>
              <w:rPr>
                <w:rFonts w:ascii="Times New Roman" w:hAnsi="Times New Roman"/>
                <w:sz w:val="18"/>
              </w:rPr>
              <w:t>Gjakovë</w:t>
            </w:r>
            <w:proofErr w:type="spellEnd"/>
            <w:r>
              <w:rPr>
                <w:rFonts w:ascii="Times New Roman" w:hAnsi="Times New Roman"/>
                <w:sz w:val="18"/>
              </w:rPr>
              <w:t xml:space="preserve">, </w:t>
            </w:r>
            <w:proofErr w:type="spellStart"/>
            <w:r>
              <w:rPr>
                <w:rFonts w:ascii="Times New Roman" w:hAnsi="Times New Roman"/>
                <w:sz w:val="18"/>
              </w:rPr>
              <w:t>Malishevë</w:t>
            </w:r>
            <w:proofErr w:type="spellEnd"/>
            <w:r>
              <w:rPr>
                <w:rFonts w:ascii="Times New Roman" w:hAnsi="Times New Roman"/>
                <w:sz w:val="18"/>
              </w:rPr>
              <w:t xml:space="preserve">, </w:t>
            </w:r>
            <w:proofErr w:type="spellStart"/>
            <w:r>
              <w:rPr>
                <w:rFonts w:ascii="Times New Roman" w:hAnsi="Times New Roman"/>
                <w:sz w:val="18"/>
              </w:rPr>
              <w:t>Skenderaj</w:t>
            </w:r>
            <w:proofErr w:type="spellEnd"/>
            <w:r>
              <w:rPr>
                <w:rFonts w:ascii="Times New Roman" w:hAnsi="Times New Roman"/>
                <w:sz w:val="18"/>
              </w:rPr>
              <w:t xml:space="preserve">, </w:t>
            </w:r>
            <w:proofErr w:type="spellStart"/>
            <w:r>
              <w:rPr>
                <w:rFonts w:ascii="Times New Roman" w:hAnsi="Times New Roman"/>
                <w:sz w:val="18"/>
              </w:rPr>
              <w:t>Vushtrri</w:t>
            </w:r>
            <w:proofErr w:type="spellEnd"/>
            <w:r>
              <w:rPr>
                <w:rFonts w:ascii="Times New Roman" w:hAnsi="Times New Roman"/>
                <w:sz w:val="18"/>
              </w:rPr>
              <w:t xml:space="preserve">, </w:t>
            </w:r>
            <w:proofErr w:type="spellStart"/>
            <w:r>
              <w:rPr>
                <w:rFonts w:ascii="Times New Roman" w:hAnsi="Times New Roman"/>
                <w:sz w:val="18"/>
              </w:rPr>
              <w:t>Klinë</w:t>
            </w:r>
            <w:proofErr w:type="spellEnd"/>
            <w:r>
              <w:rPr>
                <w:rFonts w:ascii="Times New Roman" w:hAnsi="Times New Roman"/>
                <w:sz w:val="18"/>
              </w:rPr>
              <w:t xml:space="preserve">, </w:t>
            </w:r>
            <w:proofErr w:type="spellStart"/>
            <w:r>
              <w:rPr>
                <w:rFonts w:ascii="Times New Roman" w:hAnsi="Times New Roman"/>
                <w:sz w:val="18"/>
              </w:rPr>
              <w:t>Pejë</w:t>
            </w:r>
            <w:proofErr w:type="spellEnd"/>
            <w:r>
              <w:rPr>
                <w:rFonts w:ascii="Times New Roman" w:hAnsi="Times New Roman"/>
                <w:sz w:val="18"/>
              </w:rPr>
              <w:t xml:space="preserve">, </w:t>
            </w:r>
            <w:proofErr w:type="spellStart"/>
            <w:r>
              <w:rPr>
                <w:rFonts w:ascii="Times New Roman" w:hAnsi="Times New Roman"/>
                <w:sz w:val="18"/>
              </w:rPr>
              <w:t>Deçan</w:t>
            </w:r>
            <w:proofErr w:type="spellEnd"/>
            <w:r>
              <w:rPr>
                <w:rFonts w:ascii="Times New Roman" w:hAnsi="Times New Roman"/>
                <w:sz w:val="18"/>
              </w:rPr>
              <w:t xml:space="preserve">, </w:t>
            </w:r>
            <w:proofErr w:type="spellStart"/>
            <w:r>
              <w:rPr>
                <w:rFonts w:ascii="Times New Roman" w:hAnsi="Times New Roman"/>
                <w:sz w:val="18"/>
              </w:rPr>
              <w:t>Obiliq</w:t>
            </w:r>
            <w:proofErr w:type="spellEnd"/>
            <w:r>
              <w:rPr>
                <w:rFonts w:ascii="Times New Roman" w:hAnsi="Times New Roman"/>
                <w:sz w:val="18"/>
              </w:rPr>
              <w:t xml:space="preserve">, </w:t>
            </w:r>
            <w:proofErr w:type="spellStart"/>
            <w:r>
              <w:rPr>
                <w:rFonts w:ascii="Times New Roman" w:hAnsi="Times New Roman"/>
                <w:sz w:val="18"/>
              </w:rPr>
              <w:t>Prishtinë</w:t>
            </w:r>
            <w:proofErr w:type="spellEnd"/>
            <w:r>
              <w:rPr>
                <w:rFonts w:ascii="Times New Roman" w:hAnsi="Times New Roman"/>
                <w:sz w:val="18"/>
              </w:rPr>
              <w:t xml:space="preserve">, </w:t>
            </w:r>
            <w:proofErr w:type="spellStart"/>
            <w:r>
              <w:rPr>
                <w:rFonts w:ascii="Times New Roman" w:hAnsi="Times New Roman"/>
                <w:sz w:val="18"/>
              </w:rPr>
              <w:t>Drenas</w:t>
            </w:r>
            <w:proofErr w:type="spellEnd"/>
            <w:r>
              <w:rPr>
                <w:rFonts w:ascii="Times New Roman" w:hAnsi="Times New Roman"/>
                <w:sz w:val="18"/>
              </w:rPr>
              <w:t xml:space="preserve">, </w:t>
            </w:r>
            <w:proofErr w:type="spellStart"/>
            <w:r>
              <w:rPr>
                <w:rFonts w:ascii="Times New Roman" w:hAnsi="Times New Roman"/>
                <w:sz w:val="18"/>
              </w:rPr>
              <w:t>Suharekë</w:t>
            </w:r>
            <w:proofErr w:type="spellEnd"/>
            <w:r>
              <w:rPr>
                <w:rFonts w:ascii="Times New Roman" w:hAnsi="Times New Roman"/>
                <w:sz w:val="18"/>
              </w:rPr>
              <w:t xml:space="preserve">, </w:t>
            </w:r>
            <w:proofErr w:type="spellStart"/>
            <w:r>
              <w:rPr>
                <w:rFonts w:ascii="Times New Roman" w:hAnsi="Times New Roman"/>
                <w:sz w:val="18"/>
              </w:rPr>
              <w:t>Dragash</w:t>
            </w:r>
            <w:proofErr w:type="spellEnd"/>
            <w:r>
              <w:rPr>
                <w:rFonts w:ascii="Times New Roman" w:hAnsi="Times New Roman"/>
                <w:sz w:val="18"/>
              </w:rPr>
              <w:t xml:space="preserve">, </w:t>
            </w:r>
            <w:proofErr w:type="spellStart"/>
            <w:r>
              <w:rPr>
                <w:rFonts w:ascii="Times New Roman" w:hAnsi="Times New Roman"/>
                <w:sz w:val="18"/>
              </w:rPr>
              <w:t>Ferizaj</w:t>
            </w:r>
            <w:proofErr w:type="spellEnd"/>
            <w:r>
              <w:rPr>
                <w:rFonts w:ascii="Times New Roman" w:hAnsi="Times New Roman"/>
                <w:sz w:val="18"/>
              </w:rPr>
              <w:t xml:space="preserve">, </w:t>
            </w:r>
            <w:proofErr w:type="spellStart"/>
            <w:r>
              <w:rPr>
                <w:rFonts w:ascii="Times New Roman" w:hAnsi="Times New Roman"/>
                <w:sz w:val="18"/>
              </w:rPr>
              <w:t>Fushë-Kosovë</w:t>
            </w:r>
            <w:proofErr w:type="spellEnd"/>
            <w:r>
              <w:rPr>
                <w:rFonts w:ascii="Times New Roman" w:hAnsi="Times New Roman"/>
                <w:sz w:val="18"/>
              </w:rPr>
              <w:t xml:space="preserve">, </w:t>
            </w:r>
            <w:proofErr w:type="spellStart"/>
            <w:r>
              <w:rPr>
                <w:rFonts w:ascii="Times New Roman" w:hAnsi="Times New Roman"/>
                <w:sz w:val="18"/>
              </w:rPr>
              <w:t>Kaçanik</w:t>
            </w:r>
            <w:proofErr w:type="spellEnd"/>
            <w:r>
              <w:rPr>
                <w:rFonts w:ascii="Times New Roman" w:hAnsi="Times New Roman"/>
                <w:sz w:val="18"/>
              </w:rPr>
              <w:t xml:space="preserve">, </w:t>
            </w:r>
            <w:proofErr w:type="spellStart"/>
            <w:r>
              <w:rPr>
                <w:rFonts w:ascii="Times New Roman" w:hAnsi="Times New Roman"/>
                <w:sz w:val="18"/>
              </w:rPr>
              <w:t>Kamenicë</w:t>
            </w:r>
            <w:proofErr w:type="spellEnd"/>
            <w:r>
              <w:rPr>
                <w:rFonts w:ascii="Times New Roman" w:hAnsi="Times New Roman"/>
                <w:sz w:val="18"/>
              </w:rPr>
              <w:t xml:space="preserve">, </w:t>
            </w:r>
            <w:proofErr w:type="spellStart"/>
            <w:r>
              <w:rPr>
                <w:rFonts w:ascii="Times New Roman" w:hAnsi="Times New Roman"/>
                <w:sz w:val="18"/>
              </w:rPr>
              <w:t>Prizren</w:t>
            </w:r>
            <w:proofErr w:type="spellEnd"/>
            <w:r>
              <w:rPr>
                <w:rFonts w:ascii="Times New Roman" w:hAnsi="Times New Roman"/>
                <w:sz w:val="18"/>
              </w:rPr>
              <w:t xml:space="preserve">, </w:t>
            </w:r>
            <w:proofErr w:type="spellStart"/>
            <w:r>
              <w:rPr>
                <w:rFonts w:ascii="Times New Roman" w:hAnsi="Times New Roman"/>
                <w:sz w:val="18"/>
              </w:rPr>
              <w:t>Rahovec</w:t>
            </w:r>
            <w:proofErr w:type="spellEnd"/>
            <w:r>
              <w:rPr>
                <w:rFonts w:ascii="Times New Roman" w:hAnsi="Times New Roman"/>
                <w:sz w:val="18"/>
              </w:rPr>
              <w:t>, and Viti. The medium-voltage network has been reinforced in line with future feeder plans. Within the MV and LV investments, all lines, substations, and other equipment that failed to meet technical criteria have been replaced. These projects aim to improve voltage levels and provide higher-quality electricity supply.</w:t>
            </w:r>
          </w:p>
        </w:tc>
      </w:tr>
      <w:tr w:rsidR="00B36062" w:rsidRPr="0086165A" w14:paraId="77F81754" w14:textId="77777777" w:rsidTr="004A694D">
        <w:trPr>
          <w:trHeight w:val="1455"/>
        </w:trPr>
        <w:tc>
          <w:tcPr>
            <w:tcW w:w="577" w:type="dxa"/>
            <w:tcBorders>
              <w:top w:val="nil"/>
              <w:left w:val="single" w:sz="8" w:space="0" w:color="auto"/>
              <w:bottom w:val="nil"/>
              <w:right w:val="single" w:sz="8" w:space="0" w:color="auto"/>
            </w:tcBorders>
            <w:shd w:val="clear" w:color="auto" w:fill="auto"/>
            <w:vAlign w:val="center"/>
            <w:hideMark/>
          </w:tcPr>
          <w:p w14:paraId="2F6B383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I.2.6</w:t>
            </w:r>
          </w:p>
        </w:tc>
        <w:tc>
          <w:tcPr>
            <w:tcW w:w="1974" w:type="dxa"/>
            <w:tcBorders>
              <w:top w:val="single" w:sz="8" w:space="0" w:color="auto"/>
              <w:left w:val="nil"/>
              <w:bottom w:val="nil"/>
              <w:right w:val="nil"/>
            </w:tcBorders>
            <w:shd w:val="clear" w:color="000000" w:fill="FFFFFF"/>
            <w:vAlign w:val="center"/>
            <w:hideMark/>
          </w:tcPr>
          <w:p w14:paraId="3F578DC3"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Low Voltage</w:t>
            </w:r>
            <w:r>
              <w:rPr>
                <w:rFonts w:ascii="Times New Roman" w:hAnsi="Times New Roman"/>
                <w:sz w:val="18"/>
              </w:rPr>
              <w:br/>
              <w:t>Projects 0.4 kV.</w:t>
            </w:r>
          </w:p>
        </w:tc>
        <w:tc>
          <w:tcPr>
            <w:tcW w:w="698" w:type="dxa"/>
            <w:tcBorders>
              <w:top w:val="nil"/>
              <w:left w:val="single" w:sz="8" w:space="0" w:color="auto"/>
              <w:bottom w:val="single" w:sz="8" w:space="0" w:color="auto"/>
              <w:right w:val="single" w:sz="8" w:space="0" w:color="auto"/>
            </w:tcBorders>
            <w:shd w:val="clear" w:color="000000" w:fill="FFFFFF"/>
            <w:vAlign w:val="center"/>
            <w:hideMark/>
          </w:tcPr>
          <w:p w14:paraId="1CE6432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1059" w:type="dxa"/>
            <w:tcBorders>
              <w:top w:val="nil"/>
              <w:left w:val="nil"/>
              <w:bottom w:val="single" w:sz="8" w:space="0" w:color="auto"/>
              <w:right w:val="single" w:sz="8" w:space="0" w:color="auto"/>
            </w:tcBorders>
            <w:shd w:val="clear" w:color="000000" w:fill="FFFFFF"/>
            <w:vAlign w:val="center"/>
            <w:hideMark/>
          </w:tcPr>
          <w:p w14:paraId="48AA72A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€ 6,086,381.41 </w:t>
            </w:r>
          </w:p>
        </w:tc>
        <w:tc>
          <w:tcPr>
            <w:tcW w:w="1140" w:type="dxa"/>
            <w:tcBorders>
              <w:top w:val="nil"/>
              <w:left w:val="nil"/>
              <w:bottom w:val="single" w:sz="8" w:space="0" w:color="auto"/>
              <w:right w:val="single" w:sz="8" w:space="0" w:color="auto"/>
            </w:tcBorders>
            <w:shd w:val="clear" w:color="000000" w:fill="FFFFFF"/>
            <w:vAlign w:val="center"/>
            <w:hideMark/>
          </w:tcPr>
          <w:p w14:paraId="4DFC46F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7,025,149.00 </w:t>
            </w:r>
          </w:p>
        </w:tc>
        <w:tc>
          <w:tcPr>
            <w:tcW w:w="1220" w:type="dxa"/>
            <w:tcBorders>
              <w:top w:val="nil"/>
              <w:left w:val="nil"/>
              <w:bottom w:val="single" w:sz="8" w:space="0" w:color="auto"/>
              <w:right w:val="single" w:sz="8" w:space="0" w:color="auto"/>
            </w:tcBorders>
            <w:shd w:val="clear" w:color="000000" w:fill="FFFFFF"/>
            <w:vAlign w:val="center"/>
            <w:hideMark/>
          </w:tcPr>
          <w:p w14:paraId="623AEEE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13,795,229.00 </w:t>
            </w:r>
          </w:p>
        </w:tc>
        <w:tc>
          <w:tcPr>
            <w:tcW w:w="1140" w:type="dxa"/>
            <w:tcBorders>
              <w:top w:val="nil"/>
              <w:left w:val="nil"/>
              <w:bottom w:val="single" w:sz="8" w:space="0" w:color="auto"/>
              <w:right w:val="single" w:sz="8" w:space="0" w:color="auto"/>
            </w:tcBorders>
            <w:shd w:val="clear" w:color="000000" w:fill="FFFFFF"/>
            <w:vAlign w:val="center"/>
            <w:hideMark/>
          </w:tcPr>
          <w:p w14:paraId="09EB31B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9,677,563.00 </w:t>
            </w:r>
          </w:p>
        </w:tc>
        <w:tc>
          <w:tcPr>
            <w:tcW w:w="1099" w:type="dxa"/>
            <w:tcBorders>
              <w:top w:val="single" w:sz="8" w:space="0" w:color="auto"/>
              <w:left w:val="nil"/>
              <w:bottom w:val="nil"/>
              <w:right w:val="single" w:sz="8" w:space="0" w:color="auto"/>
            </w:tcBorders>
            <w:shd w:val="clear" w:color="000000" w:fill="FFFFFF"/>
            <w:vAlign w:val="center"/>
            <w:hideMark/>
          </w:tcPr>
          <w:p w14:paraId="1EDE01C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002" w:type="dxa"/>
            <w:tcBorders>
              <w:top w:val="single" w:sz="8" w:space="0" w:color="auto"/>
              <w:left w:val="nil"/>
              <w:bottom w:val="nil"/>
              <w:right w:val="single" w:sz="8" w:space="0" w:color="auto"/>
            </w:tcBorders>
            <w:shd w:val="clear" w:color="000000" w:fill="FFFFFF"/>
            <w:vAlign w:val="center"/>
            <w:hideMark/>
          </w:tcPr>
          <w:p w14:paraId="45F63AA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287" w:type="dxa"/>
            <w:tcBorders>
              <w:top w:val="nil"/>
              <w:left w:val="nil"/>
              <w:bottom w:val="single" w:sz="8" w:space="0" w:color="auto"/>
              <w:right w:val="single" w:sz="8" w:space="0" w:color="auto"/>
            </w:tcBorders>
            <w:shd w:val="clear" w:color="000000" w:fill="FFFFFF"/>
            <w:vAlign w:val="center"/>
            <w:hideMark/>
          </w:tcPr>
          <w:p w14:paraId="1234137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Improvement of the electricity supply quality</w:t>
            </w:r>
          </w:p>
        </w:tc>
        <w:tc>
          <w:tcPr>
            <w:tcW w:w="949" w:type="dxa"/>
            <w:tcBorders>
              <w:top w:val="nil"/>
              <w:left w:val="nil"/>
              <w:bottom w:val="single" w:sz="8" w:space="0" w:color="auto"/>
              <w:right w:val="single" w:sz="8" w:space="0" w:color="auto"/>
            </w:tcBorders>
            <w:shd w:val="clear" w:color="000000" w:fill="FFFFFF"/>
            <w:vAlign w:val="center"/>
            <w:hideMark/>
          </w:tcPr>
          <w:p w14:paraId="72DAD7E6" w14:textId="4E9B40C5"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r>
              <w:rPr>
                <w:rFonts w:ascii="Times New Roman" w:hAnsi="Times New Roman"/>
                <w:sz w:val="18"/>
              </w:rPr>
              <w:br/>
              <w:t>Distribution System Operator Development and Investment Plan for the period 2023-2027</w:t>
            </w:r>
          </w:p>
        </w:tc>
        <w:tc>
          <w:tcPr>
            <w:tcW w:w="2250" w:type="dxa"/>
            <w:tcBorders>
              <w:top w:val="nil"/>
              <w:left w:val="nil"/>
              <w:bottom w:val="single" w:sz="8" w:space="0" w:color="auto"/>
              <w:right w:val="single" w:sz="8" w:space="0" w:color="auto"/>
            </w:tcBorders>
            <w:shd w:val="clear" w:color="auto" w:fill="auto"/>
            <w:vAlign w:val="center"/>
            <w:hideMark/>
          </w:tcPr>
          <w:p w14:paraId="50998A70" w14:textId="2D7DB185" w:rsidR="00CA0961" w:rsidRPr="0086165A" w:rsidRDefault="00CA0961" w:rsidP="00CA0961">
            <w:pPr>
              <w:spacing w:after="0" w:line="240" w:lineRule="auto"/>
              <w:rPr>
                <w:rFonts w:ascii="Times New Roman" w:eastAsia="Times New Roman" w:hAnsi="Times New Roman" w:cs="Times New Roman"/>
                <w:sz w:val="18"/>
                <w:szCs w:val="18"/>
              </w:rPr>
            </w:pPr>
            <w:r>
              <w:rPr>
                <w:rFonts w:ascii="Times New Roman" w:hAnsi="Times New Roman"/>
                <w:sz w:val="18"/>
              </w:rPr>
              <w:t xml:space="preserve">8,699,661.75  Euro.                                                                                               In 2024, the low-voltage investment projects implemented in 2024 were directed toward the regions of </w:t>
            </w:r>
            <w:proofErr w:type="spellStart"/>
            <w:r>
              <w:rPr>
                <w:rFonts w:ascii="Times New Roman" w:hAnsi="Times New Roman"/>
                <w:sz w:val="18"/>
              </w:rPr>
              <w:t>Lipjan</w:t>
            </w:r>
            <w:proofErr w:type="spellEnd"/>
            <w:r>
              <w:rPr>
                <w:rFonts w:ascii="Times New Roman" w:hAnsi="Times New Roman"/>
                <w:sz w:val="18"/>
              </w:rPr>
              <w:t xml:space="preserve">, </w:t>
            </w:r>
            <w:proofErr w:type="spellStart"/>
            <w:r>
              <w:rPr>
                <w:rFonts w:ascii="Times New Roman" w:hAnsi="Times New Roman"/>
                <w:sz w:val="18"/>
              </w:rPr>
              <w:t>Gjakovë</w:t>
            </w:r>
            <w:proofErr w:type="spellEnd"/>
            <w:r>
              <w:rPr>
                <w:rFonts w:ascii="Times New Roman" w:hAnsi="Times New Roman"/>
                <w:sz w:val="18"/>
              </w:rPr>
              <w:t xml:space="preserve">, </w:t>
            </w:r>
            <w:proofErr w:type="spellStart"/>
            <w:r>
              <w:rPr>
                <w:rFonts w:ascii="Times New Roman" w:hAnsi="Times New Roman"/>
                <w:sz w:val="18"/>
              </w:rPr>
              <w:t>Malishevë</w:t>
            </w:r>
            <w:proofErr w:type="spellEnd"/>
            <w:r>
              <w:rPr>
                <w:rFonts w:ascii="Times New Roman" w:hAnsi="Times New Roman"/>
                <w:sz w:val="18"/>
              </w:rPr>
              <w:t xml:space="preserve">, </w:t>
            </w:r>
            <w:proofErr w:type="spellStart"/>
            <w:r>
              <w:rPr>
                <w:rFonts w:ascii="Times New Roman" w:hAnsi="Times New Roman"/>
                <w:sz w:val="18"/>
              </w:rPr>
              <w:t>Skenderaj</w:t>
            </w:r>
            <w:proofErr w:type="spellEnd"/>
            <w:r>
              <w:rPr>
                <w:rFonts w:ascii="Times New Roman" w:hAnsi="Times New Roman"/>
                <w:sz w:val="18"/>
              </w:rPr>
              <w:t xml:space="preserve">, </w:t>
            </w:r>
            <w:proofErr w:type="spellStart"/>
            <w:r>
              <w:rPr>
                <w:rFonts w:ascii="Times New Roman" w:hAnsi="Times New Roman"/>
                <w:sz w:val="18"/>
              </w:rPr>
              <w:t>Vushtrri</w:t>
            </w:r>
            <w:proofErr w:type="spellEnd"/>
            <w:r>
              <w:rPr>
                <w:rFonts w:ascii="Times New Roman" w:hAnsi="Times New Roman"/>
                <w:sz w:val="18"/>
              </w:rPr>
              <w:t xml:space="preserve">, </w:t>
            </w:r>
            <w:proofErr w:type="spellStart"/>
            <w:r>
              <w:rPr>
                <w:rFonts w:ascii="Times New Roman" w:hAnsi="Times New Roman"/>
                <w:sz w:val="18"/>
              </w:rPr>
              <w:t>Mitrovicë</w:t>
            </w:r>
            <w:proofErr w:type="spellEnd"/>
            <w:r>
              <w:rPr>
                <w:rFonts w:ascii="Times New Roman" w:hAnsi="Times New Roman"/>
                <w:sz w:val="18"/>
              </w:rPr>
              <w:t xml:space="preserve">, </w:t>
            </w:r>
            <w:proofErr w:type="spellStart"/>
            <w:r>
              <w:rPr>
                <w:rFonts w:ascii="Times New Roman" w:hAnsi="Times New Roman"/>
                <w:sz w:val="18"/>
              </w:rPr>
              <w:t>Klinë</w:t>
            </w:r>
            <w:proofErr w:type="spellEnd"/>
            <w:r>
              <w:rPr>
                <w:rFonts w:ascii="Times New Roman" w:hAnsi="Times New Roman"/>
                <w:sz w:val="18"/>
              </w:rPr>
              <w:t xml:space="preserve">, </w:t>
            </w:r>
            <w:proofErr w:type="spellStart"/>
            <w:r>
              <w:rPr>
                <w:rFonts w:ascii="Times New Roman" w:hAnsi="Times New Roman"/>
                <w:sz w:val="18"/>
              </w:rPr>
              <w:t>Pejë</w:t>
            </w:r>
            <w:proofErr w:type="spellEnd"/>
            <w:r>
              <w:rPr>
                <w:rFonts w:ascii="Times New Roman" w:hAnsi="Times New Roman"/>
                <w:sz w:val="18"/>
              </w:rPr>
              <w:t xml:space="preserve">, </w:t>
            </w:r>
            <w:proofErr w:type="spellStart"/>
            <w:r>
              <w:rPr>
                <w:rFonts w:ascii="Times New Roman" w:hAnsi="Times New Roman"/>
                <w:sz w:val="18"/>
              </w:rPr>
              <w:t>Deçan</w:t>
            </w:r>
            <w:proofErr w:type="spellEnd"/>
            <w:r>
              <w:rPr>
                <w:rFonts w:ascii="Times New Roman" w:hAnsi="Times New Roman"/>
                <w:sz w:val="18"/>
              </w:rPr>
              <w:t xml:space="preserve">, </w:t>
            </w:r>
            <w:proofErr w:type="spellStart"/>
            <w:r>
              <w:rPr>
                <w:rFonts w:ascii="Times New Roman" w:hAnsi="Times New Roman"/>
                <w:sz w:val="18"/>
              </w:rPr>
              <w:t>Obiliq</w:t>
            </w:r>
            <w:proofErr w:type="spellEnd"/>
            <w:r>
              <w:rPr>
                <w:rFonts w:ascii="Times New Roman" w:hAnsi="Times New Roman"/>
                <w:sz w:val="18"/>
              </w:rPr>
              <w:t xml:space="preserve">, </w:t>
            </w:r>
            <w:proofErr w:type="spellStart"/>
            <w:r>
              <w:rPr>
                <w:rFonts w:ascii="Times New Roman" w:hAnsi="Times New Roman"/>
                <w:sz w:val="18"/>
              </w:rPr>
              <w:t>Podujevë</w:t>
            </w:r>
            <w:proofErr w:type="spellEnd"/>
            <w:r>
              <w:rPr>
                <w:rFonts w:ascii="Times New Roman" w:hAnsi="Times New Roman"/>
                <w:sz w:val="18"/>
              </w:rPr>
              <w:t xml:space="preserve">, </w:t>
            </w:r>
            <w:proofErr w:type="spellStart"/>
            <w:r>
              <w:rPr>
                <w:rFonts w:ascii="Times New Roman" w:hAnsi="Times New Roman"/>
                <w:sz w:val="18"/>
              </w:rPr>
              <w:t>Prishtinë</w:t>
            </w:r>
            <w:proofErr w:type="spellEnd"/>
            <w:r>
              <w:rPr>
                <w:rFonts w:ascii="Times New Roman" w:hAnsi="Times New Roman"/>
                <w:sz w:val="18"/>
              </w:rPr>
              <w:t xml:space="preserve">, </w:t>
            </w:r>
            <w:proofErr w:type="spellStart"/>
            <w:r>
              <w:rPr>
                <w:rFonts w:ascii="Times New Roman" w:hAnsi="Times New Roman"/>
                <w:sz w:val="18"/>
              </w:rPr>
              <w:t>Drenas</w:t>
            </w:r>
            <w:proofErr w:type="spellEnd"/>
            <w:r>
              <w:rPr>
                <w:rFonts w:ascii="Times New Roman" w:hAnsi="Times New Roman"/>
                <w:sz w:val="18"/>
              </w:rPr>
              <w:t xml:space="preserve">, </w:t>
            </w:r>
            <w:proofErr w:type="spellStart"/>
            <w:r>
              <w:rPr>
                <w:rFonts w:ascii="Times New Roman" w:hAnsi="Times New Roman"/>
                <w:sz w:val="18"/>
              </w:rPr>
              <w:t>Suharekë</w:t>
            </w:r>
            <w:proofErr w:type="spellEnd"/>
            <w:r>
              <w:rPr>
                <w:rFonts w:ascii="Times New Roman" w:hAnsi="Times New Roman"/>
                <w:sz w:val="18"/>
              </w:rPr>
              <w:t xml:space="preserve">, </w:t>
            </w:r>
            <w:proofErr w:type="spellStart"/>
            <w:r>
              <w:rPr>
                <w:rFonts w:ascii="Times New Roman" w:hAnsi="Times New Roman"/>
                <w:sz w:val="18"/>
              </w:rPr>
              <w:t>Dragash</w:t>
            </w:r>
            <w:proofErr w:type="spellEnd"/>
            <w:r>
              <w:rPr>
                <w:rFonts w:ascii="Times New Roman" w:hAnsi="Times New Roman"/>
                <w:sz w:val="18"/>
              </w:rPr>
              <w:t xml:space="preserve">, </w:t>
            </w:r>
            <w:proofErr w:type="spellStart"/>
            <w:r>
              <w:rPr>
                <w:rFonts w:ascii="Times New Roman" w:hAnsi="Times New Roman"/>
                <w:sz w:val="18"/>
              </w:rPr>
              <w:t>Ferizaj</w:t>
            </w:r>
            <w:proofErr w:type="spellEnd"/>
            <w:r>
              <w:rPr>
                <w:rFonts w:ascii="Times New Roman" w:hAnsi="Times New Roman"/>
                <w:sz w:val="18"/>
              </w:rPr>
              <w:t xml:space="preserve">, </w:t>
            </w:r>
            <w:proofErr w:type="spellStart"/>
            <w:r>
              <w:rPr>
                <w:rFonts w:ascii="Times New Roman" w:hAnsi="Times New Roman"/>
                <w:sz w:val="18"/>
              </w:rPr>
              <w:t>Fushë-Kosovë</w:t>
            </w:r>
            <w:proofErr w:type="spellEnd"/>
            <w:r>
              <w:rPr>
                <w:rFonts w:ascii="Times New Roman" w:hAnsi="Times New Roman"/>
                <w:sz w:val="18"/>
              </w:rPr>
              <w:t xml:space="preserve">, </w:t>
            </w:r>
            <w:proofErr w:type="spellStart"/>
            <w:r>
              <w:rPr>
                <w:rFonts w:ascii="Times New Roman" w:hAnsi="Times New Roman"/>
                <w:sz w:val="18"/>
              </w:rPr>
              <w:t>Gjilan</w:t>
            </w:r>
            <w:proofErr w:type="spellEnd"/>
            <w:r>
              <w:rPr>
                <w:rFonts w:ascii="Times New Roman" w:hAnsi="Times New Roman"/>
                <w:sz w:val="18"/>
              </w:rPr>
              <w:t xml:space="preserve">, </w:t>
            </w:r>
            <w:proofErr w:type="spellStart"/>
            <w:r>
              <w:rPr>
                <w:rFonts w:ascii="Times New Roman" w:hAnsi="Times New Roman"/>
                <w:sz w:val="18"/>
              </w:rPr>
              <w:t>Kaçanik</w:t>
            </w:r>
            <w:proofErr w:type="spellEnd"/>
            <w:r>
              <w:rPr>
                <w:rFonts w:ascii="Times New Roman" w:hAnsi="Times New Roman"/>
                <w:sz w:val="18"/>
              </w:rPr>
              <w:t xml:space="preserve">, </w:t>
            </w:r>
            <w:proofErr w:type="spellStart"/>
            <w:r>
              <w:rPr>
                <w:rFonts w:ascii="Times New Roman" w:hAnsi="Times New Roman"/>
                <w:sz w:val="18"/>
              </w:rPr>
              <w:t>Kamenicë</w:t>
            </w:r>
            <w:proofErr w:type="spellEnd"/>
            <w:r>
              <w:rPr>
                <w:rFonts w:ascii="Times New Roman" w:hAnsi="Times New Roman"/>
                <w:sz w:val="18"/>
              </w:rPr>
              <w:t xml:space="preserve">, </w:t>
            </w:r>
            <w:proofErr w:type="spellStart"/>
            <w:r>
              <w:rPr>
                <w:rFonts w:ascii="Times New Roman" w:hAnsi="Times New Roman"/>
                <w:sz w:val="18"/>
              </w:rPr>
              <w:t>Prizren</w:t>
            </w:r>
            <w:proofErr w:type="spellEnd"/>
            <w:r>
              <w:rPr>
                <w:rFonts w:ascii="Times New Roman" w:hAnsi="Times New Roman"/>
                <w:sz w:val="18"/>
              </w:rPr>
              <w:t xml:space="preserve">, </w:t>
            </w:r>
            <w:proofErr w:type="spellStart"/>
            <w:r>
              <w:rPr>
                <w:rFonts w:ascii="Times New Roman" w:hAnsi="Times New Roman"/>
                <w:sz w:val="18"/>
              </w:rPr>
              <w:t>Rahovec</w:t>
            </w:r>
            <w:proofErr w:type="spellEnd"/>
            <w:r>
              <w:rPr>
                <w:rFonts w:ascii="Times New Roman" w:hAnsi="Times New Roman"/>
                <w:sz w:val="18"/>
              </w:rPr>
              <w:t xml:space="preserve">, </w:t>
            </w:r>
            <w:proofErr w:type="spellStart"/>
            <w:r>
              <w:rPr>
                <w:rFonts w:ascii="Times New Roman" w:hAnsi="Times New Roman"/>
                <w:sz w:val="18"/>
              </w:rPr>
              <w:t>Shtime</w:t>
            </w:r>
            <w:proofErr w:type="spellEnd"/>
            <w:r>
              <w:rPr>
                <w:rFonts w:ascii="Times New Roman" w:hAnsi="Times New Roman"/>
                <w:sz w:val="18"/>
              </w:rPr>
              <w:t>, and Viti. Investments in the low-voltage network are divided into network reinforcement projects and network expansion projects. The new connections implemented by the DSO also fall under the category of network expansion.</w:t>
            </w:r>
          </w:p>
          <w:p w14:paraId="2D60DC81" w14:textId="77777777" w:rsidR="00571EAF" w:rsidRPr="0086165A" w:rsidRDefault="00CA0961" w:rsidP="00CA0961">
            <w:pPr>
              <w:spacing w:after="0" w:line="240" w:lineRule="auto"/>
              <w:rPr>
                <w:rFonts w:ascii="Times New Roman" w:eastAsia="Times New Roman" w:hAnsi="Times New Roman" w:cs="Times New Roman"/>
                <w:sz w:val="18"/>
                <w:szCs w:val="18"/>
              </w:rPr>
            </w:pPr>
            <w:r>
              <w:rPr>
                <w:rFonts w:ascii="Times New Roman" w:hAnsi="Times New Roman"/>
                <w:sz w:val="18"/>
              </w:rPr>
              <w:t>Throughout the DSO network, there are sections requiring investment due to outdated conditions. To invest in the most critical areas, the analysis was conducted by taking into account priority criteria for project selection.</w:t>
            </w:r>
          </w:p>
        </w:tc>
      </w:tr>
      <w:tr w:rsidR="00B36062" w:rsidRPr="0086165A" w14:paraId="1A038809" w14:textId="77777777" w:rsidTr="004A694D">
        <w:trPr>
          <w:trHeight w:val="2685"/>
        </w:trPr>
        <w:tc>
          <w:tcPr>
            <w:tcW w:w="5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3E2E3" w14:textId="77777777" w:rsidR="00571EAF" w:rsidRPr="0086165A" w:rsidRDefault="00EE3010"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"I.2.7</w:t>
            </w:r>
          </w:p>
        </w:tc>
        <w:tc>
          <w:tcPr>
            <w:tcW w:w="1974" w:type="dxa"/>
            <w:tcBorders>
              <w:top w:val="single" w:sz="8" w:space="0" w:color="auto"/>
              <w:left w:val="nil"/>
              <w:bottom w:val="single" w:sz="8" w:space="0" w:color="auto"/>
              <w:right w:val="single" w:sz="8" w:space="0" w:color="auto"/>
            </w:tcBorders>
            <w:shd w:val="clear" w:color="000000" w:fill="FFFFFF"/>
            <w:noWrap/>
            <w:vAlign w:val="center"/>
            <w:hideMark/>
          </w:tcPr>
          <w:p w14:paraId="4143CB33" w14:textId="351098BD"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Smart Grid</w:t>
            </w:r>
          </w:p>
        </w:tc>
        <w:tc>
          <w:tcPr>
            <w:tcW w:w="698" w:type="dxa"/>
            <w:tcBorders>
              <w:top w:val="nil"/>
              <w:left w:val="nil"/>
              <w:bottom w:val="single" w:sz="8" w:space="0" w:color="auto"/>
              <w:right w:val="single" w:sz="8" w:space="0" w:color="auto"/>
            </w:tcBorders>
            <w:shd w:val="clear" w:color="000000" w:fill="FFFFFF"/>
            <w:vAlign w:val="center"/>
            <w:hideMark/>
          </w:tcPr>
          <w:p w14:paraId="60D727D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1059" w:type="dxa"/>
            <w:tcBorders>
              <w:top w:val="nil"/>
              <w:left w:val="nil"/>
              <w:bottom w:val="single" w:sz="8" w:space="0" w:color="auto"/>
              <w:right w:val="single" w:sz="8" w:space="0" w:color="auto"/>
            </w:tcBorders>
            <w:shd w:val="clear" w:color="000000" w:fill="FFFFFF"/>
            <w:vAlign w:val="center"/>
            <w:hideMark/>
          </w:tcPr>
          <w:p w14:paraId="392115F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14,513.93 </w:t>
            </w:r>
          </w:p>
        </w:tc>
        <w:tc>
          <w:tcPr>
            <w:tcW w:w="1140" w:type="dxa"/>
            <w:tcBorders>
              <w:top w:val="nil"/>
              <w:left w:val="nil"/>
              <w:bottom w:val="single" w:sz="8" w:space="0" w:color="auto"/>
              <w:right w:val="single" w:sz="8" w:space="0" w:color="auto"/>
            </w:tcBorders>
            <w:shd w:val="clear" w:color="000000" w:fill="FFFFFF"/>
            <w:vAlign w:val="center"/>
            <w:hideMark/>
          </w:tcPr>
          <w:p w14:paraId="45536B0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2,413,843.29 </w:t>
            </w:r>
          </w:p>
        </w:tc>
        <w:tc>
          <w:tcPr>
            <w:tcW w:w="1220" w:type="dxa"/>
            <w:tcBorders>
              <w:top w:val="nil"/>
              <w:left w:val="nil"/>
              <w:bottom w:val="single" w:sz="8" w:space="0" w:color="auto"/>
              <w:right w:val="single" w:sz="8" w:space="0" w:color="auto"/>
            </w:tcBorders>
            <w:shd w:val="clear" w:color="000000" w:fill="FFFFFF"/>
            <w:vAlign w:val="center"/>
            <w:hideMark/>
          </w:tcPr>
          <w:p w14:paraId="2C3EF43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3,444,527.64 </w:t>
            </w:r>
          </w:p>
        </w:tc>
        <w:tc>
          <w:tcPr>
            <w:tcW w:w="1140" w:type="dxa"/>
            <w:tcBorders>
              <w:top w:val="nil"/>
              <w:left w:val="nil"/>
              <w:bottom w:val="single" w:sz="8" w:space="0" w:color="auto"/>
              <w:right w:val="single" w:sz="8" w:space="0" w:color="auto"/>
            </w:tcBorders>
            <w:shd w:val="clear" w:color="000000" w:fill="FFFFFF"/>
            <w:vAlign w:val="center"/>
            <w:hideMark/>
          </w:tcPr>
          <w:p w14:paraId="062CC78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1,765,071.00 </w:t>
            </w:r>
          </w:p>
        </w:tc>
        <w:tc>
          <w:tcPr>
            <w:tcW w:w="1099" w:type="dxa"/>
            <w:tcBorders>
              <w:top w:val="single" w:sz="8" w:space="0" w:color="auto"/>
              <w:left w:val="nil"/>
              <w:bottom w:val="nil"/>
              <w:right w:val="single" w:sz="8" w:space="0" w:color="auto"/>
            </w:tcBorders>
            <w:shd w:val="clear" w:color="000000" w:fill="FFFFFF"/>
            <w:vAlign w:val="center"/>
            <w:hideMark/>
          </w:tcPr>
          <w:p w14:paraId="7EEFCAE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002" w:type="dxa"/>
            <w:tcBorders>
              <w:top w:val="single" w:sz="8" w:space="0" w:color="auto"/>
              <w:left w:val="nil"/>
              <w:bottom w:val="nil"/>
              <w:right w:val="single" w:sz="8" w:space="0" w:color="auto"/>
            </w:tcBorders>
            <w:shd w:val="clear" w:color="000000" w:fill="FFFFFF"/>
            <w:vAlign w:val="center"/>
            <w:hideMark/>
          </w:tcPr>
          <w:p w14:paraId="5046FA1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287" w:type="dxa"/>
            <w:tcBorders>
              <w:top w:val="nil"/>
              <w:left w:val="nil"/>
              <w:bottom w:val="single" w:sz="8" w:space="0" w:color="auto"/>
              <w:right w:val="single" w:sz="8" w:space="0" w:color="auto"/>
            </w:tcBorders>
            <w:shd w:val="clear" w:color="000000" w:fill="FFFFFF"/>
            <w:vAlign w:val="center"/>
            <w:hideMark/>
          </w:tcPr>
          <w:p w14:paraId="4DF55B5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Improvement of the electricity supply quality</w:t>
            </w:r>
          </w:p>
        </w:tc>
        <w:tc>
          <w:tcPr>
            <w:tcW w:w="949" w:type="dxa"/>
            <w:tcBorders>
              <w:top w:val="nil"/>
              <w:left w:val="nil"/>
              <w:bottom w:val="single" w:sz="8" w:space="0" w:color="auto"/>
              <w:right w:val="single" w:sz="8" w:space="0" w:color="auto"/>
            </w:tcBorders>
            <w:shd w:val="clear" w:color="000000" w:fill="FFFFFF"/>
            <w:vAlign w:val="center"/>
            <w:hideMark/>
          </w:tcPr>
          <w:p w14:paraId="58BDCC4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r>
              <w:rPr>
                <w:rFonts w:ascii="Times New Roman" w:hAnsi="Times New Roman"/>
                <w:sz w:val="18"/>
              </w:rPr>
              <w:br/>
              <w:t xml:space="preserve">Distribution System Operator Development and Investment Plan for the period </w:t>
            </w:r>
            <w:r>
              <w:rPr>
                <w:rFonts w:ascii="Times New Roman" w:hAnsi="Times New Roman"/>
                <w:sz w:val="18"/>
              </w:rPr>
              <w:lastRenderedPageBreak/>
              <w:t>2023-2027</w:t>
            </w:r>
          </w:p>
        </w:tc>
        <w:tc>
          <w:tcPr>
            <w:tcW w:w="2250" w:type="dxa"/>
            <w:tcBorders>
              <w:top w:val="nil"/>
              <w:left w:val="nil"/>
              <w:bottom w:val="nil"/>
              <w:right w:val="single" w:sz="8" w:space="0" w:color="auto"/>
            </w:tcBorders>
            <w:shd w:val="clear" w:color="auto" w:fill="auto"/>
            <w:vAlign w:val="center"/>
            <w:hideMark/>
          </w:tcPr>
          <w:p w14:paraId="0453B2EB" w14:textId="43A4BBC3" w:rsidR="00571EAF" w:rsidRPr="0086165A"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lastRenderedPageBreak/>
              <w:t xml:space="preserve">3,841,450.46 Euro.                                                                                                        In 2024, there were numerous investments in the distribution network, increasing its efficiency and reliability. The main investments include the placement of smart devices, the installation of the SCADA system in the facilities, the replacement of power transformers and relays in the substations, and the commencement of the GIS project. We have also established a second SCADA control center and </w:t>
            </w:r>
            <w:r>
              <w:rPr>
                <w:rFonts w:ascii="Times New Roman" w:hAnsi="Times New Roman"/>
                <w:sz w:val="18"/>
              </w:rPr>
              <w:lastRenderedPageBreak/>
              <w:t>installed the first reactor in the network. All these investments have improved monitoring, fault detection, and the overall performance of the network, ensuring higher energy quality and reducing outage times for consumers.</w:t>
            </w:r>
          </w:p>
        </w:tc>
      </w:tr>
      <w:tr w:rsidR="00B36062" w:rsidRPr="0086165A" w14:paraId="5452672E" w14:textId="77777777" w:rsidTr="004A694D">
        <w:trPr>
          <w:trHeight w:val="2655"/>
        </w:trPr>
        <w:tc>
          <w:tcPr>
            <w:tcW w:w="577" w:type="dxa"/>
            <w:tcBorders>
              <w:top w:val="nil"/>
              <w:left w:val="single" w:sz="8" w:space="0" w:color="auto"/>
              <w:bottom w:val="nil"/>
              <w:right w:val="single" w:sz="8" w:space="0" w:color="auto"/>
            </w:tcBorders>
            <w:shd w:val="clear" w:color="auto" w:fill="auto"/>
            <w:vAlign w:val="center"/>
            <w:hideMark/>
          </w:tcPr>
          <w:p w14:paraId="1486909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I.2.8</w:t>
            </w:r>
          </w:p>
        </w:tc>
        <w:tc>
          <w:tcPr>
            <w:tcW w:w="1974" w:type="dxa"/>
            <w:tcBorders>
              <w:top w:val="nil"/>
              <w:left w:val="nil"/>
              <w:bottom w:val="single" w:sz="8" w:space="0" w:color="auto"/>
              <w:right w:val="single" w:sz="8" w:space="0" w:color="auto"/>
            </w:tcBorders>
            <w:shd w:val="clear" w:color="000000" w:fill="FFFFFF"/>
            <w:noWrap/>
            <w:vAlign w:val="center"/>
            <w:hideMark/>
          </w:tcPr>
          <w:p w14:paraId="0966E4F4"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Installation of meters.</w:t>
            </w:r>
          </w:p>
        </w:tc>
        <w:tc>
          <w:tcPr>
            <w:tcW w:w="698" w:type="dxa"/>
            <w:tcBorders>
              <w:top w:val="nil"/>
              <w:left w:val="nil"/>
              <w:bottom w:val="single" w:sz="8" w:space="0" w:color="auto"/>
              <w:right w:val="single" w:sz="8" w:space="0" w:color="auto"/>
            </w:tcBorders>
            <w:shd w:val="clear" w:color="000000" w:fill="FFFFFF"/>
            <w:vAlign w:val="center"/>
            <w:hideMark/>
          </w:tcPr>
          <w:p w14:paraId="4B6A192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1059" w:type="dxa"/>
            <w:tcBorders>
              <w:top w:val="nil"/>
              <w:left w:val="nil"/>
              <w:bottom w:val="single" w:sz="8" w:space="0" w:color="auto"/>
              <w:right w:val="single" w:sz="8" w:space="0" w:color="auto"/>
            </w:tcBorders>
            <w:shd w:val="clear" w:color="000000" w:fill="FFFFFF"/>
            <w:vAlign w:val="center"/>
            <w:hideMark/>
          </w:tcPr>
          <w:p w14:paraId="405446C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€ 1,612,032.60 </w:t>
            </w:r>
          </w:p>
        </w:tc>
        <w:tc>
          <w:tcPr>
            <w:tcW w:w="1140" w:type="dxa"/>
            <w:tcBorders>
              <w:top w:val="nil"/>
              <w:left w:val="nil"/>
              <w:bottom w:val="single" w:sz="8" w:space="0" w:color="auto"/>
              <w:right w:val="single" w:sz="8" w:space="0" w:color="auto"/>
            </w:tcBorders>
            <w:shd w:val="clear" w:color="000000" w:fill="FFFFFF"/>
            <w:vAlign w:val="center"/>
            <w:hideMark/>
          </w:tcPr>
          <w:p w14:paraId="7C2B6CE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4,000,015.00 </w:t>
            </w:r>
          </w:p>
        </w:tc>
        <w:tc>
          <w:tcPr>
            <w:tcW w:w="1220" w:type="dxa"/>
            <w:tcBorders>
              <w:top w:val="nil"/>
              <w:left w:val="nil"/>
              <w:bottom w:val="single" w:sz="8" w:space="0" w:color="auto"/>
              <w:right w:val="single" w:sz="8" w:space="0" w:color="auto"/>
            </w:tcBorders>
            <w:shd w:val="clear" w:color="000000" w:fill="FFFFFF"/>
            <w:vAlign w:val="center"/>
            <w:hideMark/>
          </w:tcPr>
          <w:p w14:paraId="28FD870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2,494,035.00 </w:t>
            </w:r>
          </w:p>
        </w:tc>
        <w:tc>
          <w:tcPr>
            <w:tcW w:w="1140" w:type="dxa"/>
            <w:tcBorders>
              <w:top w:val="nil"/>
              <w:left w:val="nil"/>
              <w:bottom w:val="single" w:sz="8" w:space="0" w:color="auto"/>
              <w:right w:val="single" w:sz="8" w:space="0" w:color="auto"/>
            </w:tcBorders>
            <w:shd w:val="clear" w:color="000000" w:fill="FFFFFF"/>
            <w:vAlign w:val="center"/>
            <w:hideMark/>
          </w:tcPr>
          <w:p w14:paraId="2131D88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2,111,940.00 </w:t>
            </w:r>
          </w:p>
        </w:tc>
        <w:tc>
          <w:tcPr>
            <w:tcW w:w="1099" w:type="dxa"/>
            <w:tcBorders>
              <w:top w:val="single" w:sz="8" w:space="0" w:color="auto"/>
              <w:left w:val="nil"/>
              <w:bottom w:val="nil"/>
              <w:right w:val="single" w:sz="8" w:space="0" w:color="auto"/>
            </w:tcBorders>
            <w:shd w:val="clear" w:color="000000" w:fill="FFFFFF"/>
            <w:vAlign w:val="center"/>
            <w:hideMark/>
          </w:tcPr>
          <w:p w14:paraId="104BB93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002" w:type="dxa"/>
            <w:tcBorders>
              <w:top w:val="single" w:sz="8" w:space="0" w:color="auto"/>
              <w:left w:val="nil"/>
              <w:bottom w:val="nil"/>
              <w:right w:val="single" w:sz="8" w:space="0" w:color="auto"/>
            </w:tcBorders>
            <w:shd w:val="clear" w:color="000000" w:fill="FFFFFF"/>
            <w:vAlign w:val="center"/>
            <w:hideMark/>
          </w:tcPr>
          <w:p w14:paraId="440D191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287" w:type="dxa"/>
            <w:tcBorders>
              <w:top w:val="nil"/>
              <w:left w:val="nil"/>
              <w:bottom w:val="single" w:sz="8" w:space="0" w:color="auto"/>
              <w:right w:val="single" w:sz="8" w:space="0" w:color="auto"/>
            </w:tcBorders>
            <w:shd w:val="clear" w:color="000000" w:fill="FFFFFF"/>
            <w:vAlign w:val="center"/>
            <w:hideMark/>
          </w:tcPr>
          <w:p w14:paraId="45897F3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Reduction of commercial losses for the period 2022-2025, it is projected that approximately 121,782 new meters will be installed - new connections, while around 86,578 meters are expected to be replaced.</w:t>
            </w:r>
          </w:p>
        </w:tc>
        <w:tc>
          <w:tcPr>
            <w:tcW w:w="949" w:type="dxa"/>
            <w:tcBorders>
              <w:top w:val="nil"/>
              <w:left w:val="nil"/>
              <w:bottom w:val="single" w:sz="8" w:space="0" w:color="auto"/>
              <w:right w:val="single" w:sz="8" w:space="0" w:color="auto"/>
            </w:tcBorders>
            <w:shd w:val="clear" w:color="000000" w:fill="FFFFFF"/>
            <w:vAlign w:val="center"/>
            <w:hideMark/>
          </w:tcPr>
          <w:p w14:paraId="46E17F3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r>
              <w:rPr>
                <w:rFonts w:ascii="Times New Roman" w:hAnsi="Times New Roman"/>
                <w:sz w:val="18"/>
              </w:rPr>
              <w:br/>
              <w:t>Distribution System Operator Development and Investment Plan for the period 2023-2027</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14:paraId="53D99FCB" w14:textId="2E9833E0" w:rsidR="00CA0961" w:rsidRPr="00D86455"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10,446,297 Euro.                                                                                                              - During the period January–December 2024, the DSO carried out around 27,238 meter replacements, of which approximately 4,681 involved switching from mechanical meters to digital meters. The reasons for meter replacements are:</w:t>
            </w:r>
          </w:p>
          <w:p w14:paraId="5ED40789" w14:textId="39CCC7DE" w:rsidR="00CA0961" w:rsidRPr="00D86455"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 - Modernization of metering from electronic meters to Smart meters;</w:t>
            </w:r>
          </w:p>
          <w:p w14:paraId="0731F5FA" w14:textId="001C515D" w:rsidR="00CA0961" w:rsidRPr="00D86455" w:rsidRDefault="00D86455" w:rsidP="00863836">
            <w:pPr>
              <w:spacing w:after="0" w:line="240" w:lineRule="auto"/>
              <w:rPr>
                <w:rFonts w:ascii="Times New Roman" w:eastAsia="Times New Roman" w:hAnsi="Times New Roman" w:cs="Times New Roman"/>
                <w:sz w:val="18"/>
                <w:szCs w:val="18"/>
              </w:rPr>
            </w:pPr>
            <w:r>
              <w:rPr>
                <w:rFonts w:ascii="Times New Roman" w:hAnsi="Times New Roman"/>
                <w:sz w:val="18"/>
              </w:rPr>
              <w:t>- Installation of PLC meters according to the LV projects approved by the ERO;</w:t>
            </w:r>
          </w:p>
          <w:p w14:paraId="22B63E2E" w14:textId="556C60DC" w:rsidR="00CA0961" w:rsidRPr="00D86455"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 Replacements of meters from mechanical to electronic;</w:t>
            </w:r>
          </w:p>
          <w:p w14:paraId="447C33B1" w14:textId="5AD2D34F" w:rsidR="00CA0961" w:rsidRPr="00D86455"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 Validity of the Metrological seal (in accordance with Legal Metrology);</w:t>
            </w:r>
          </w:p>
          <w:p w14:paraId="6BD7E3FE" w14:textId="27138556" w:rsidR="00571EAF" w:rsidRPr="0014539F"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 Meters for prosumers (solar panels). </w:t>
            </w:r>
          </w:p>
        </w:tc>
      </w:tr>
      <w:tr w:rsidR="00B36062" w:rsidRPr="0086165A" w14:paraId="765F1C9E" w14:textId="77777777" w:rsidTr="004A694D">
        <w:trPr>
          <w:trHeight w:val="1770"/>
        </w:trPr>
        <w:tc>
          <w:tcPr>
            <w:tcW w:w="5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4D3CB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I.2.9</w:t>
            </w:r>
          </w:p>
        </w:tc>
        <w:tc>
          <w:tcPr>
            <w:tcW w:w="1974" w:type="dxa"/>
            <w:tcBorders>
              <w:top w:val="nil"/>
              <w:left w:val="nil"/>
              <w:bottom w:val="single" w:sz="8" w:space="0" w:color="auto"/>
              <w:right w:val="single" w:sz="8" w:space="0" w:color="auto"/>
            </w:tcBorders>
            <w:shd w:val="clear" w:color="000000" w:fill="FFFFFF"/>
            <w:vAlign w:val="center"/>
            <w:hideMark/>
          </w:tcPr>
          <w:p w14:paraId="461FB6C9" w14:textId="1B3182E3" w:rsidR="004A694D"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Capital investments in Information Technology (IT);</w:t>
            </w:r>
          </w:p>
        </w:tc>
        <w:tc>
          <w:tcPr>
            <w:tcW w:w="698" w:type="dxa"/>
            <w:tcBorders>
              <w:top w:val="nil"/>
              <w:left w:val="nil"/>
              <w:bottom w:val="single" w:sz="8" w:space="0" w:color="auto"/>
              <w:right w:val="single" w:sz="8" w:space="0" w:color="auto"/>
            </w:tcBorders>
            <w:shd w:val="clear" w:color="000000" w:fill="FFFFFF"/>
            <w:vAlign w:val="center"/>
            <w:hideMark/>
          </w:tcPr>
          <w:p w14:paraId="49B429B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1059" w:type="dxa"/>
            <w:tcBorders>
              <w:top w:val="nil"/>
              <w:left w:val="nil"/>
              <w:bottom w:val="single" w:sz="8" w:space="0" w:color="auto"/>
              <w:right w:val="single" w:sz="8" w:space="0" w:color="auto"/>
            </w:tcBorders>
            <w:shd w:val="clear" w:color="000000" w:fill="FFFFFF"/>
            <w:vAlign w:val="center"/>
            <w:hideMark/>
          </w:tcPr>
          <w:p w14:paraId="1FB2270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896,096.30 </w:t>
            </w:r>
          </w:p>
        </w:tc>
        <w:tc>
          <w:tcPr>
            <w:tcW w:w="1140" w:type="dxa"/>
            <w:tcBorders>
              <w:top w:val="nil"/>
              <w:left w:val="nil"/>
              <w:bottom w:val="single" w:sz="8" w:space="0" w:color="auto"/>
              <w:right w:val="single" w:sz="8" w:space="0" w:color="auto"/>
            </w:tcBorders>
            <w:shd w:val="clear" w:color="000000" w:fill="FFFFFF"/>
            <w:vAlign w:val="center"/>
            <w:hideMark/>
          </w:tcPr>
          <w:p w14:paraId="108F280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1,544,650.00 </w:t>
            </w:r>
          </w:p>
        </w:tc>
        <w:tc>
          <w:tcPr>
            <w:tcW w:w="1220" w:type="dxa"/>
            <w:tcBorders>
              <w:top w:val="nil"/>
              <w:left w:val="nil"/>
              <w:bottom w:val="single" w:sz="8" w:space="0" w:color="auto"/>
              <w:right w:val="single" w:sz="8" w:space="0" w:color="auto"/>
            </w:tcBorders>
            <w:shd w:val="clear" w:color="000000" w:fill="FFFFFF"/>
            <w:vAlign w:val="center"/>
            <w:hideMark/>
          </w:tcPr>
          <w:p w14:paraId="5F0080F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2,147,700.00 </w:t>
            </w:r>
          </w:p>
        </w:tc>
        <w:tc>
          <w:tcPr>
            <w:tcW w:w="1140" w:type="dxa"/>
            <w:tcBorders>
              <w:top w:val="nil"/>
              <w:left w:val="nil"/>
              <w:bottom w:val="single" w:sz="8" w:space="0" w:color="auto"/>
              <w:right w:val="single" w:sz="8" w:space="0" w:color="auto"/>
            </w:tcBorders>
            <w:shd w:val="clear" w:color="000000" w:fill="FFFFFF"/>
            <w:vAlign w:val="center"/>
            <w:hideMark/>
          </w:tcPr>
          <w:p w14:paraId="31617D4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1,331,800.00 </w:t>
            </w:r>
          </w:p>
        </w:tc>
        <w:tc>
          <w:tcPr>
            <w:tcW w:w="1099" w:type="dxa"/>
            <w:tcBorders>
              <w:top w:val="single" w:sz="8" w:space="0" w:color="auto"/>
              <w:left w:val="nil"/>
              <w:bottom w:val="single" w:sz="8" w:space="0" w:color="auto"/>
              <w:right w:val="single" w:sz="8" w:space="0" w:color="auto"/>
            </w:tcBorders>
            <w:shd w:val="clear" w:color="000000" w:fill="FFFFFF"/>
            <w:vAlign w:val="center"/>
            <w:hideMark/>
          </w:tcPr>
          <w:p w14:paraId="04108B1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002" w:type="dxa"/>
            <w:tcBorders>
              <w:top w:val="single" w:sz="8" w:space="0" w:color="auto"/>
              <w:left w:val="nil"/>
              <w:bottom w:val="single" w:sz="8" w:space="0" w:color="auto"/>
              <w:right w:val="single" w:sz="8" w:space="0" w:color="auto"/>
            </w:tcBorders>
            <w:shd w:val="clear" w:color="000000" w:fill="FFFFFF"/>
            <w:vAlign w:val="center"/>
            <w:hideMark/>
          </w:tcPr>
          <w:p w14:paraId="09B52AA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KEDS </w:t>
            </w:r>
          </w:p>
        </w:tc>
        <w:tc>
          <w:tcPr>
            <w:tcW w:w="1287" w:type="dxa"/>
            <w:tcBorders>
              <w:top w:val="nil"/>
              <w:left w:val="nil"/>
              <w:bottom w:val="single" w:sz="8" w:space="0" w:color="auto"/>
              <w:right w:val="single" w:sz="8" w:space="0" w:color="auto"/>
            </w:tcBorders>
            <w:shd w:val="clear" w:color="000000" w:fill="FFFFFF"/>
            <w:vAlign w:val="center"/>
            <w:hideMark/>
          </w:tcPr>
          <w:p w14:paraId="06322A14" w14:textId="50321074"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Safe operation of DSO</w:t>
            </w:r>
          </w:p>
        </w:tc>
        <w:tc>
          <w:tcPr>
            <w:tcW w:w="949" w:type="dxa"/>
            <w:tcBorders>
              <w:top w:val="nil"/>
              <w:left w:val="nil"/>
              <w:bottom w:val="single" w:sz="8" w:space="0" w:color="auto"/>
              <w:right w:val="single" w:sz="8" w:space="0" w:color="auto"/>
            </w:tcBorders>
            <w:shd w:val="clear" w:color="000000" w:fill="FFFFFF"/>
            <w:vAlign w:val="center"/>
            <w:hideMark/>
          </w:tcPr>
          <w:p w14:paraId="4D84F9D6"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r>
              <w:rPr>
                <w:rFonts w:ascii="Times New Roman" w:hAnsi="Times New Roman"/>
                <w:sz w:val="18"/>
              </w:rPr>
              <w:br/>
              <w:t xml:space="preserve">Distribution System Operator </w:t>
            </w:r>
            <w:r>
              <w:rPr>
                <w:rFonts w:ascii="Times New Roman" w:hAnsi="Times New Roman"/>
                <w:sz w:val="18"/>
              </w:rPr>
              <w:lastRenderedPageBreak/>
              <w:t>Development and Investment Plan for the period 2023-2027</w:t>
            </w:r>
          </w:p>
        </w:tc>
        <w:tc>
          <w:tcPr>
            <w:tcW w:w="2250" w:type="dxa"/>
            <w:tcBorders>
              <w:top w:val="nil"/>
              <w:left w:val="nil"/>
              <w:bottom w:val="single" w:sz="8" w:space="0" w:color="auto"/>
              <w:right w:val="single" w:sz="8" w:space="0" w:color="auto"/>
            </w:tcBorders>
            <w:shd w:val="clear" w:color="auto" w:fill="auto"/>
            <w:vAlign w:val="center"/>
            <w:hideMark/>
          </w:tcPr>
          <w:p w14:paraId="017165E8" w14:textId="4E184305" w:rsidR="00571EAF" w:rsidRPr="0014539F" w:rsidRDefault="00CA0961" w:rsidP="00863836">
            <w:pPr>
              <w:spacing w:after="0" w:line="240" w:lineRule="auto"/>
              <w:rPr>
                <w:rFonts w:ascii="Times New Roman" w:eastAsia="Times New Roman" w:hAnsi="Times New Roman" w:cs="Times New Roman"/>
                <w:sz w:val="18"/>
                <w:szCs w:val="18"/>
              </w:rPr>
            </w:pPr>
            <w:r>
              <w:rPr>
                <w:rFonts w:ascii="Times New Roman" w:hAnsi="Times New Roman"/>
                <w:sz w:val="18"/>
              </w:rPr>
              <w:lastRenderedPageBreak/>
              <w:t xml:space="preserve">1,561,588.43  Euro.                                                                                              -Information Technology (IT) projects represent highly significant investments for the DSO. During 2024, substantial progress was achieved in the development and improvement of IT systems. Investments were made to </w:t>
            </w:r>
            <w:r>
              <w:rPr>
                <w:rFonts w:ascii="Times New Roman" w:hAnsi="Times New Roman"/>
                <w:sz w:val="18"/>
              </w:rPr>
              <w:lastRenderedPageBreak/>
              <w:t>enhance security, modernize infrastructure, and improve the functioning of technological processes, increasing the efficiency and resilience of the system.</w:t>
            </w:r>
          </w:p>
        </w:tc>
      </w:tr>
      <w:tr w:rsidR="00571EAF" w:rsidRPr="0086165A" w14:paraId="5B3E0C77" w14:textId="77777777" w:rsidTr="004A694D">
        <w:trPr>
          <w:trHeight w:val="315"/>
        </w:trPr>
        <w:tc>
          <w:tcPr>
            <w:tcW w:w="577" w:type="dxa"/>
            <w:tcBorders>
              <w:top w:val="nil"/>
              <w:left w:val="single" w:sz="8" w:space="0" w:color="auto"/>
              <w:bottom w:val="single" w:sz="8" w:space="0" w:color="auto"/>
              <w:right w:val="single" w:sz="8" w:space="0" w:color="auto"/>
            </w:tcBorders>
            <w:shd w:val="clear" w:color="000000" w:fill="D9D9D9"/>
            <w:vAlign w:val="center"/>
            <w:hideMark/>
          </w:tcPr>
          <w:p w14:paraId="39D9C11A"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lastRenderedPageBreak/>
              <w:t>I.3</w:t>
            </w:r>
          </w:p>
        </w:tc>
        <w:tc>
          <w:tcPr>
            <w:tcW w:w="11568" w:type="dxa"/>
            <w:gridSpan w:val="10"/>
            <w:tcBorders>
              <w:top w:val="nil"/>
              <w:left w:val="nil"/>
              <w:bottom w:val="single" w:sz="8" w:space="0" w:color="auto"/>
              <w:right w:val="single" w:sz="8" w:space="0" w:color="000000"/>
            </w:tcBorders>
            <w:shd w:val="clear" w:color="000000" w:fill="D9D9D9"/>
            <w:vAlign w:val="center"/>
            <w:hideMark/>
          </w:tcPr>
          <w:p w14:paraId="71D1D071"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Rehabilitating the existing energy generation capacity</w:t>
            </w:r>
          </w:p>
        </w:tc>
        <w:tc>
          <w:tcPr>
            <w:tcW w:w="2250" w:type="dxa"/>
            <w:tcBorders>
              <w:top w:val="nil"/>
              <w:left w:val="nil"/>
              <w:bottom w:val="nil"/>
              <w:right w:val="nil"/>
            </w:tcBorders>
            <w:shd w:val="clear" w:color="auto" w:fill="auto"/>
            <w:noWrap/>
            <w:vAlign w:val="bottom"/>
            <w:hideMark/>
          </w:tcPr>
          <w:p w14:paraId="193682A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571EAF" w:rsidRPr="0086165A" w14:paraId="3F23ADC1" w14:textId="77777777" w:rsidTr="004A694D">
        <w:trPr>
          <w:trHeight w:val="735"/>
        </w:trPr>
        <w:tc>
          <w:tcPr>
            <w:tcW w:w="577" w:type="dxa"/>
            <w:tcBorders>
              <w:top w:val="nil"/>
              <w:left w:val="single" w:sz="8" w:space="0" w:color="auto"/>
              <w:bottom w:val="single" w:sz="8" w:space="0" w:color="auto"/>
              <w:right w:val="single" w:sz="8" w:space="0" w:color="auto"/>
            </w:tcBorders>
            <w:shd w:val="clear" w:color="000000" w:fill="D0CECE"/>
            <w:vAlign w:val="center"/>
            <w:hideMark/>
          </w:tcPr>
          <w:p w14:paraId="767110FC"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w:t>
            </w:r>
          </w:p>
        </w:tc>
        <w:tc>
          <w:tcPr>
            <w:tcW w:w="1974" w:type="dxa"/>
            <w:tcBorders>
              <w:top w:val="nil"/>
              <w:left w:val="nil"/>
              <w:bottom w:val="single" w:sz="8" w:space="0" w:color="auto"/>
              <w:right w:val="single" w:sz="8" w:space="0" w:color="auto"/>
            </w:tcBorders>
            <w:shd w:val="clear" w:color="000000" w:fill="D0CECE"/>
            <w:vAlign w:val="center"/>
            <w:hideMark/>
          </w:tcPr>
          <w:p w14:paraId="6AA598F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2897" w:type="dxa"/>
            <w:gridSpan w:val="3"/>
            <w:tcBorders>
              <w:top w:val="single" w:sz="8" w:space="0" w:color="auto"/>
              <w:left w:val="nil"/>
              <w:bottom w:val="single" w:sz="8" w:space="0" w:color="auto"/>
              <w:right w:val="nil"/>
            </w:tcBorders>
            <w:shd w:val="clear" w:color="000000" w:fill="D9D9D9"/>
            <w:vAlign w:val="center"/>
            <w:hideMark/>
          </w:tcPr>
          <w:p w14:paraId="6DEB357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2360" w:type="dxa"/>
            <w:gridSpan w:val="2"/>
            <w:tcBorders>
              <w:top w:val="single" w:sz="8" w:space="0" w:color="auto"/>
              <w:left w:val="single" w:sz="8" w:space="0" w:color="auto"/>
              <w:bottom w:val="single" w:sz="8" w:space="0" w:color="auto"/>
              <w:right w:val="nil"/>
            </w:tcBorders>
            <w:shd w:val="clear" w:color="000000" w:fill="D9D9D9"/>
            <w:vAlign w:val="center"/>
            <w:hideMark/>
          </w:tcPr>
          <w:p w14:paraId="736E22D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1099" w:type="dxa"/>
            <w:tcBorders>
              <w:top w:val="nil"/>
              <w:left w:val="single" w:sz="8" w:space="0" w:color="auto"/>
              <w:bottom w:val="single" w:sz="8" w:space="0" w:color="auto"/>
              <w:right w:val="single" w:sz="8" w:space="0" w:color="auto"/>
            </w:tcBorders>
            <w:shd w:val="clear" w:color="000000" w:fill="D9D9D9"/>
            <w:vAlign w:val="center"/>
            <w:hideMark/>
          </w:tcPr>
          <w:p w14:paraId="633B766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3238" w:type="dxa"/>
            <w:gridSpan w:val="3"/>
            <w:tcBorders>
              <w:top w:val="single" w:sz="8" w:space="0" w:color="auto"/>
              <w:left w:val="nil"/>
              <w:bottom w:val="single" w:sz="8" w:space="0" w:color="auto"/>
              <w:right w:val="single" w:sz="8" w:space="0" w:color="000000"/>
            </w:tcBorders>
            <w:shd w:val="clear" w:color="000000" w:fill="D9D9D9"/>
            <w:vAlign w:val="center"/>
            <w:hideMark/>
          </w:tcPr>
          <w:p w14:paraId="7B3B628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2250" w:type="dxa"/>
            <w:tcBorders>
              <w:top w:val="nil"/>
              <w:left w:val="nil"/>
              <w:bottom w:val="nil"/>
              <w:right w:val="nil"/>
            </w:tcBorders>
            <w:shd w:val="clear" w:color="auto" w:fill="auto"/>
            <w:noWrap/>
            <w:vAlign w:val="bottom"/>
            <w:hideMark/>
          </w:tcPr>
          <w:p w14:paraId="3040C07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86165A" w14:paraId="24B4C038" w14:textId="77777777" w:rsidTr="004A694D">
        <w:trPr>
          <w:trHeight w:val="495"/>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56CDA4DF"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w:t>
            </w:r>
          </w:p>
        </w:tc>
        <w:tc>
          <w:tcPr>
            <w:tcW w:w="1974" w:type="dxa"/>
            <w:tcBorders>
              <w:top w:val="nil"/>
              <w:left w:val="nil"/>
              <w:bottom w:val="single" w:sz="8" w:space="0" w:color="auto"/>
              <w:right w:val="single" w:sz="8" w:space="0" w:color="auto"/>
            </w:tcBorders>
            <w:shd w:val="clear" w:color="auto" w:fill="auto"/>
            <w:vAlign w:val="center"/>
            <w:hideMark/>
          </w:tcPr>
          <w:p w14:paraId="2A3ADE19"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Number of renovated lignite </w:t>
            </w:r>
            <w:r>
              <w:rPr>
                <w:rFonts w:ascii="Times New Roman" w:hAnsi="Times New Roman"/>
                <w:sz w:val="18"/>
              </w:rPr>
              <w:br/>
              <w:t>units</w:t>
            </w:r>
          </w:p>
        </w:tc>
        <w:tc>
          <w:tcPr>
            <w:tcW w:w="2897" w:type="dxa"/>
            <w:gridSpan w:val="3"/>
            <w:tcBorders>
              <w:top w:val="single" w:sz="8" w:space="0" w:color="auto"/>
              <w:left w:val="nil"/>
              <w:bottom w:val="single" w:sz="8" w:space="0" w:color="auto"/>
              <w:right w:val="single" w:sz="8" w:space="0" w:color="000000"/>
            </w:tcBorders>
            <w:shd w:val="clear" w:color="auto" w:fill="auto"/>
            <w:vAlign w:val="center"/>
            <w:hideMark/>
          </w:tcPr>
          <w:p w14:paraId="2F672BD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0 [2021]</w:t>
            </w:r>
          </w:p>
        </w:tc>
        <w:tc>
          <w:tcPr>
            <w:tcW w:w="2360" w:type="dxa"/>
            <w:gridSpan w:val="2"/>
            <w:tcBorders>
              <w:top w:val="single" w:sz="8" w:space="0" w:color="auto"/>
              <w:left w:val="nil"/>
              <w:bottom w:val="single" w:sz="8" w:space="0" w:color="auto"/>
              <w:right w:val="single" w:sz="8" w:space="0" w:color="000000"/>
            </w:tcBorders>
            <w:shd w:val="clear" w:color="auto" w:fill="auto"/>
            <w:vAlign w:val="center"/>
            <w:hideMark/>
          </w:tcPr>
          <w:p w14:paraId="2408B66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1099" w:type="dxa"/>
            <w:tcBorders>
              <w:top w:val="nil"/>
              <w:left w:val="nil"/>
              <w:bottom w:val="single" w:sz="8" w:space="0" w:color="auto"/>
              <w:right w:val="single" w:sz="8" w:space="0" w:color="auto"/>
            </w:tcBorders>
            <w:shd w:val="clear" w:color="auto" w:fill="auto"/>
            <w:vAlign w:val="center"/>
            <w:hideMark/>
          </w:tcPr>
          <w:p w14:paraId="7D49B60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3 or 4</w:t>
            </w:r>
          </w:p>
        </w:tc>
        <w:tc>
          <w:tcPr>
            <w:tcW w:w="3238" w:type="dxa"/>
            <w:gridSpan w:val="3"/>
            <w:tcBorders>
              <w:top w:val="single" w:sz="8" w:space="0" w:color="auto"/>
              <w:left w:val="nil"/>
              <w:bottom w:val="single" w:sz="8" w:space="0" w:color="auto"/>
              <w:right w:val="single" w:sz="8" w:space="0" w:color="000000"/>
            </w:tcBorders>
            <w:shd w:val="clear" w:color="000000" w:fill="FFFFFF"/>
            <w:vAlign w:val="center"/>
            <w:hideMark/>
          </w:tcPr>
          <w:p w14:paraId="0FD9F282"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2250" w:type="dxa"/>
            <w:tcBorders>
              <w:top w:val="nil"/>
              <w:left w:val="nil"/>
              <w:bottom w:val="nil"/>
              <w:right w:val="nil"/>
            </w:tcBorders>
            <w:shd w:val="clear" w:color="auto" w:fill="auto"/>
            <w:noWrap/>
            <w:vAlign w:val="bottom"/>
            <w:hideMark/>
          </w:tcPr>
          <w:p w14:paraId="37391A5A"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571EAF" w:rsidRPr="0086165A" w14:paraId="4B49D706" w14:textId="77777777" w:rsidTr="004A694D">
        <w:trPr>
          <w:trHeight w:val="495"/>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453EEFCC"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w:t>
            </w:r>
          </w:p>
        </w:tc>
        <w:tc>
          <w:tcPr>
            <w:tcW w:w="1974" w:type="dxa"/>
            <w:tcBorders>
              <w:top w:val="nil"/>
              <w:left w:val="nil"/>
              <w:bottom w:val="single" w:sz="8" w:space="0" w:color="auto"/>
              <w:right w:val="single" w:sz="8" w:space="0" w:color="auto"/>
            </w:tcBorders>
            <w:shd w:val="clear" w:color="auto" w:fill="auto"/>
            <w:vAlign w:val="center"/>
            <w:hideMark/>
          </w:tcPr>
          <w:p w14:paraId="1A823B94"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Number of closed lignite units</w:t>
            </w:r>
          </w:p>
        </w:tc>
        <w:tc>
          <w:tcPr>
            <w:tcW w:w="2897" w:type="dxa"/>
            <w:gridSpan w:val="3"/>
            <w:tcBorders>
              <w:top w:val="single" w:sz="8" w:space="0" w:color="auto"/>
              <w:left w:val="nil"/>
              <w:bottom w:val="single" w:sz="8" w:space="0" w:color="auto"/>
              <w:right w:val="single" w:sz="8" w:space="0" w:color="000000"/>
            </w:tcBorders>
            <w:shd w:val="clear" w:color="auto" w:fill="auto"/>
            <w:vAlign w:val="center"/>
            <w:hideMark/>
          </w:tcPr>
          <w:p w14:paraId="113467C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0 [2021]</w:t>
            </w:r>
          </w:p>
        </w:tc>
        <w:tc>
          <w:tcPr>
            <w:tcW w:w="2360" w:type="dxa"/>
            <w:gridSpan w:val="2"/>
            <w:tcBorders>
              <w:top w:val="single" w:sz="8" w:space="0" w:color="auto"/>
              <w:left w:val="nil"/>
              <w:bottom w:val="single" w:sz="8" w:space="0" w:color="auto"/>
              <w:right w:val="nil"/>
            </w:tcBorders>
            <w:shd w:val="clear" w:color="auto" w:fill="auto"/>
            <w:vAlign w:val="center"/>
            <w:hideMark/>
          </w:tcPr>
          <w:p w14:paraId="227DC39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0</w:t>
            </w:r>
          </w:p>
        </w:tc>
        <w:tc>
          <w:tcPr>
            <w:tcW w:w="1099" w:type="dxa"/>
            <w:tcBorders>
              <w:top w:val="nil"/>
              <w:left w:val="single" w:sz="8" w:space="0" w:color="auto"/>
              <w:bottom w:val="single" w:sz="8" w:space="0" w:color="auto"/>
              <w:right w:val="single" w:sz="8" w:space="0" w:color="auto"/>
            </w:tcBorders>
            <w:shd w:val="clear" w:color="auto" w:fill="auto"/>
            <w:vAlign w:val="center"/>
            <w:hideMark/>
          </w:tcPr>
          <w:p w14:paraId="4DC5353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 or 2</w:t>
            </w:r>
          </w:p>
        </w:tc>
        <w:tc>
          <w:tcPr>
            <w:tcW w:w="3238" w:type="dxa"/>
            <w:gridSpan w:val="3"/>
            <w:tcBorders>
              <w:top w:val="single" w:sz="8" w:space="0" w:color="auto"/>
              <w:left w:val="nil"/>
              <w:bottom w:val="single" w:sz="8" w:space="0" w:color="auto"/>
              <w:right w:val="single" w:sz="8" w:space="0" w:color="000000"/>
            </w:tcBorders>
            <w:shd w:val="clear" w:color="000000" w:fill="FFFFFF"/>
            <w:vAlign w:val="center"/>
            <w:hideMark/>
          </w:tcPr>
          <w:p w14:paraId="21979C7B"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2250" w:type="dxa"/>
            <w:tcBorders>
              <w:top w:val="nil"/>
              <w:left w:val="nil"/>
              <w:bottom w:val="nil"/>
              <w:right w:val="nil"/>
            </w:tcBorders>
            <w:shd w:val="clear" w:color="auto" w:fill="auto"/>
            <w:noWrap/>
            <w:vAlign w:val="bottom"/>
            <w:hideMark/>
          </w:tcPr>
          <w:p w14:paraId="505AED2E"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571EAF" w:rsidRPr="0086165A" w14:paraId="1FF7758D" w14:textId="77777777" w:rsidTr="004A694D">
        <w:trPr>
          <w:trHeight w:val="315"/>
        </w:trPr>
        <w:tc>
          <w:tcPr>
            <w:tcW w:w="57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ACAEECC"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No.</w:t>
            </w:r>
          </w:p>
        </w:tc>
        <w:tc>
          <w:tcPr>
            <w:tcW w:w="197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637FE5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69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D25681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4559" w:type="dxa"/>
            <w:gridSpan w:val="4"/>
            <w:tcBorders>
              <w:top w:val="single" w:sz="8" w:space="0" w:color="auto"/>
              <w:left w:val="nil"/>
              <w:bottom w:val="single" w:sz="8" w:space="0" w:color="auto"/>
              <w:right w:val="nil"/>
            </w:tcBorders>
            <w:shd w:val="clear" w:color="000000" w:fill="D9D9D9"/>
            <w:vAlign w:val="center"/>
            <w:hideMark/>
          </w:tcPr>
          <w:p w14:paraId="0F16DFF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109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B9B0DF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100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674045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128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BD7534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94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EA1895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225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61E3582" w14:textId="77777777" w:rsidR="00571EAF" w:rsidRPr="0086165A" w:rsidRDefault="000532B1" w:rsidP="005D6B3A">
            <w:pPr>
              <w:spacing w:after="0" w:line="240" w:lineRule="auto"/>
              <w:jc w:val="center"/>
              <w:rPr>
                <w:rFonts w:ascii="Times New Roman" w:eastAsia="Times New Roman" w:hAnsi="Times New Roman" w:cs="Times New Roman"/>
                <w:b/>
                <w:bCs/>
              </w:rPr>
            </w:pPr>
            <w:r>
              <w:rPr>
                <w:rFonts w:ascii="Times New Roman" w:hAnsi="Times New Roman"/>
                <w:b/>
              </w:rPr>
              <w:t>Implementation progress for 2024</w:t>
            </w:r>
          </w:p>
        </w:tc>
      </w:tr>
      <w:tr w:rsidR="00B36062" w:rsidRPr="0086165A" w14:paraId="699D9840" w14:textId="77777777" w:rsidTr="004A694D">
        <w:trPr>
          <w:trHeight w:val="300"/>
        </w:trPr>
        <w:tc>
          <w:tcPr>
            <w:tcW w:w="577" w:type="dxa"/>
            <w:vMerge/>
            <w:tcBorders>
              <w:top w:val="nil"/>
              <w:left w:val="single" w:sz="8" w:space="0" w:color="auto"/>
              <w:bottom w:val="single" w:sz="8" w:space="0" w:color="000000"/>
              <w:right w:val="single" w:sz="8" w:space="0" w:color="auto"/>
            </w:tcBorders>
            <w:vAlign w:val="center"/>
            <w:hideMark/>
          </w:tcPr>
          <w:p w14:paraId="736553F9"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974" w:type="dxa"/>
            <w:vMerge/>
            <w:tcBorders>
              <w:top w:val="nil"/>
              <w:left w:val="single" w:sz="8" w:space="0" w:color="auto"/>
              <w:bottom w:val="single" w:sz="8" w:space="0" w:color="000000"/>
              <w:right w:val="single" w:sz="8" w:space="0" w:color="auto"/>
            </w:tcBorders>
            <w:vAlign w:val="center"/>
            <w:hideMark/>
          </w:tcPr>
          <w:p w14:paraId="115368A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98" w:type="dxa"/>
            <w:vMerge/>
            <w:tcBorders>
              <w:top w:val="nil"/>
              <w:left w:val="single" w:sz="8" w:space="0" w:color="auto"/>
              <w:bottom w:val="single" w:sz="8" w:space="0" w:color="000000"/>
              <w:right w:val="single" w:sz="8" w:space="0" w:color="auto"/>
            </w:tcBorders>
            <w:vAlign w:val="center"/>
            <w:hideMark/>
          </w:tcPr>
          <w:p w14:paraId="47E37A0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59" w:type="dxa"/>
            <w:tcBorders>
              <w:top w:val="nil"/>
              <w:left w:val="nil"/>
              <w:bottom w:val="nil"/>
              <w:right w:val="single" w:sz="8" w:space="0" w:color="auto"/>
            </w:tcBorders>
            <w:shd w:val="clear" w:color="000000" w:fill="D9D9D9"/>
            <w:vAlign w:val="center"/>
            <w:hideMark/>
          </w:tcPr>
          <w:p w14:paraId="7CCC6B4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140" w:type="dxa"/>
            <w:tcBorders>
              <w:top w:val="nil"/>
              <w:left w:val="nil"/>
              <w:bottom w:val="nil"/>
              <w:right w:val="single" w:sz="8" w:space="0" w:color="auto"/>
            </w:tcBorders>
            <w:shd w:val="clear" w:color="000000" w:fill="D9D9D9"/>
            <w:vAlign w:val="center"/>
            <w:hideMark/>
          </w:tcPr>
          <w:p w14:paraId="493D5B3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220" w:type="dxa"/>
            <w:tcBorders>
              <w:top w:val="nil"/>
              <w:left w:val="nil"/>
              <w:bottom w:val="nil"/>
              <w:right w:val="single" w:sz="8" w:space="0" w:color="auto"/>
            </w:tcBorders>
            <w:shd w:val="clear" w:color="000000" w:fill="D9D9D9"/>
            <w:vAlign w:val="center"/>
            <w:hideMark/>
          </w:tcPr>
          <w:p w14:paraId="51E20D2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140" w:type="dxa"/>
            <w:tcBorders>
              <w:top w:val="nil"/>
              <w:left w:val="nil"/>
              <w:bottom w:val="nil"/>
              <w:right w:val="single" w:sz="8" w:space="0" w:color="auto"/>
            </w:tcBorders>
            <w:shd w:val="clear" w:color="000000" w:fill="D9D9D9"/>
            <w:vAlign w:val="center"/>
            <w:hideMark/>
          </w:tcPr>
          <w:p w14:paraId="681F4A6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099" w:type="dxa"/>
            <w:vMerge/>
            <w:tcBorders>
              <w:top w:val="nil"/>
              <w:left w:val="single" w:sz="8" w:space="0" w:color="auto"/>
              <w:bottom w:val="single" w:sz="8" w:space="0" w:color="000000"/>
              <w:right w:val="single" w:sz="8" w:space="0" w:color="auto"/>
            </w:tcBorders>
            <w:vAlign w:val="center"/>
            <w:hideMark/>
          </w:tcPr>
          <w:p w14:paraId="137695A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02" w:type="dxa"/>
            <w:vMerge/>
            <w:tcBorders>
              <w:top w:val="nil"/>
              <w:left w:val="single" w:sz="8" w:space="0" w:color="auto"/>
              <w:bottom w:val="single" w:sz="8" w:space="0" w:color="000000"/>
              <w:right w:val="single" w:sz="8" w:space="0" w:color="auto"/>
            </w:tcBorders>
            <w:vAlign w:val="center"/>
            <w:hideMark/>
          </w:tcPr>
          <w:p w14:paraId="47581D0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287" w:type="dxa"/>
            <w:vMerge/>
            <w:tcBorders>
              <w:top w:val="nil"/>
              <w:left w:val="single" w:sz="8" w:space="0" w:color="auto"/>
              <w:bottom w:val="single" w:sz="8" w:space="0" w:color="000000"/>
              <w:right w:val="single" w:sz="8" w:space="0" w:color="auto"/>
            </w:tcBorders>
            <w:vAlign w:val="center"/>
            <w:hideMark/>
          </w:tcPr>
          <w:p w14:paraId="1A5D9A7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49" w:type="dxa"/>
            <w:vMerge/>
            <w:tcBorders>
              <w:top w:val="nil"/>
              <w:left w:val="single" w:sz="8" w:space="0" w:color="auto"/>
              <w:bottom w:val="single" w:sz="8" w:space="0" w:color="000000"/>
              <w:right w:val="single" w:sz="8" w:space="0" w:color="auto"/>
            </w:tcBorders>
            <w:vAlign w:val="center"/>
            <w:hideMark/>
          </w:tcPr>
          <w:p w14:paraId="13FA83D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0C9FCD8F" w14:textId="77777777" w:rsidR="00571EAF" w:rsidRPr="0086165A" w:rsidRDefault="00571EAF" w:rsidP="00571EAF">
            <w:pPr>
              <w:spacing w:after="0" w:line="240" w:lineRule="auto"/>
              <w:rPr>
                <w:rFonts w:ascii="Times New Roman" w:eastAsia="Times New Roman" w:hAnsi="Times New Roman" w:cs="Times New Roman"/>
                <w:b/>
                <w:bCs/>
              </w:rPr>
            </w:pPr>
          </w:p>
        </w:tc>
      </w:tr>
      <w:tr w:rsidR="00B36062" w:rsidRPr="0086165A" w14:paraId="4CDBB012" w14:textId="77777777" w:rsidTr="004A694D">
        <w:trPr>
          <w:trHeight w:val="690"/>
        </w:trPr>
        <w:tc>
          <w:tcPr>
            <w:tcW w:w="577" w:type="dxa"/>
            <w:vMerge/>
            <w:tcBorders>
              <w:top w:val="nil"/>
              <w:left w:val="single" w:sz="8" w:space="0" w:color="auto"/>
              <w:bottom w:val="single" w:sz="8" w:space="0" w:color="000000"/>
              <w:right w:val="single" w:sz="8" w:space="0" w:color="auto"/>
            </w:tcBorders>
            <w:vAlign w:val="center"/>
            <w:hideMark/>
          </w:tcPr>
          <w:p w14:paraId="5DE6BD05"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974" w:type="dxa"/>
            <w:vMerge/>
            <w:tcBorders>
              <w:top w:val="nil"/>
              <w:left w:val="single" w:sz="8" w:space="0" w:color="auto"/>
              <w:bottom w:val="single" w:sz="8" w:space="0" w:color="000000"/>
              <w:right w:val="single" w:sz="8" w:space="0" w:color="auto"/>
            </w:tcBorders>
            <w:vAlign w:val="center"/>
            <w:hideMark/>
          </w:tcPr>
          <w:p w14:paraId="77EE46A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98" w:type="dxa"/>
            <w:vMerge/>
            <w:tcBorders>
              <w:top w:val="nil"/>
              <w:left w:val="single" w:sz="8" w:space="0" w:color="auto"/>
              <w:bottom w:val="single" w:sz="8" w:space="0" w:color="000000"/>
              <w:right w:val="single" w:sz="8" w:space="0" w:color="auto"/>
            </w:tcBorders>
            <w:vAlign w:val="center"/>
            <w:hideMark/>
          </w:tcPr>
          <w:p w14:paraId="0B1851DA"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59" w:type="dxa"/>
            <w:tcBorders>
              <w:top w:val="nil"/>
              <w:left w:val="nil"/>
              <w:bottom w:val="single" w:sz="8" w:space="0" w:color="auto"/>
              <w:right w:val="single" w:sz="8" w:space="0" w:color="auto"/>
            </w:tcBorders>
            <w:shd w:val="clear" w:color="000000" w:fill="D9D9D9"/>
            <w:vAlign w:val="center"/>
            <w:hideMark/>
          </w:tcPr>
          <w:p w14:paraId="3F08D70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1140" w:type="dxa"/>
            <w:tcBorders>
              <w:top w:val="nil"/>
              <w:left w:val="nil"/>
              <w:bottom w:val="single" w:sz="8" w:space="0" w:color="auto"/>
              <w:right w:val="single" w:sz="8" w:space="0" w:color="auto"/>
            </w:tcBorders>
            <w:shd w:val="clear" w:color="000000" w:fill="D9D9D9"/>
            <w:vAlign w:val="center"/>
            <w:hideMark/>
          </w:tcPr>
          <w:p w14:paraId="512F437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1220" w:type="dxa"/>
            <w:tcBorders>
              <w:top w:val="nil"/>
              <w:left w:val="nil"/>
              <w:bottom w:val="single" w:sz="8" w:space="0" w:color="auto"/>
              <w:right w:val="single" w:sz="8" w:space="0" w:color="auto"/>
            </w:tcBorders>
            <w:shd w:val="clear" w:color="000000" w:fill="D9D9D9"/>
            <w:vAlign w:val="center"/>
            <w:hideMark/>
          </w:tcPr>
          <w:p w14:paraId="1D3D524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1140" w:type="dxa"/>
            <w:tcBorders>
              <w:top w:val="nil"/>
              <w:left w:val="nil"/>
              <w:bottom w:val="single" w:sz="8" w:space="0" w:color="auto"/>
              <w:right w:val="single" w:sz="8" w:space="0" w:color="auto"/>
            </w:tcBorders>
            <w:shd w:val="clear" w:color="000000" w:fill="D9D9D9"/>
            <w:vAlign w:val="center"/>
            <w:hideMark/>
          </w:tcPr>
          <w:p w14:paraId="548B34C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99" w:type="dxa"/>
            <w:vMerge/>
            <w:tcBorders>
              <w:top w:val="nil"/>
              <w:left w:val="single" w:sz="8" w:space="0" w:color="auto"/>
              <w:bottom w:val="single" w:sz="8" w:space="0" w:color="000000"/>
              <w:right w:val="single" w:sz="8" w:space="0" w:color="auto"/>
            </w:tcBorders>
            <w:vAlign w:val="center"/>
            <w:hideMark/>
          </w:tcPr>
          <w:p w14:paraId="7B74AA3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02" w:type="dxa"/>
            <w:vMerge/>
            <w:tcBorders>
              <w:top w:val="nil"/>
              <w:left w:val="single" w:sz="8" w:space="0" w:color="auto"/>
              <w:bottom w:val="single" w:sz="8" w:space="0" w:color="000000"/>
              <w:right w:val="single" w:sz="8" w:space="0" w:color="auto"/>
            </w:tcBorders>
            <w:vAlign w:val="center"/>
            <w:hideMark/>
          </w:tcPr>
          <w:p w14:paraId="45B28D05"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287" w:type="dxa"/>
            <w:vMerge/>
            <w:tcBorders>
              <w:top w:val="nil"/>
              <w:left w:val="single" w:sz="8" w:space="0" w:color="auto"/>
              <w:bottom w:val="single" w:sz="8" w:space="0" w:color="000000"/>
              <w:right w:val="single" w:sz="8" w:space="0" w:color="auto"/>
            </w:tcBorders>
            <w:vAlign w:val="center"/>
            <w:hideMark/>
          </w:tcPr>
          <w:p w14:paraId="6DD8C3A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49" w:type="dxa"/>
            <w:vMerge/>
            <w:tcBorders>
              <w:top w:val="nil"/>
              <w:left w:val="single" w:sz="8" w:space="0" w:color="auto"/>
              <w:bottom w:val="single" w:sz="8" w:space="0" w:color="000000"/>
              <w:right w:val="single" w:sz="8" w:space="0" w:color="auto"/>
            </w:tcBorders>
            <w:vAlign w:val="center"/>
            <w:hideMark/>
          </w:tcPr>
          <w:p w14:paraId="2FD7629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74ED40CB" w14:textId="77777777" w:rsidR="00571EAF" w:rsidRPr="0086165A" w:rsidRDefault="00571EAF" w:rsidP="00571EAF">
            <w:pPr>
              <w:spacing w:after="0" w:line="240" w:lineRule="auto"/>
              <w:rPr>
                <w:rFonts w:ascii="Times New Roman" w:eastAsia="Times New Roman" w:hAnsi="Times New Roman" w:cs="Times New Roman"/>
                <w:b/>
                <w:bCs/>
              </w:rPr>
            </w:pPr>
          </w:p>
        </w:tc>
      </w:tr>
      <w:tr w:rsidR="00B36062" w:rsidRPr="0086165A" w14:paraId="4FE3A503" w14:textId="77777777" w:rsidTr="004A694D">
        <w:trPr>
          <w:trHeight w:val="2475"/>
        </w:trPr>
        <w:tc>
          <w:tcPr>
            <w:tcW w:w="577" w:type="dxa"/>
            <w:tcBorders>
              <w:top w:val="nil"/>
              <w:left w:val="single" w:sz="8" w:space="0" w:color="auto"/>
              <w:bottom w:val="nil"/>
              <w:right w:val="single" w:sz="8" w:space="0" w:color="auto"/>
            </w:tcBorders>
            <w:shd w:val="clear" w:color="auto" w:fill="auto"/>
            <w:vAlign w:val="center"/>
            <w:hideMark/>
          </w:tcPr>
          <w:p w14:paraId="22FE73FD"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I.3.1</w:t>
            </w:r>
          </w:p>
        </w:tc>
        <w:tc>
          <w:tcPr>
            <w:tcW w:w="1974" w:type="dxa"/>
            <w:tcBorders>
              <w:top w:val="nil"/>
              <w:left w:val="nil"/>
              <w:bottom w:val="nil"/>
              <w:right w:val="single" w:sz="8" w:space="0" w:color="auto"/>
            </w:tcBorders>
            <w:shd w:val="clear" w:color="auto" w:fill="auto"/>
            <w:vAlign w:val="center"/>
            <w:hideMark/>
          </w:tcPr>
          <w:p w14:paraId="16B47566"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Rehabilitation of </w:t>
            </w:r>
            <w:proofErr w:type="spellStart"/>
            <w:r>
              <w:rPr>
                <w:rFonts w:ascii="Times New Roman" w:hAnsi="Times New Roman"/>
                <w:sz w:val="18"/>
              </w:rPr>
              <w:t>Kosova</w:t>
            </w:r>
            <w:proofErr w:type="spellEnd"/>
            <w:r>
              <w:rPr>
                <w:rFonts w:ascii="Times New Roman" w:hAnsi="Times New Roman"/>
                <w:sz w:val="18"/>
              </w:rPr>
              <w:t xml:space="preserve"> B1 unit </w:t>
            </w:r>
          </w:p>
        </w:tc>
        <w:tc>
          <w:tcPr>
            <w:tcW w:w="698" w:type="dxa"/>
            <w:tcBorders>
              <w:top w:val="nil"/>
              <w:left w:val="nil"/>
              <w:bottom w:val="nil"/>
              <w:right w:val="single" w:sz="8" w:space="0" w:color="auto"/>
            </w:tcBorders>
            <w:shd w:val="clear" w:color="auto" w:fill="auto"/>
            <w:vAlign w:val="center"/>
            <w:hideMark/>
          </w:tcPr>
          <w:p w14:paraId="24087E4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1059" w:type="dxa"/>
            <w:tcBorders>
              <w:top w:val="nil"/>
              <w:left w:val="nil"/>
              <w:bottom w:val="nil"/>
              <w:right w:val="single" w:sz="8" w:space="0" w:color="auto"/>
            </w:tcBorders>
            <w:shd w:val="clear" w:color="000000" w:fill="FFFFFF"/>
            <w:vAlign w:val="center"/>
            <w:hideMark/>
          </w:tcPr>
          <w:p w14:paraId="74E15AC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140" w:type="dxa"/>
            <w:tcBorders>
              <w:top w:val="nil"/>
              <w:left w:val="nil"/>
              <w:bottom w:val="nil"/>
              <w:right w:val="single" w:sz="8" w:space="0" w:color="auto"/>
            </w:tcBorders>
            <w:shd w:val="clear" w:color="000000" w:fill="FFFFFF"/>
            <w:vAlign w:val="center"/>
            <w:hideMark/>
          </w:tcPr>
          <w:p w14:paraId="0464A79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7,500,000.00 </w:t>
            </w:r>
          </w:p>
        </w:tc>
        <w:tc>
          <w:tcPr>
            <w:tcW w:w="1220" w:type="dxa"/>
            <w:tcBorders>
              <w:top w:val="nil"/>
              <w:left w:val="nil"/>
              <w:bottom w:val="nil"/>
              <w:right w:val="single" w:sz="8" w:space="0" w:color="auto"/>
            </w:tcBorders>
            <w:shd w:val="clear" w:color="000000" w:fill="FFFFFF"/>
            <w:vAlign w:val="center"/>
            <w:hideMark/>
          </w:tcPr>
          <w:p w14:paraId="247D115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88,000,000.00 </w:t>
            </w:r>
          </w:p>
        </w:tc>
        <w:tc>
          <w:tcPr>
            <w:tcW w:w="1140" w:type="dxa"/>
            <w:tcBorders>
              <w:top w:val="nil"/>
              <w:left w:val="nil"/>
              <w:bottom w:val="nil"/>
              <w:right w:val="single" w:sz="8" w:space="0" w:color="auto"/>
            </w:tcBorders>
            <w:shd w:val="clear" w:color="000000" w:fill="FFFFFF"/>
            <w:vAlign w:val="center"/>
            <w:hideMark/>
          </w:tcPr>
          <w:p w14:paraId="6D0FCC4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099" w:type="dxa"/>
            <w:tcBorders>
              <w:top w:val="nil"/>
              <w:left w:val="nil"/>
              <w:bottom w:val="nil"/>
              <w:right w:val="single" w:sz="8" w:space="0" w:color="auto"/>
            </w:tcBorders>
            <w:shd w:val="clear" w:color="auto" w:fill="auto"/>
            <w:vAlign w:val="center"/>
            <w:hideMark/>
          </w:tcPr>
          <w:p w14:paraId="121D12DE" w14:textId="77777777" w:rsidR="00571EAF" w:rsidRPr="006D6D77" w:rsidRDefault="00571EAF" w:rsidP="00571EAF">
            <w:pPr>
              <w:spacing w:after="0" w:line="240" w:lineRule="auto"/>
              <w:jc w:val="center"/>
              <w:rPr>
                <w:rFonts w:ascii="Times New Roman" w:eastAsia="Times New Roman" w:hAnsi="Times New Roman" w:cs="Times New Roman"/>
                <w:sz w:val="18"/>
                <w:szCs w:val="18"/>
                <w:lang w:val="fr-FR"/>
              </w:rPr>
            </w:pPr>
            <w:r w:rsidRPr="006D6D77">
              <w:rPr>
                <w:rFonts w:ascii="Times New Roman" w:hAnsi="Times New Roman"/>
                <w:sz w:val="18"/>
                <w:lang w:val="fr-FR"/>
              </w:rPr>
              <w:t>KEK: €49.5 million</w:t>
            </w:r>
            <w:r w:rsidRPr="006D6D77">
              <w:rPr>
                <w:rFonts w:ascii="Times New Roman" w:hAnsi="Times New Roman"/>
                <w:sz w:val="18"/>
                <w:lang w:val="fr-FR"/>
              </w:rPr>
              <w:br/>
              <w:t xml:space="preserve">EU </w:t>
            </w:r>
            <w:proofErr w:type="spellStart"/>
            <w:r w:rsidRPr="006D6D77">
              <w:rPr>
                <w:rFonts w:ascii="Times New Roman" w:hAnsi="Times New Roman"/>
                <w:sz w:val="18"/>
                <w:lang w:val="fr-FR"/>
              </w:rPr>
              <w:t>grant</w:t>
            </w:r>
            <w:proofErr w:type="spellEnd"/>
            <w:r w:rsidRPr="006D6D77">
              <w:rPr>
                <w:rFonts w:ascii="Times New Roman" w:hAnsi="Times New Roman"/>
                <w:sz w:val="18"/>
                <w:lang w:val="fr-FR"/>
              </w:rPr>
              <w:t>: €38.5 million (</w:t>
            </w:r>
            <w:proofErr w:type="spellStart"/>
            <w:r w:rsidRPr="006D6D77">
              <w:rPr>
                <w:rFonts w:ascii="Times New Roman" w:hAnsi="Times New Roman"/>
                <w:sz w:val="18"/>
                <w:lang w:val="fr-FR"/>
              </w:rPr>
              <w:t>Electrofilters</w:t>
            </w:r>
            <w:proofErr w:type="spellEnd"/>
            <w:r w:rsidRPr="006D6D77">
              <w:rPr>
                <w:rFonts w:ascii="Times New Roman" w:hAnsi="Times New Roman"/>
                <w:sz w:val="18"/>
                <w:lang w:val="fr-FR"/>
              </w:rPr>
              <w:t xml:space="preserve"> &amp; De-Nox)</w:t>
            </w:r>
          </w:p>
        </w:tc>
        <w:tc>
          <w:tcPr>
            <w:tcW w:w="1002" w:type="dxa"/>
            <w:tcBorders>
              <w:top w:val="nil"/>
              <w:left w:val="nil"/>
              <w:bottom w:val="nil"/>
              <w:right w:val="single" w:sz="8" w:space="0" w:color="auto"/>
            </w:tcBorders>
            <w:shd w:val="clear" w:color="auto" w:fill="auto"/>
            <w:vAlign w:val="center"/>
            <w:hideMark/>
          </w:tcPr>
          <w:p w14:paraId="00699C5A" w14:textId="77777777" w:rsidR="00571EAF" w:rsidRPr="0086165A" w:rsidRDefault="008A4C62"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KEK, ME, ERO</w:t>
            </w:r>
          </w:p>
        </w:tc>
        <w:tc>
          <w:tcPr>
            <w:tcW w:w="1287" w:type="dxa"/>
            <w:vMerge w:val="restart"/>
            <w:tcBorders>
              <w:top w:val="nil"/>
              <w:left w:val="single" w:sz="8" w:space="0" w:color="auto"/>
              <w:bottom w:val="single" w:sz="8" w:space="0" w:color="000000"/>
              <w:right w:val="single" w:sz="8" w:space="0" w:color="auto"/>
            </w:tcBorders>
            <w:shd w:val="clear" w:color="auto" w:fill="auto"/>
            <w:vAlign w:val="center"/>
            <w:hideMark/>
          </w:tcPr>
          <w:p w14:paraId="6E9FEA0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Reduction of dust, NOx and SO₂ emissions</w:t>
            </w:r>
            <w:r>
              <w:rPr>
                <w:rFonts w:ascii="Times New Roman" w:hAnsi="Times New Roman"/>
                <w:sz w:val="18"/>
              </w:rPr>
              <w:br/>
              <w:t>Dust: 20 mg/ Nm³,</w:t>
            </w:r>
            <w:r>
              <w:rPr>
                <w:rFonts w:ascii="Times New Roman" w:hAnsi="Times New Roman"/>
                <w:sz w:val="18"/>
              </w:rPr>
              <w:br/>
              <w:t xml:space="preserve">NOx: 200 mg/ Nm³, SO₂: 600 mg/ Nm  </w:t>
            </w:r>
          </w:p>
        </w:tc>
        <w:tc>
          <w:tcPr>
            <w:tcW w:w="94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E21DB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2022-2031</w:t>
            </w:r>
            <w:r>
              <w:rPr>
                <w:rFonts w:ascii="Times New Roman" w:hAnsi="Times New Roman"/>
                <w:sz w:val="18"/>
              </w:rPr>
              <w:br/>
              <w:t>KEK Development Strategy 2021-2025</w:t>
            </w:r>
          </w:p>
        </w:tc>
        <w:tc>
          <w:tcPr>
            <w:tcW w:w="2250" w:type="dxa"/>
            <w:tcBorders>
              <w:top w:val="nil"/>
              <w:left w:val="nil"/>
              <w:bottom w:val="single" w:sz="8" w:space="0" w:color="auto"/>
              <w:right w:val="single" w:sz="8" w:space="0" w:color="auto"/>
            </w:tcBorders>
            <w:shd w:val="clear" w:color="auto" w:fill="auto"/>
            <w:vAlign w:val="center"/>
            <w:hideMark/>
          </w:tcPr>
          <w:p w14:paraId="089B7BA9" w14:textId="46588A0F" w:rsidR="00571EAF" w:rsidRPr="0086165A" w:rsidRDefault="00CA0961"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The </w:t>
            </w:r>
            <w:proofErr w:type="spellStart"/>
            <w:r>
              <w:rPr>
                <w:rFonts w:ascii="Times New Roman" w:hAnsi="Times New Roman"/>
                <w:sz w:val="18"/>
              </w:rPr>
              <w:t>DeNOx</w:t>
            </w:r>
            <w:proofErr w:type="spellEnd"/>
            <w:r>
              <w:rPr>
                <w:rFonts w:ascii="Times New Roman" w:hAnsi="Times New Roman"/>
                <w:sz w:val="18"/>
              </w:rPr>
              <w:t xml:space="preserve"> and Electrostatic Filters (</w:t>
            </w:r>
            <w:proofErr w:type="spellStart"/>
            <w:r>
              <w:rPr>
                <w:rFonts w:ascii="Times New Roman" w:hAnsi="Times New Roman"/>
                <w:sz w:val="18"/>
              </w:rPr>
              <w:t>electrofilters</w:t>
            </w:r>
            <w:proofErr w:type="spellEnd"/>
            <w:r>
              <w:rPr>
                <w:rFonts w:ascii="Times New Roman" w:hAnsi="Times New Roman"/>
                <w:sz w:val="18"/>
              </w:rPr>
              <w:t xml:space="preserve">) project has been postponed to 2026 for unit B1 and 2027 for unit B2. Because of this postponement, the projects that KEK/TCB has planned to implement in this period of time for </w:t>
            </w:r>
            <w:proofErr w:type="spellStart"/>
            <w:r>
              <w:rPr>
                <w:rFonts w:ascii="Times New Roman" w:hAnsi="Times New Roman"/>
                <w:sz w:val="18"/>
              </w:rPr>
              <w:t>DeNOx</w:t>
            </w:r>
            <w:proofErr w:type="spellEnd"/>
            <w:r>
              <w:rPr>
                <w:rFonts w:ascii="Times New Roman" w:hAnsi="Times New Roman"/>
                <w:sz w:val="18"/>
              </w:rPr>
              <w:t xml:space="preserve"> and electrostatic filters have also been postponement.  In 2025, projects will be carried out to modernize the turbine and replace the generator’s bars on unit B2—these are contracted by KEK. This means that there is no progress in the implementation of projects in the period January - June 2024.</w:t>
            </w:r>
          </w:p>
        </w:tc>
      </w:tr>
      <w:tr w:rsidR="00B36062" w:rsidRPr="0086165A" w14:paraId="26D808DD" w14:textId="77777777" w:rsidTr="004A694D">
        <w:trPr>
          <w:trHeight w:val="2355"/>
        </w:trPr>
        <w:tc>
          <w:tcPr>
            <w:tcW w:w="5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3E3AC8"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lastRenderedPageBreak/>
              <w:t>I.3.2</w:t>
            </w:r>
          </w:p>
        </w:tc>
        <w:tc>
          <w:tcPr>
            <w:tcW w:w="1974" w:type="dxa"/>
            <w:tcBorders>
              <w:top w:val="single" w:sz="8" w:space="0" w:color="auto"/>
              <w:left w:val="nil"/>
              <w:bottom w:val="single" w:sz="8" w:space="0" w:color="auto"/>
              <w:right w:val="single" w:sz="8" w:space="0" w:color="auto"/>
            </w:tcBorders>
            <w:shd w:val="clear" w:color="auto" w:fill="auto"/>
            <w:vAlign w:val="center"/>
            <w:hideMark/>
          </w:tcPr>
          <w:p w14:paraId="4D61EA90"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Rehabilitation of </w:t>
            </w:r>
            <w:proofErr w:type="spellStart"/>
            <w:r>
              <w:rPr>
                <w:rFonts w:ascii="Times New Roman" w:hAnsi="Times New Roman"/>
                <w:sz w:val="18"/>
              </w:rPr>
              <w:t>Kosova</w:t>
            </w:r>
            <w:proofErr w:type="spellEnd"/>
            <w:r>
              <w:rPr>
                <w:rFonts w:ascii="Times New Roman" w:hAnsi="Times New Roman"/>
                <w:sz w:val="18"/>
              </w:rPr>
              <w:t xml:space="preserve"> B2 unit</w:t>
            </w:r>
          </w:p>
        </w:tc>
        <w:tc>
          <w:tcPr>
            <w:tcW w:w="698" w:type="dxa"/>
            <w:tcBorders>
              <w:top w:val="single" w:sz="8" w:space="0" w:color="auto"/>
              <w:left w:val="nil"/>
              <w:bottom w:val="single" w:sz="8" w:space="0" w:color="auto"/>
              <w:right w:val="single" w:sz="8" w:space="0" w:color="auto"/>
            </w:tcBorders>
            <w:shd w:val="clear" w:color="auto" w:fill="auto"/>
            <w:vAlign w:val="center"/>
            <w:hideMark/>
          </w:tcPr>
          <w:p w14:paraId="4070835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59" w:type="dxa"/>
            <w:tcBorders>
              <w:top w:val="single" w:sz="8" w:space="0" w:color="auto"/>
              <w:left w:val="nil"/>
              <w:bottom w:val="single" w:sz="8" w:space="0" w:color="auto"/>
              <w:right w:val="single" w:sz="8" w:space="0" w:color="auto"/>
            </w:tcBorders>
            <w:shd w:val="clear" w:color="000000" w:fill="FFFFFF"/>
            <w:vAlign w:val="center"/>
            <w:hideMark/>
          </w:tcPr>
          <w:p w14:paraId="376B38B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140" w:type="dxa"/>
            <w:tcBorders>
              <w:top w:val="single" w:sz="8" w:space="0" w:color="auto"/>
              <w:left w:val="nil"/>
              <w:bottom w:val="single" w:sz="8" w:space="0" w:color="auto"/>
              <w:right w:val="single" w:sz="8" w:space="0" w:color="auto"/>
            </w:tcBorders>
            <w:shd w:val="clear" w:color="000000" w:fill="FFFFFF"/>
            <w:vAlign w:val="center"/>
            <w:hideMark/>
          </w:tcPr>
          <w:p w14:paraId="276C4A8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7,500,000.00 </w:t>
            </w:r>
          </w:p>
        </w:tc>
        <w:tc>
          <w:tcPr>
            <w:tcW w:w="1220" w:type="dxa"/>
            <w:tcBorders>
              <w:top w:val="single" w:sz="8" w:space="0" w:color="auto"/>
              <w:left w:val="nil"/>
              <w:bottom w:val="single" w:sz="8" w:space="0" w:color="auto"/>
              <w:right w:val="single" w:sz="8" w:space="0" w:color="auto"/>
            </w:tcBorders>
            <w:shd w:val="clear" w:color="000000" w:fill="FFFFFF"/>
            <w:vAlign w:val="center"/>
            <w:hideMark/>
          </w:tcPr>
          <w:p w14:paraId="0073184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1140" w:type="dxa"/>
            <w:tcBorders>
              <w:top w:val="single" w:sz="8" w:space="0" w:color="auto"/>
              <w:left w:val="nil"/>
              <w:bottom w:val="nil"/>
              <w:right w:val="single" w:sz="8" w:space="0" w:color="auto"/>
            </w:tcBorders>
            <w:shd w:val="clear" w:color="000000" w:fill="FFFFFF"/>
            <w:vAlign w:val="center"/>
            <w:hideMark/>
          </w:tcPr>
          <w:p w14:paraId="5A76EE0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88,000,000.00 </w:t>
            </w:r>
          </w:p>
        </w:tc>
        <w:tc>
          <w:tcPr>
            <w:tcW w:w="1099" w:type="dxa"/>
            <w:tcBorders>
              <w:top w:val="single" w:sz="8" w:space="0" w:color="auto"/>
              <w:left w:val="nil"/>
              <w:bottom w:val="nil"/>
              <w:right w:val="single" w:sz="8" w:space="0" w:color="auto"/>
            </w:tcBorders>
            <w:shd w:val="clear" w:color="auto" w:fill="auto"/>
            <w:vAlign w:val="center"/>
            <w:hideMark/>
          </w:tcPr>
          <w:p w14:paraId="1F95552A" w14:textId="77777777" w:rsidR="00571EAF" w:rsidRPr="006D6D77" w:rsidRDefault="00571EAF" w:rsidP="00571EAF">
            <w:pPr>
              <w:spacing w:after="0" w:line="240" w:lineRule="auto"/>
              <w:jc w:val="center"/>
              <w:rPr>
                <w:rFonts w:ascii="Times New Roman" w:eastAsia="Times New Roman" w:hAnsi="Times New Roman" w:cs="Times New Roman"/>
                <w:sz w:val="18"/>
                <w:szCs w:val="18"/>
                <w:lang w:val="fr-FR"/>
              </w:rPr>
            </w:pPr>
            <w:r w:rsidRPr="006D6D77">
              <w:rPr>
                <w:rFonts w:ascii="Times New Roman" w:hAnsi="Times New Roman"/>
                <w:sz w:val="18"/>
                <w:lang w:val="fr-FR"/>
              </w:rPr>
              <w:t>KEK - €49.5 million</w:t>
            </w:r>
            <w:r w:rsidRPr="006D6D77">
              <w:rPr>
                <w:rFonts w:ascii="Times New Roman" w:hAnsi="Times New Roman"/>
                <w:sz w:val="18"/>
                <w:lang w:val="fr-FR"/>
              </w:rPr>
              <w:br/>
              <w:t>EU Grant -€38.5 million (</w:t>
            </w:r>
            <w:proofErr w:type="spellStart"/>
            <w:r w:rsidRPr="006D6D77">
              <w:rPr>
                <w:rFonts w:ascii="Times New Roman" w:hAnsi="Times New Roman"/>
                <w:sz w:val="18"/>
                <w:lang w:val="fr-FR"/>
              </w:rPr>
              <w:t>Electrofilters</w:t>
            </w:r>
            <w:proofErr w:type="spellEnd"/>
            <w:r w:rsidRPr="006D6D77">
              <w:rPr>
                <w:rFonts w:ascii="Times New Roman" w:hAnsi="Times New Roman"/>
                <w:sz w:val="18"/>
                <w:lang w:val="fr-FR"/>
              </w:rPr>
              <w:t xml:space="preserve"> &amp; De-Nox)</w:t>
            </w:r>
          </w:p>
        </w:tc>
        <w:tc>
          <w:tcPr>
            <w:tcW w:w="1002" w:type="dxa"/>
            <w:tcBorders>
              <w:top w:val="single" w:sz="8" w:space="0" w:color="auto"/>
              <w:left w:val="nil"/>
              <w:bottom w:val="nil"/>
              <w:right w:val="single" w:sz="8" w:space="0" w:color="auto"/>
            </w:tcBorders>
            <w:shd w:val="clear" w:color="auto" w:fill="auto"/>
            <w:vAlign w:val="center"/>
            <w:hideMark/>
          </w:tcPr>
          <w:p w14:paraId="3EF0DF0F" w14:textId="77777777" w:rsidR="00571EAF" w:rsidRPr="0086165A" w:rsidRDefault="008A4C62"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KEK, ME, ERO</w:t>
            </w:r>
          </w:p>
        </w:tc>
        <w:tc>
          <w:tcPr>
            <w:tcW w:w="1287" w:type="dxa"/>
            <w:vMerge/>
            <w:tcBorders>
              <w:top w:val="nil"/>
              <w:left w:val="single" w:sz="8" w:space="0" w:color="auto"/>
              <w:bottom w:val="single" w:sz="8" w:space="0" w:color="000000"/>
              <w:right w:val="single" w:sz="8" w:space="0" w:color="auto"/>
            </w:tcBorders>
            <w:vAlign w:val="center"/>
            <w:hideMark/>
          </w:tcPr>
          <w:p w14:paraId="39AA2222" w14:textId="77777777" w:rsidR="00571EAF" w:rsidRPr="0086165A" w:rsidRDefault="00571EAF" w:rsidP="00571EAF">
            <w:pPr>
              <w:spacing w:after="0" w:line="240" w:lineRule="auto"/>
              <w:rPr>
                <w:rFonts w:ascii="Times New Roman" w:eastAsia="Times New Roman" w:hAnsi="Times New Roman" w:cs="Times New Roman"/>
                <w:sz w:val="18"/>
                <w:szCs w:val="18"/>
              </w:rPr>
            </w:pPr>
          </w:p>
        </w:tc>
        <w:tc>
          <w:tcPr>
            <w:tcW w:w="949" w:type="dxa"/>
            <w:vMerge/>
            <w:tcBorders>
              <w:top w:val="nil"/>
              <w:left w:val="single" w:sz="8" w:space="0" w:color="auto"/>
              <w:bottom w:val="single" w:sz="8" w:space="0" w:color="000000"/>
              <w:right w:val="single" w:sz="8" w:space="0" w:color="auto"/>
            </w:tcBorders>
            <w:vAlign w:val="center"/>
            <w:hideMark/>
          </w:tcPr>
          <w:p w14:paraId="4EEC4A77" w14:textId="77777777" w:rsidR="00571EAF" w:rsidRPr="0086165A" w:rsidRDefault="00571EAF" w:rsidP="00571EAF">
            <w:pPr>
              <w:spacing w:after="0" w:line="240" w:lineRule="auto"/>
              <w:rPr>
                <w:rFonts w:ascii="Times New Roman" w:eastAsia="Times New Roman" w:hAnsi="Times New Roman" w:cs="Times New Roman"/>
                <w:sz w:val="18"/>
                <w:szCs w:val="18"/>
              </w:rPr>
            </w:pPr>
          </w:p>
        </w:tc>
        <w:tc>
          <w:tcPr>
            <w:tcW w:w="2250" w:type="dxa"/>
            <w:tcBorders>
              <w:top w:val="nil"/>
              <w:left w:val="nil"/>
              <w:bottom w:val="single" w:sz="8" w:space="0" w:color="auto"/>
              <w:right w:val="single" w:sz="8" w:space="0" w:color="auto"/>
            </w:tcBorders>
            <w:shd w:val="clear" w:color="auto" w:fill="auto"/>
            <w:vAlign w:val="center"/>
            <w:hideMark/>
          </w:tcPr>
          <w:p w14:paraId="59F1A872" w14:textId="35DE301E" w:rsidR="00571EAF" w:rsidRPr="0086165A" w:rsidRDefault="00CA0961"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The </w:t>
            </w:r>
            <w:proofErr w:type="spellStart"/>
            <w:r>
              <w:rPr>
                <w:rFonts w:ascii="Times New Roman" w:hAnsi="Times New Roman"/>
                <w:sz w:val="18"/>
              </w:rPr>
              <w:t>DeNOx</w:t>
            </w:r>
            <w:proofErr w:type="spellEnd"/>
            <w:r>
              <w:rPr>
                <w:rFonts w:ascii="Times New Roman" w:hAnsi="Times New Roman"/>
                <w:sz w:val="18"/>
              </w:rPr>
              <w:t xml:space="preserve"> and Electrostatic Filters (</w:t>
            </w:r>
            <w:proofErr w:type="spellStart"/>
            <w:r>
              <w:rPr>
                <w:rFonts w:ascii="Times New Roman" w:hAnsi="Times New Roman"/>
                <w:sz w:val="18"/>
              </w:rPr>
              <w:t>electrofilters</w:t>
            </w:r>
            <w:proofErr w:type="spellEnd"/>
            <w:r>
              <w:rPr>
                <w:rFonts w:ascii="Times New Roman" w:hAnsi="Times New Roman"/>
                <w:sz w:val="18"/>
              </w:rPr>
              <w:t xml:space="preserve">) project has been postponed to 2026 for unit B1 and 2027 for unit B2. Because of this postponement, the projects that KEK/TPPB has planned to implement in this period of time for </w:t>
            </w:r>
            <w:proofErr w:type="spellStart"/>
            <w:r>
              <w:rPr>
                <w:rFonts w:ascii="Times New Roman" w:hAnsi="Times New Roman"/>
                <w:sz w:val="18"/>
              </w:rPr>
              <w:t>DeNOx</w:t>
            </w:r>
            <w:proofErr w:type="spellEnd"/>
            <w:r>
              <w:rPr>
                <w:rFonts w:ascii="Times New Roman" w:hAnsi="Times New Roman"/>
                <w:sz w:val="18"/>
              </w:rPr>
              <w:t xml:space="preserve"> and electrostatic filters have also been postponement.  In 2025, projects will be carried out to modernize the turbine and replace the generator’s bars on unit B2—these are contracted by KEK. This means that there is no progress in the implementation of projects in the period January - June 2024.</w:t>
            </w:r>
          </w:p>
        </w:tc>
      </w:tr>
      <w:tr w:rsidR="00B36062" w:rsidRPr="0086165A" w14:paraId="2547CF06" w14:textId="77777777" w:rsidTr="004A694D">
        <w:trPr>
          <w:trHeight w:val="108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48D8CBE5"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I.3.3</w:t>
            </w:r>
          </w:p>
        </w:tc>
        <w:tc>
          <w:tcPr>
            <w:tcW w:w="1974" w:type="dxa"/>
            <w:tcBorders>
              <w:top w:val="nil"/>
              <w:left w:val="nil"/>
              <w:bottom w:val="single" w:sz="8" w:space="0" w:color="auto"/>
              <w:right w:val="single" w:sz="8" w:space="0" w:color="auto"/>
            </w:tcBorders>
            <w:shd w:val="clear" w:color="auto" w:fill="auto"/>
            <w:vAlign w:val="center"/>
            <w:hideMark/>
          </w:tcPr>
          <w:p w14:paraId="4012E037"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Rehabilitation of one unit of </w:t>
            </w:r>
            <w:proofErr w:type="spellStart"/>
            <w:r>
              <w:rPr>
                <w:rFonts w:ascii="Times New Roman" w:hAnsi="Times New Roman"/>
                <w:sz w:val="18"/>
              </w:rPr>
              <w:t>Kosova</w:t>
            </w:r>
            <w:proofErr w:type="spellEnd"/>
            <w:r>
              <w:rPr>
                <w:rFonts w:ascii="Times New Roman" w:hAnsi="Times New Roman"/>
                <w:sz w:val="18"/>
              </w:rPr>
              <w:t xml:space="preserve"> A</w:t>
            </w:r>
          </w:p>
        </w:tc>
        <w:tc>
          <w:tcPr>
            <w:tcW w:w="698" w:type="dxa"/>
            <w:tcBorders>
              <w:top w:val="nil"/>
              <w:left w:val="nil"/>
              <w:bottom w:val="single" w:sz="8" w:space="0" w:color="auto"/>
              <w:right w:val="single" w:sz="8" w:space="0" w:color="auto"/>
            </w:tcBorders>
            <w:shd w:val="clear" w:color="auto" w:fill="auto"/>
            <w:vAlign w:val="center"/>
            <w:hideMark/>
          </w:tcPr>
          <w:p w14:paraId="2F30778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1059" w:type="dxa"/>
            <w:tcBorders>
              <w:top w:val="nil"/>
              <w:left w:val="nil"/>
              <w:bottom w:val="single" w:sz="8" w:space="0" w:color="auto"/>
              <w:right w:val="single" w:sz="8" w:space="0" w:color="auto"/>
            </w:tcBorders>
            <w:shd w:val="clear" w:color="000000" w:fill="FFFFFF"/>
            <w:vAlign w:val="center"/>
            <w:hideMark/>
          </w:tcPr>
          <w:p w14:paraId="7166057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1140" w:type="dxa"/>
            <w:tcBorders>
              <w:top w:val="nil"/>
              <w:left w:val="nil"/>
              <w:bottom w:val="single" w:sz="8" w:space="0" w:color="auto"/>
              <w:right w:val="single" w:sz="8" w:space="0" w:color="auto"/>
            </w:tcBorders>
            <w:shd w:val="clear" w:color="000000" w:fill="FFFFFF"/>
            <w:vAlign w:val="center"/>
            <w:hideMark/>
          </w:tcPr>
          <w:p w14:paraId="71ED033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15,000,000.00 </w:t>
            </w:r>
          </w:p>
        </w:tc>
        <w:tc>
          <w:tcPr>
            <w:tcW w:w="1220" w:type="dxa"/>
            <w:tcBorders>
              <w:top w:val="nil"/>
              <w:left w:val="nil"/>
              <w:bottom w:val="single" w:sz="8" w:space="0" w:color="auto"/>
              <w:right w:val="single" w:sz="8" w:space="0" w:color="auto"/>
            </w:tcBorders>
            <w:shd w:val="clear" w:color="000000" w:fill="FFFFFF"/>
            <w:vAlign w:val="center"/>
            <w:hideMark/>
          </w:tcPr>
          <w:p w14:paraId="2CA061F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105,000,000.00 </w:t>
            </w:r>
          </w:p>
        </w:tc>
        <w:tc>
          <w:tcPr>
            <w:tcW w:w="1140" w:type="dxa"/>
            <w:tcBorders>
              <w:top w:val="single" w:sz="8" w:space="0" w:color="auto"/>
              <w:left w:val="nil"/>
              <w:bottom w:val="nil"/>
              <w:right w:val="single" w:sz="8" w:space="0" w:color="auto"/>
            </w:tcBorders>
            <w:shd w:val="clear" w:color="000000" w:fill="FFFFFF"/>
            <w:vAlign w:val="center"/>
            <w:hideMark/>
          </w:tcPr>
          <w:p w14:paraId="1FDB219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099" w:type="dxa"/>
            <w:tcBorders>
              <w:top w:val="single" w:sz="8" w:space="0" w:color="auto"/>
              <w:left w:val="nil"/>
              <w:bottom w:val="nil"/>
              <w:right w:val="single" w:sz="8" w:space="0" w:color="auto"/>
            </w:tcBorders>
            <w:shd w:val="clear" w:color="auto" w:fill="auto"/>
            <w:vAlign w:val="center"/>
            <w:hideMark/>
          </w:tcPr>
          <w:p w14:paraId="34A5588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KEK</w:t>
            </w:r>
          </w:p>
        </w:tc>
        <w:tc>
          <w:tcPr>
            <w:tcW w:w="1002" w:type="dxa"/>
            <w:tcBorders>
              <w:top w:val="single" w:sz="8" w:space="0" w:color="auto"/>
              <w:left w:val="nil"/>
              <w:bottom w:val="nil"/>
              <w:right w:val="single" w:sz="8" w:space="0" w:color="auto"/>
            </w:tcBorders>
            <w:shd w:val="clear" w:color="auto" w:fill="auto"/>
            <w:vAlign w:val="center"/>
            <w:hideMark/>
          </w:tcPr>
          <w:p w14:paraId="4643153B" w14:textId="77777777" w:rsidR="00571EAF" w:rsidRPr="0086165A" w:rsidRDefault="00FA63BA"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KEK, ME, ERO</w:t>
            </w:r>
          </w:p>
        </w:tc>
        <w:tc>
          <w:tcPr>
            <w:tcW w:w="1287" w:type="dxa"/>
            <w:tcBorders>
              <w:top w:val="nil"/>
              <w:left w:val="nil"/>
              <w:bottom w:val="single" w:sz="8" w:space="0" w:color="auto"/>
              <w:right w:val="single" w:sz="8" w:space="0" w:color="auto"/>
            </w:tcBorders>
            <w:shd w:val="clear" w:color="000000" w:fill="FFFFFF"/>
            <w:hideMark/>
          </w:tcPr>
          <w:p w14:paraId="16924384" w14:textId="77777777" w:rsidR="00571EAF" w:rsidRPr="0014539F" w:rsidRDefault="00571EAF" w:rsidP="00571EAF">
            <w:pPr>
              <w:spacing w:after="240" w:line="240" w:lineRule="auto"/>
              <w:jc w:val="center"/>
              <w:rPr>
                <w:rFonts w:ascii="Times New Roman" w:eastAsia="Times New Roman" w:hAnsi="Times New Roman" w:cs="Times New Roman"/>
                <w:sz w:val="18"/>
                <w:szCs w:val="18"/>
              </w:rPr>
            </w:pPr>
            <w:r>
              <w:rPr>
                <w:rFonts w:ascii="Times New Roman" w:hAnsi="Times New Roman"/>
                <w:sz w:val="18"/>
              </w:rPr>
              <w:t>Increase capacity from 130 MW to 180 MW.</w:t>
            </w:r>
            <w:r>
              <w:rPr>
                <w:rFonts w:ascii="Times New Roman" w:hAnsi="Times New Roman"/>
                <w:sz w:val="18"/>
              </w:rPr>
              <w:br/>
            </w:r>
          </w:p>
        </w:tc>
        <w:tc>
          <w:tcPr>
            <w:tcW w:w="949" w:type="dxa"/>
            <w:tcBorders>
              <w:top w:val="nil"/>
              <w:left w:val="nil"/>
              <w:bottom w:val="single" w:sz="8" w:space="0" w:color="auto"/>
              <w:right w:val="single" w:sz="8" w:space="0" w:color="auto"/>
            </w:tcBorders>
            <w:shd w:val="clear" w:color="000000" w:fill="FFFFFF"/>
            <w:vAlign w:val="center"/>
            <w:hideMark/>
          </w:tcPr>
          <w:p w14:paraId="0434D295"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2022 - 2031 </w:t>
            </w:r>
          </w:p>
        </w:tc>
        <w:tc>
          <w:tcPr>
            <w:tcW w:w="2250" w:type="dxa"/>
            <w:tcBorders>
              <w:top w:val="nil"/>
              <w:left w:val="nil"/>
              <w:bottom w:val="single" w:sz="8" w:space="0" w:color="auto"/>
              <w:right w:val="single" w:sz="8" w:space="0" w:color="auto"/>
            </w:tcBorders>
            <w:shd w:val="clear" w:color="auto" w:fill="auto"/>
            <w:vAlign w:val="center"/>
            <w:hideMark/>
          </w:tcPr>
          <w:p w14:paraId="797F575F" w14:textId="5608A3CD" w:rsidR="00571EAF" w:rsidRPr="00D94C33" w:rsidRDefault="00B36062" w:rsidP="00571EAF">
            <w:pPr>
              <w:spacing w:after="0" w:line="240" w:lineRule="auto"/>
              <w:rPr>
                <w:rFonts w:ascii="Times New Roman" w:eastAsia="Times New Roman" w:hAnsi="Times New Roman" w:cs="Times New Roman"/>
                <w:sz w:val="18"/>
                <w:szCs w:val="18"/>
              </w:rPr>
            </w:pPr>
            <w:r>
              <w:rPr>
                <w:rFonts w:ascii="Times New Roman" w:hAnsi="Times New Roman"/>
                <w:sz w:val="18"/>
              </w:rPr>
              <w:t>The technical specification has been completed and submitted to Senior Management and the Board. In December 2024, the initial budget was approved for the rehabilitation and modernization of unit A3. The process was initiated by the Procurement Office (PO) on 23.01.2025.</w:t>
            </w:r>
          </w:p>
        </w:tc>
      </w:tr>
      <w:tr w:rsidR="00B36062" w:rsidRPr="0086165A" w14:paraId="7B4149D9" w14:textId="77777777" w:rsidTr="004A694D">
        <w:trPr>
          <w:trHeight w:val="150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4EDDE83A"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I.3.4</w:t>
            </w:r>
          </w:p>
        </w:tc>
        <w:tc>
          <w:tcPr>
            <w:tcW w:w="1974" w:type="dxa"/>
            <w:tcBorders>
              <w:top w:val="nil"/>
              <w:left w:val="nil"/>
              <w:bottom w:val="single" w:sz="8" w:space="0" w:color="auto"/>
              <w:right w:val="single" w:sz="8" w:space="0" w:color="auto"/>
            </w:tcBorders>
            <w:shd w:val="clear" w:color="auto" w:fill="auto"/>
            <w:vAlign w:val="center"/>
            <w:hideMark/>
          </w:tcPr>
          <w:p w14:paraId="3222EB1D"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Machinery, conveyor belts, expropriations and other investments in the expropriation of mines</w:t>
            </w:r>
          </w:p>
          <w:p w14:paraId="00A27C8C"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7490C57F"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70F593A5"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182E05B9"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389E4986"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2B775FD0"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1DA38901" w14:textId="77777777" w:rsidR="004A694D" w:rsidRPr="006D6D77" w:rsidRDefault="004A694D" w:rsidP="00571EAF">
            <w:pPr>
              <w:spacing w:after="0" w:line="240" w:lineRule="auto"/>
              <w:rPr>
                <w:rFonts w:ascii="Times New Roman" w:eastAsia="Times New Roman" w:hAnsi="Times New Roman" w:cs="Times New Roman"/>
                <w:sz w:val="18"/>
                <w:szCs w:val="18"/>
              </w:rPr>
            </w:pPr>
          </w:p>
        </w:tc>
        <w:tc>
          <w:tcPr>
            <w:tcW w:w="698" w:type="dxa"/>
            <w:tcBorders>
              <w:top w:val="nil"/>
              <w:left w:val="nil"/>
              <w:bottom w:val="single" w:sz="8" w:space="0" w:color="auto"/>
              <w:right w:val="single" w:sz="8" w:space="0" w:color="auto"/>
            </w:tcBorders>
            <w:shd w:val="clear" w:color="auto" w:fill="auto"/>
            <w:vAlign w:val="center"/>
            <w:hideMark/>
          </w:tcPr>
          <w:p w14:paraId="25CBA80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1059" w:type="dxa"/>
            <w:tcBorders>
              <w:top w:val="nil"/>
              <w:left w:val="nil"/>
              <w:bottom w:val="single" w:sz="8" w:space="0" w:color="auto"/>
              <w:right w:val="single" w:sz="8" w:space="0" w:color="auto"/>
            </w:tcBorders>
            <w:shd w:val="clear" w:color="000000" w:fill="FFFFFF"/>
            <w:vAlign w:val="center"/>
            <w:hideMark/>
          </w:tcPr>
          <w:p w14:paraId="10FAFFE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€ 3,800,000.00 </w:t>
            </w:r>
          </w:p>
        </w:tc>
        <w:tc>
          <w:tcPr>
            <w:tcW w:w="1140" w:type="dxa"/>
            <w:tcBorders>
              <w:top w:val="nil"/>
              <w:left w:val="nil"/>
              <w:bottom w:val="single" w:sz="8" w:space="0" w:color="auto"/>
              <w:right w:val="single" w:sz="8" w:space="0" w:color="auto"/>
            </w:tcBorders>
            <w:shd w:val="clear" w:color="000000" w:fill="FFFFFF"/>
            <w:vAlign w:val="center"/>
            <w:hideMark/>
          </w:tcPr>
          <w:p w14:paraId="0836DF3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48,200,000.00 </w:t>
            </w:r>
          </w:p>
        </w:tc>
        <w:tc>
          <w:tcPr>
            <w:tcW w:w="1220" w:type="dxa"/>
            <w:tcBorders>
              <w:top w:val="nil"/>
              <w:left w:val="nil"/>
              <w:bottom w:val="single" w:sz="8" w:space="0" w:color="auto"/>
              <w:right w:val="single" w:sz="8" w:space="0" w:color="auto"/>
            </w:tcBorders>
            <w:shd w:val="clear" w:color="000000" w:fill="FFFFFF"/>
            <w:vAlign w:val="center"/>
            <w:hideMark/>
          </w:tcPr>
          <w:p w14:paraId="3C1ED6B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28,340,000.00 </w:t>
            </w:r>
          </w:p>
        </w:tc>
        <w:tc>
          <w:tcPr>
            <w:tcW w:w="1140" w:type="dxa"/>
            <w:tcBorders>
              <w:top w:val="single" w:sz="8" w:space="0" w:color="auto"/>
              <w:left w:val="nil"/>
              <w:bottom w:val="single" w:sz="8" w:space="0" w:color="auto"/>
              <w:right w:val="single" w:sz="8" w:space="0" w:color="auto"/>
            </w:tcBorders>
            <w:shd w:val="clear" w:color="000000" w:fill="FFFFFF"/>
            <w:vAlign w:val="center"/>
            <w:hideMark/>
          </w:tcPr>
          <w:p w14:paraId="0620F79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28,340,000.00 </w:t>
            </w:r>
          </w:p>
        </w:tc>
        <w:tc>
          <w:tcPr>
            <w:tcW w:w="1099" w:type="dxa"/>
            <w:tcBorders>
              <w:top w:val="single" w:sz="8" w:space="0" w:color="auto"/>
              <w:left w:val="nil"/>
              <w:bottom w:val="single" w:sz="8" w:space="0" w:color="auto"/>
              <w:right w:val="single" w:sz="8" w:space="0" w:color="auto"/>
            </w:tcBorders>
            <w:shd w:val="clear" w:color="000000" w:fill="FFFFFF"/>
            <w:vAlign w:val="center"/>
            <w:hideMark/>
          </w:tcPr>
          <w:p w14:paraId="39C80B8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KEK</w:t>
            </w:r>
          </w:p>
        </w:tc>
        <w:tc>
          <w:tcPr>
            <w:tcW w:w="1002" w:type="dxa"/>
            <w:tcBorders>
              <w:top w:val="single" w:sz="8" w:space="0" w:color="auto"/>
              <w:left w:val="nil"/>
              <w:bottom w:val="single" w:sz="8" w:space="0" w:color="auto"/>
              <w:right w:val="single" w:sz="8" w:space="0" w:color="auto"/>
            </w:tcBorders>
            <w:shd w:val="clear" w:color="auto" w:fill="auto"/>
            <w:vAlign w:val="center"/>
            <w:hideMark/>
          </w:tcPr>
          <w:p w14:paraId="4A6F8E3D" w14:textId="77777777" w:rsidR="00571EAF" w:rsidRPr="0086165A" w:rsidRDefault="00DA6221"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KEK, ME, ERO</w:t>
            </w:r>
          </w:p>
        </w:tc>
        <w:tc>
          <w:tcPr>
            <w:tcW w:w="1287" w:type="dxa"/>
            <w:tcBorders>
              <w:top w:val="nil"/>
              <w:left w:val="nil"/>
              <w:bottom w:val="single" w:sz="8" w:space="0" w:color="auto"/>
              <w:right w:val="single" w:sz="8" w:space="0" w:color="auto"/>
            </w:tcBorders>
            <w:shd w:val="clear" w:color="auto" w:fill="auto"/>
            <w:vAlign w:val="center"/>
            <w:hideMark/>
          </w:tcPr>
          <w:p w14:paraId="34B0A39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Investment in mine</w:t>
            </w:r>
          </w:p>
        </w:tc>
        <w:tc>
          <w:tcPr>
            <w:tcW w:w="949" w:type="dxa"/>
            <w:tcBorders>
              <w:top w:val="nil"/>
              <w:left w:val="nil"/>
              <w:bottom w:val="single" w:sz="8" w:space="0" w:color="auto"/>
              <w:right w:val="single" w:sz="8" w:space="0" w:color="auto"/>
            </w:tcBorders>
            <w:shd w:val="clear" w:color="000000" w:fill="FFFFFF"/>
            <w:vAlign w:val="center"/>
            <w:hideMark/>
          </w:tcPr>
          <w:p w14:paraId="77807AC5"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2022 - 2031 </w:t>
            </w:r>
          </w:p>
        </w:tc>
        <w:tc>
          <w:tcPr>
            <w:tcW w:w="2250" w:type="dxa"/>
            <w:tcBorders>
              <w:top w:val="nil"/>
              <w:left w:val="nil"/>
              <w:bottom w:val="single" w:sz="8" w:space="0" w:color="auto"/>
              <w:right w:val="single" w:sz="8" w:space="0" w:color="auto"/>
            </w:tcBorders>
            <w:shd w:val="clear" w:color="auto" w:fill="auto"/>
            <w:vAlign w:val="center"/>
            <w:hideMark/>
          </w:tcPr>
          <w:p w14:paraId="16F2CA22" w14:textId="1FDA94B5" w:rsidR="00571EAF" w:rsidRPr="0014539F" w:rsidRDefault="00B36062" w:rsidP="00571EAF">
            <w:pPr>
              <w:spacing w:after="0" w:line="240" w:lineRule="auto"/>
              <w:rPr>
                <w:rFonts w:ascii="Times New Roman" w:eastAsia="Times New Roman" w:hAnsi="Times New Roman" w:cs="Times New Roman"/>
                <w:sz w:val="18"/>
                <w:szCs w:val="18"/>
              </w:rPr>
            </w:pPr>
            <w:r>
              <w:rPr>
                <w:rFonts w:ascii="Times New Roman" w:hAnsi="Times New Roman"/>
                <w:sz w:val="18"/>
              </w:rPr>
              <w:t>From the initiating units, all requests that have reached DIP, have been proceeded  for further addressing in DF and ZEP.</w:t>
            </w:r>
          </w:p>
        </w:tc>
      </w:tr>
      <w:tr w:rsidR="00571EAF" w:rsidRPr="0086165A" w14:paraId="2D75A8C8" w14:textId="77777777" w:rsidTr="004A694D">
        <w:trPr>
          <w:trHeight w:val="315"/>
        </w:trPr>
        <w:tc>
          <w:tcPr>
            <w:tcW w:w="577" w:type="dxa"/>
            <w:tcBorders>
              <w:top w:val="nil"/>
              <w:left w:val="single" w:sz="8" w:space="0" w:color="auto"/>
              <w:bottom w:val="single" w:sz="8" w:space="0" w:color="auto"/>
              <w:right w:val="single" w:sz="8" w:space="0" w:color="auto"/>
            </w:tcBorders>
            <w:shd w:val="clear" w:color="000000" w:fill="D9D9D9"/>
            <w:vAlign w:val="center"/>
            <w:hideMark/>
          </w:tcPr>
          <w:p w14:paraId="12BAFF53"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I.4</w:t>
            </w:r>
          </w:p>
        </w:tc>
        <w:tc>
          <w:tcPr>
            <w:tcW w:w="11568" w:type="dxa"/>
            <w:gridSpan w:val="10"/>
            <w:tcBorders>
              <w:top w:val="nil"/>
              <w:left w:val="nil"/>
              <w:bottom w:val="single" w:sz="8" w:space="0" w:color="auto"/>
              <w:right w:val="single" w:sz="8" w:space="0" w:color="000000"/>
            </w:tcBorders>
            <w:shd w:val="clear" w:color="000000" w:fill="D9D9D9"/>
            <w:vAlign w:val="center"/>
            <w:hideMark/>
          </w:tcPr>
          <w:p w14:paraId="2AE1BF70"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Specific Objective:  Ensuring cybersecurity of the energy sector</w:t>
            </w:r>
          </w:p>
        </w:tc>
        <w:tc>
          <w:tcPr>
            <w:tcW w:w="2250" w:type="dxa"/>
            <w:tcBorders>
              <w:top w:val="nil"/>
              <w:left w:val="nil"/>
              <w:bottom w:val="nil"/>
              <w:right w:val="nil"/>
            </w:tcBorders>
            <w:shd w:val="clear" w:color="auto" w:fill="auto"/>
            <w:noWrap/>
            <w:vAlign w:val="bottom"/>
            <w:hideMark/>
          </w:tcPr>
          <w:p w14:paraId="3179EC94"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r>
      <w:tr w:rsidR="00571EAF" w:rsidRPr="0086165A" w14:paraId="16221528" w14:textId="77777777" w:rsidTr="004A694D">
        <w:trPr>
          <w:trHeight w:val="735"/>
        </w:trPr>
        <w:tc>
          <w:tcPr>
            <w:tcW w:w="577" w:type="dxa"/>
            <w:tcBorders>
              <w:top w:val="nil"/>
              <w:left w:val="single" w:sz="8" w:space="0" w:color="auto"/>
              <w:bottom w:val="single" w:sz="8" w:space="0" w:color="auto"/>
              <w:right w:val="single" w:sz="8" w:space="0" w:color="auto"/>
            </w:tcBorders>
            <w:shd w:val="clear" w:color="000000" w:fill="D0CECE"/>
            <w:vAlign w:val="center"/>
            <w:hideMark/>
          </w:tcPr>
          <w:p w14:paraId="15D8D148"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lastRenderedPageBreak/>
              <w:t> </w:t>
            </w:r>
          </w:p>
        </w:tc>
        <w:tc>
          <w:tcPr>
            <w:tcW w:w="1974" w:type="dxa"/>
            <w:tcBorders>
              <w:top w:val="nil"/>
              <w:left w:val="nil"/>
              <w:bottom w:val="nil"/>
              <w:right w:val="single" w:sz="8" w:space="0" w:color="auto"/>
            </w:tcBorders>
            <w:shd w:val="clear" w:color="000000" w:fill="D0CECE"/>
            <w:vAlign w:val="center"/>
            <w:hideMark/>
          </w:tcPr>
          <w:p w14:paraId="39E17BB7"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Indicator</w:t>
            </w:r>
          </w:p>
        </w:tc>
        <w:tc>
          <w:tcPr>
            <w:tcW w:w="2897" w:type="dxa"/>
            <w:gridSpan w:val="3"/>
            <w:tcBorders>
              <w:top w:val="single" w:sz="8" w:space="0" w:color="auto"/>
              <w:left w:val="nil"/>
              <w:bottom w:val="single" w:sz="8" w:space="0" w:color="auto"/>
              <w:right w:val="nil"/>
            </w:tcBorders>
            <w:shd w:val="clear" w:color="000000" w:fill="D9D9D9"/>
            <w:vAlign w:val="center"/>
            <w:hideMark/>
          </w:tcPr>
          <w:p w14:paraId="1A53FD0A"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xml:space="preserve">Baseline value </w:t>
            </w:r>
          </w:p>
        </w:tc>
        <w:tc>
          <w:tcPr>
            <w:tcW w:w="2360" w:type="dxa"/>
            <w:gridSpan w:val="2"/>
            <w:tcBorders>
              <w:top w:val="single" w:sz="8" w:space="0" w:color="auto"/>
              <w:left w:val="single" w:sz="8" w:space="0" w:color="auto"/>
              <w:bottom w:val="single" w:sz="8" w:space="0" w:color="auto"/>
              <w:right w:val="nil"/>
            </w:tcBorders>
            <w:shd w:val="clear" w:color="000000" w:fill="D9D9D9"/>
            <w:vAlign w:val="center"/>
            <w:hideMark/>
          </w:tcPr>
          <w:p w14:paraId="231F2F24"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Short-term objective</w:t>
            </w:r>
            <w:r>
              <w:rPr>
                <w:rFonts w:ascii="Times New Roman" w:hAnsi="Times New Roman"/>
                <w:b/>
                <w:color w:val="000000"/>
                <w:sz w:val="18"/>
              </w:rPr>
              <w:br/>
              <w:t xml:space="preserve"> 2025</w:t>
            </w:r>
          </w:p>
        </w:tc>
        <w:tc>
          <w:tcPr>
            <w:tcW w:w="1099" w:type="dxa"/>
            <w:tcBorders>
              <w:top w:val="nil"/>
              <w:left w:val="single" w:sz="8" w:space="0" w:color="auto"/>
              <w:bottom w:val="single" w:sz="8" w:space="0" w:color="auto"/>
              <w:right w:val="single" w:sz="8" w:space="0" w:color="auto"/>
            </w:tcBorders>
            <w:shd w:val="clear" w:color="000000" w:fill="D9D9D9"/>
            <w:vAlign w:val="center"/>
            <w:hideMark/>
          </w:tcPr>
          <w:p w14:paraId="7E604EFE"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xml:space="preserve">Last year’s objective </w:t>
            </w:r>
            <w:r>
              <w:rPr>
                <w:rFonts w:ascii="Times New Roman" w:hAnsi="Times New Roman"/>
                <w:b/>
                <w:color w:val="000000"/>
                <w:sz w:val="18"/>
              </w:rPr>
              <w:br/>
              <w:t>2031</w:t>
            </w:r>
          </w:p>
        </w:tc>
        <w:tc>
          <w:tcPr>
            <w:tcW w:w="3238" w:type="dxa"/>
            <w:gridSpan w:val="3"/>
            <w:tcBorders>
              <w:top w:val="single" w:sz="8" w:space="0" w:color="auto"/>
              <w:left w:val="nil"/>
              <w:bottom w:val="single" w:sz="8" w:space="0" w:color="auto"/>
              <w:right w:val="single" w:sz="8" w:space="0" w:color="000000"/>
            </w:tcBorders>
            <w:shd w:val="clear" w:color="000000" w:fill="D9D9D9"/>
            <w:vAlign w:val="center"/>
            <w:hideMark/>
          </w:tcPr>
          <w:p w14:paraId="4FC35B16"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w:t>
            </w:r>
          </w:p>
        </w:tc>
        <w:tc>
          <w:tcPr>
            <w:tcW w:w="2250" w:type="dxa"/>
            <w:tcBorders>
              <w:top w:val="nil"/>
              <w:left w:val="nil"/>
              <w:bottom w:val="nil"/>
              <w:right w:val="nil"/>
            </w:tcBorders>
            <w:shd w:val="clear" w:color="auto" w:fill="auto"/>
            <w:noWrap/>
            <w:vAlign w:val="bottom"/>
            <w:hideMark/>
          </w:tcPr>
          <w:p w14:paraId="148A3BBA"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p>
        </w:tc>
      </w:tr>
      <w:tr w:rsidR="00571EAF" w:rsidRPr="0086165A" w14:paraId="007DEBCA" w14:textId="77777777" w:rsidTr="004A694D">
        <w:trPr>
          <w:trHeight w:val="690"/>
        </w:trPr>
        <w:tc>
          <w:tcPr>
            <w:tcW w:w="577" w:type="dxa"/>
            <w:tcBorders>
              <w:top w:val="nil"/>
              <w:left w:val="single" w:sz="8" w:space="0" w:color="auto"/>
              <w:bottom w:val="nil"/>
              <w:right w:val="single" w:sz="8" w:space="0" w:color="auto"/>
            </w:tcBorders>
            <w:shd w:val="clear" w:color="auto" w:fill="auto"/>
            <w:vAlign w:val="center"/>
            <w:hideMark/>
          </w:tcPr>
          <w:p w14:paraId="3492570E"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w:t>
            </w:r>
          </w:p>
        </w:tc>
        <w:tc>
          <w:tcPr>
            <w:tcW w:w="1974" w:type="dxa"/>
            <w:tcBorders>
              <w:top w:val="single" w:sz="8" w:space="0" w:color="auto"/>
              <w:left w:val="nil"/>
              <w:bottom w:val="nil"/>
              <w:right w:val="single" w:sz="8" w:space="0" w:color="auto"/>
            </w:tcBorders>
            <w:shd w:val="clear" w:color="auto" w:fill="auto"/>
            <w:vAlign w:val="center"/>
            <w:hideMark/>
          </w:tcPr>
          <w:p w14:paraId="6D227E6A"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 xml:space="preserve">Cyber-response capabilities. </w:t>
            </w:r>
          </w:p>
        </w:tc>
        <w:tc>
          <w:tcPr>
            <w:tcW w:w="2897" w:type="dxa"/>
            <w:gridSpan w:val="3"/>
            <w:tcBorders>
              <w:top w:val="single" w:sz="8" w:space="0" w:color="auto"/>
              <w:left w:val="nil"/>
              <w:bottom w:val="nil"/>
              <w:right w:val="single" w:sz="8" w:space="0" w:color="000000"/>
            </w:tcBorders>
            <w:shd w:val="clear" w:color="auto" w:fill="auto"/>
            <w:vAlign w:val="center"/>
            <w:hideMark/>
          </w:tcPr>
          <w:p w14:paraId="5F58898A"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Nonexistent</w:t>
            </w:r>
          </w:p>
        </w:tc>
        <w:tc>
          <w:tcPr>
            <w:tcW w:w="2360" w:type="dxa"/>
            <w:gridSpan w:val="2"/>
            <w:tcBorders>
              <w:top w:val="single" w:sz="8" w:space="0" w:color="auto"/>
              <w:left w:val="nil"/>
              <w:bottom w:val="nil"/>
              <w:right w:val="single" w:sz="8" w:space="0" w:color="000000"/>
            </w:tcBorders>
            <w:shd w:val="clear" w:color="auto" w:fill="auto"/>
            <w:vAlign w:val="center"/>
            <w:hideMark/>
          </w:tcPr>
          <w:p w14:paraId="62A155A9"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Exist</w:t>
            </w:r>
          </w:p>
        </w:tc>
        <w:tc>
          <w:tcPr>
            <w:tcW w:w="1099" w:type="dxa"/>
            <w:tcBorders>
              <w:top w:val="nil"/>
              <w:left w:val="nil"/>
              <w:bottom w:val="nil"/>
              <w:right w:val="single" w:sz="8" w:space="0" w:color="auto"/>
            </w:tcBorders>
            <w:shd w:val="clear" w:color="auto" w:fill="auto"/>
            <w:vAlign w:val="center"/>
            <w:hideMark/>
          </w:tcPr>
          <w:p w14:paraId="62602F20"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Exist</w:t>
            </w:r>
          </w:p>
        </w:tc>
        <w:tc>
          <w:tcPr>
            <w:tcW w:w="3238" w:type="dxa"/>
            <w:gridSpan w:val="3"/>
            <w:tcBorders>
              <w:top w:val="single" w:sz="8" w:space="0" w:color="auto"/>
              <w:left w:val="nil"/>
              <w:bottom w:val="nil"/>
              <w:right w:val="single" w:sz="8" w:space="0" w:color="000000"/>
            </w:tcBorders>
            <w:shd w:val="clear" w:color="auto" w:fill="auto"/>
            <w:vAlign w:val="center"/>
            <w:hideMark/>
          </w:tcPr>
          <w:p w14:paraId="1EFCCCB2"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w:t>
            </w:r>
          </w:p>
        </w:tc>
        <w:tc>
          <w:tcPr>
            <w:tcW w:w="2250" w:type="dxa"/>
            <w:tcBorders>
              <w:top w:val="nil"/>
              <w:left w:val="nil"/>
              <w:bottom w:val="nil"/>
              <w:right w:val="nil"/>
            </w:tcBorders>
            <w:shd w:val="clear" w:color="auto" w:fill="auto"/>
            <w:noWrap/>
            <w:vAlign w:val="bottom"/>
            <w:hideMark/>
          </w:tcPr>
          <w:p w14:paraId="63459BFC"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p>
        </w:tc>
      </w:tr>
      <w:tr w:rsidR="00571EAF" w:rsidRPr="0086165A" w14:paraId="705BE336" w14:textId="77777777" w:rsidTr="004A694D">
        <w:trPr>
          <w:trHeight w:val="315"/>
        </w:trPr>
        <w:tc>
          <w:tcPr>
            <w:tcW w:w="57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9CB64AB"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No.</w:t>
            </w:r>
          </w:p>
        </w:tc>
        <w:tc>
          <w:tcPr>
            <w:tcW w:w="19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AE1EE7C"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Action</w:t>
            </w:r>
          </w:p>
        </w:tc>
        <w:tc>
          <w:tcPr>
            <w:tcW w:w="69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886BB87" w14:textId="77777777" w:rsidR="00571EAF" w:rsidRPr="0086165A" w:rsidRDefault="00571EAF"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Deadline</w:t>
            </w:r>
          </w:p>
        </w:tc>
        <w:tc>
          <w:tcPr>
            <w:tcW w:w="4559" w:type="dxa"/>
            <w:gridSpan w:val="4"/>
            <w:tcBorders>
              <w:top w:val="single" w:sz="8" w:space="0" w:color="auto"/>
              <w:left w:val="nil"/>
              <w:bottom w:val="single" w:sz="8" w:space="0" w:color="auto"/>
              <w:right w:val="nil"/>
            </w:tcBorders>
            <w:shd w:val="clear" w:color="000000" w:fill="D9D9D9"/>
            <w:vAlign w:val="center"/>
            <w:hideMark/>
          </w:tcPr>
          <w:p w14:paraId="03D4F18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109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B42867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100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22D1C1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128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79C1D5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9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B1E4AC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225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4287D4E" w14:textId="77777777" w:rsidR="00571EAF" w:rsidRPr="0086165A" w:rsidRDefault="000532B1" w:rsidP="005D6B3A">
            <w:pPr>
              <w:spacing w:after="0" w:line="240" w:lineRule="auto"/>
              <w:jc w:val="center"/>
              <w:rPr>
                <w:rFonts w:ascii="Times New Roman" w:eastAsia="Times New Roman" w:hAnsi="Times New Roman" w:cs="Times New Roman"/>
                <w:b/>
                <w:bCs/>
                <w:sz w:val="20"/>
                <w:szCs w:val="20"/>
              </w:rPr>
            </w:pPr>
            <w:r>
              <w:rPr>
                <w:rFonts w:ascii="Times New Roman" w:hAnsi="Times New Roman"/>
                <w:b/>
                <w:sz w:val="20"/>
              </w:rPr>
              <w:t>Implementation progress for 2024</w:t>
            </w:r>
          </w:p>
        </w:tc>
      </w:tr>
      <w:tr w:rsidR="00B36062" w:rsidRPr="0086165A" w14:paraId="74929539" w14:textId="77777777" w:rsidTr="004A694D">
        <w:trPr>
          <w:trHeight w:val="300"/>
        </w:trPr>
        <w:tc>
          <w:tcPr>
            <w:tcW w:w="577" w:type="dxa"/>
            <w:vMerge/>
            <w:tcBorders>
              <w:top w:val="single" w:sz="8" w:space="0" w:color="auto"/>
              <w:left w:val="single" w:sz="8" w:space="0" w:color="auto"/>
              <w:bottom w:val="single" w:sz="8" w:space="0" w:color="000000"/>
              <w:right w:val="single" w:sz="8" w:space="0" w:color="auto"/>
            </w:tcBorders>
            <w:vAlign w:val="center"/>
            <w:hideMark/>
          </w:tcPr>
          <w:p w14:paraId="10289292"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14:paraId="7F8B9991"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298F482A"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059" w:type="dxa"/>
            <w:tcBorders>
              <w:top w:val="nil"/>
              <w:left w:val="nil"/>
              <w:bottom w:val="nil"/>
              <w:right w:val="single" w:sz="8" w:space="0" w:color="auto"/>
            </w:tcBorders>
            <w:shd w:val="clear" w:color="000000" w:fill="D9D9D9"/>
            <w:vAlign w:val="center"/>
            <w:hideMark/>
          </w:tcPr>
          <w:p w14:paraId="78D029B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140" w:type="dxa"/>
            <w:tcBorders>
              <w:top w:val="nil"/>
              <w:left w:val="nil"/>
              <w:bottom w:val="nil"/>
              <w:right w:val="single" w:sz="8" w:space="0" w:color="auto"/>
            </w:tcBorders>
            <w:shd w:val="clear" w:color="000000" w:fill="D9D9D9"/>
            <w:vAlign w:val="center"/>
            <w:hideMark/>
          </w:tcPr>
          <w:p w14:paraId="64DDC6C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220" w:type="dxa"/>
            <w:tcBorders>
              <w:top w:val="nil"/>
              <w:left w:val="nil"/>
              <w:bottom w:val="nil"/>
              <w:right w:val="single" w:sz="8" w:space="0" w:color="auto"/>
            </w:tcBorders>
            <w:shd w:val="clear" w:color="000000" w:fill="D9D9D9"/>
            <w:vAlign w:val="center"/>
            <w:hideMark/>
          </w:tcPr>
          <w:p w14:paraId="2B204E4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140" w:type="dxa"/>
            <w:tcBorders>
              <w:top w:val="nil"/>
              <w:left w:val="nil"/>
              <w:bottom w:val="nil"/>
              <w:right w:val="single" w:sz="8" w:space="0" w:color="auto"/>
            </w:tcBorders>
            <w:shd w:val="clear" w:color="000000" w:fill="D9D9D9"/>
            <w:vAlign w:val="center"/>
            <w:hideMark/>
          </w:tcPr>
          <w:p w14:paraId="1167252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3D080CB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78DCF5B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287" w:type="dxa"/>
            <w:vMerge/>
            <w:tcBorders>
              <w:top w:val="single" w:sz="8" w:space="0" w:color="auto"/>
              <w:left w:val="single" w:sz="8" w:space="0" w:color="auto"/>
              <w:bottom w:val="single" w:sz="8" w:space="0" w:color="000000"/>
              <w:right w:val="single" w:sz="8" w:space="0" w:color="auto"/>
            </w:tcBorders>
            <w:vAlign w:val="center"/>
            <w:hideMark/>
          </w:tcPr>
          <w:p w14:paraId="4FCB4585"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4436E9A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09AE08C1" w14:textId="77777777" w:rsidR="00571EAF" w:rsidRPr="0086165A" w:rsidRDefault="00571EAF" w:rsidP="00571EAF">
            <w:pPr>
              <w:spacing w:after="0" w:line="240" w:lineRule="auto"/>
              <w:rPr>
                <w:rFonts w:ascii="Times New Roman" w:eastAsia="Times New Roman" w:hAnsi="Times New Roman" w:cs="Times New Roman"/>
                <w:b/>
                <w:bCs/>
              </w:rPr>
            </w:pPr>
          </w:p>
        </w:tc>
      </w:tr>
      <w:tr w:rsidR="00B36062" w:rsidRPr="0086165A" w14:paraId="0B9231B1" w14:textId="77777777" w:rsidTr="004A694D">
        <w:trPr>
          <w:trHeight w:val="555"/>
        </w:trPr>
        <w:tc>
          <w:tcPr>
            <w:tcW w:w="577" w:type="dxa"/>
            <w:vMerge/>
            <w:tcBorders>
              <w:top w:val="single" w:sz="8" w:space="0" w:color="auto"/>
              <w:left w:val="single" w:sz="8" w:space="0" w:color="auto"/>
              <w:bottom w:val="single" w:sz="8" w:space="0" w:color="000000"/>
              <w:right w:val="single" w:sz="8" w:space="0" w:color="auto"/>
            </w:tcBorders>
            <w:vAlign w:val="center"/>
            <w:hideMark/>
          </w:tcPr>
          <w:p w14:paraId="3673A5FE"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14:paraId="0DB3C589"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44ADDE74" w14:textId="77777777" w:rsidR="00571EAF" w:rsidRPr="0086165A" w:rsidRDefault="00571EAF" w:rsidP="00571EAF">
            <w:pPr>
              <w:spacing w:after="0" w:line="240" w:lineRule="auto"/>
              <w:rPr>
                <w:rFonts w:ascii="Times New Roman" w:eastAsia="Times New Roman" w:hAnsi="Times New Roman" w:cs="Times New Roman"/>
                <w:b/>
                <w:bCs/>
                <w:color w:val="000000"/>
                <w:sz w:val="18"/>
                <w:szCs w:val="18"/>
              </w:rPr>
            </w:pPr>
          </w:p>
        </w:tc>
        <w:tc>
          <w:tcPr>
            <w:tcW w:w="1059" w:type="dxa"/>
            <w:tcBorders>
              <w:top w:val="nil"/>
              <w:left w:val="nil"/>
              <w:bottom w:val="single" w:sz="8" w:space="0" w:color="auto"/>
              <w:right w:val="single" w:sz="8" w:space="0" w:color="auto"/>
            </w:tcBorders>
            <w:shd w:val="clear" w:color="000000" w:fill="D9D9D9"/>
            <w:vAlign w:val="center"/>
            <w:hideMark/>
          </w:tcPr>
          <w:p w14:paraId="5D3BDF2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1140" w:type="dxa"/>
            <w:tcBorders>
              <w:top w:val="nil"/>
              <w:left w:val="nil"/>
              <w:bottom w:val="single" w:sz="8" w:space="0" w:color="auto"/>
              <w:right w:val="single" w:sz="8" w:space="0" w:color="auto"/>
            </w:tcBorders>
            <w:shd w:val="clear" w:color="000000" w:fill="D9D9D9"/>
            <w:vAlign w:val="center"/>
            <w:hideMark/>
          </w:tcPr>
          <w:p w14:paraId="5CEBF0C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1220" w:type="dxa"/>
            <w:tcBorders>
              <w:top w:val="nil"/>
              <w:left w:val="nil"/>
              <w:bottom w:val="single" w:sz="8" w:space="0" w:color="auto"/>
              <w:right w:val="single" w:sz="8" w:space="0" w:color="auto"/>
            </w:tcBorders>
            <w:shd w:val="clear" w:color="000000" w:fill="D9D9D9"/>
            <w:vAlign w:val="center"/>
            <w:hideMark/>
          </w:tcPr>
          <w:p w14:paraId="6280921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1140" w:type="dxa"/>
            <w:tcBorders>
              <w:top w:val="nil"/>
              <w:left w:val="nil"/>
              <w:bottom w:val="single" w:sz="8" w:space="0" w:color="auto"/>
              <w:right w:val="single" w:sz="8" w:space="0" w:color="auto"/>
            </w:tcBorders>
            <w:shd w:val="clear" w:color="000000" w:fill="D9D9D9"/>
            <w:vAlign w:val="center"/>
            <w:hideMark/>
          </w:tcPr>
          <w:p w14:paraId="7971D5C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1F23D19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3C2C900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1287" w:type="dxa"/>
            <w:vMerge/>
            <w:tcBorders>
              <w:top w:val="single" w:sz="8" w:space="0" w:color="auto"/>
              <w:left w:val="single" w:sz="8" w:space="0" w:color="auto"/>
              <w:bottom w:val="single" w:sz="8" w:space="0" w:color="000000"/>
              <w:right w:val="single" w:sz="8" w:space="0" w:color="auto"/>
            </w:tcBorders>
            <w:vAlign w:val="center"/>
            <w:hideMark/>
          </w:tcPr>
          <w:p w14:paraId="149D63C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7508EAC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7224DF2A" w14:textId="77777777" w:rsidR="00571EAF" w:rsidRPr="0086165A" w:rsidRDefault="00571EAF" w:rsidP="00571EAF">
            <w:pPr>
              <w:spacing w:after="0" w:line="240" w:lineRule="auto"/>
              <w:rPr>
                <w:rFonts w:ascii="Times New Roman" w:eastAsia="Times New Roman" w:hAnsi="Times New Roman" w:cs="Times New Roman"/>
                <w:b/>
                <w:bCs/>
              </w:rPr>
            </w:pPr>
          </w:p>
        </w:tc>
      </w:tr>
      <w:tr w:rsidR="00B36062" w:rsidRPr="0086165A" w14:paraId="49FF300F" w14:textId="77777777" w:rsidTr="004A694D">
        <w:trPr>
          <w:trHeight w:val="735"/>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02890847"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I.4.1</w:t>
            </w:r>
          </w:p>
        </w:tc>
        <w:tc>
          <w:tcPr>
            <w:tcW w:w="1974" w:type="dxa"/>
            <w:tcBorders>
              <w:top w:val="nil"/>
              <w:left w:val="nil"/>
              <w:bottom w:val="single" w:sz="8" w:space="0" w:color="auto"/>
              <w:right w:val="single" w:sz="8" w:space="0" w:color="auto"/>
            </w:tcBorders>
            <w:shd w:val="clear" w:color="000000" w:fill="FFFFFF"/>
            <w:vAlign w:val="center"/>
            <w:hideMark/>
          </w:tcPr>
          <w:p w14:paraId="5E0F4F60" w14:textId="77777777" w:rsidR="00571EAF" w:rsidRPr="0014539F"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Adoption of the Law on Security of Networks and Information Systems</w:t>
            </w:r>
          </w:p>
        </w:tc>
        <w:tc>
          <w:tcPr>
            <w:tcW w:w="698" w:type="dxa"/>
            <w:tcBorders>
              <w:top w:val="nil"/>
              <w:left w:val="nil"/>
              <w:bottom w:val="single" w:sz="8" w:space="0" w:color="auto"/>
              <w:right w:val="single" w:sz="8" w:space="0" w:color="auto"/>
            </w:tcBorders>
            <w:shd w:val="clear" w:color="000000" w:fill="FFFFFF"/>
            <w:vAlign w:val="center"/>
            <w:hideMark/>
          </w:tcPr>
          <w:p w14:paraId="0C650FF0"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2022</w:t>
            </w:r>
          </w:p>
        </w:tc>
        <w:tc>
          <w:tcPr>
            <w:tcW w:w="1059" w:type="dxa"/>
            <w:tcBorders>
              <w:top w:val="nil"/>
              <w:left w:val="nil"/>
              <w:bottom w:val="single" w:sz="8" w:space="0" w:color="auto"/>
              <w:right w:val="single" w:sz="8" w:space="0" w:color="auto"/>
            </w:tcBorders>
            <w:shd w:val="clear" w:color="000000" w:fill="FFFFFF"/>
            <w:vAlign w:val="center"/>
            <w:hideMark/>
          </w:tcPr>
          <w:p w14:paraId="1C21308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120,000.00 </w:t>
            </w:r>
          </w:p>
        </w:tc>
        <w:tc>
          <w:tcPr>
            <w:tcW w:w="1140" w:type="dxa"/>
            <w:tcBorders>
              <w:top w:val="nil"/>
              <w:left w:val="nil"/>
              <w:bottom w:val="single" w:sz="8" w:space="0" w:color="auto"/>
              <w:right w:val="single" w:sz="8" w:space="0" w:color="auto"/>
            </w:tcBorders>
            <w:shd w:val="clear" w:color="000000" w:fill="FFFFFF"/>
            <w:noWrap/>
            <w:vAlign w:val="center"/>
            <w:hideMark/>
          </w:tcPr>
          <w:p w14:paraId="405033D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220" w:type="dxa"/>
            <w:tcBorders>
              <w:top w:val="nil"/>
              <w:left w:val="nil"/>
              <w:bottom w:val="single" w:sz="8" w:space="0" w:color="auto"/>
              <w:right w:val="single" w:sz="8" w:space="0" w:color="auto"/>
            </w:tcBorders>
            <w:shd w:val="clear" w:color="000000" w:fill="FFFFFF"/>
            <w:vAlign w:val="center"/>
            <w:hideMark/>
          </w:tcPr>
          <w:p w14:paraId="5FE195C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1140" w:type="dxa"/>
            <w:tcBorders>
              <w:top w:val="nil"/>
              <w:left w:val="nil"/>
              <w:bottom w:val="single" w:sz="8" w:space="0" w:color="auto"/>
              <w:right w:val="single" w:sz="8" w:space="0" w:color="auto"/>
            </w:tcBorders>
            <w:shd w:val="clear" w:color="000000" w:fill="FFFFFF"/>
            <w:vAlign w:val="center"/>
            <w:hideMark/>
          </w:tcPr>
          <w:p w14:paraId="6C3C930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099" w:type="dxa"/>
            <w:tcBorders>
              <w:top w:val="nil"/>
              <w:left w:val="nil"/>
              <w:bottom w:val="single" w:sz="8" w:space="0" w:color="auto"/>
              <w:right w:val="single" w:sz="8" w:space="0" w:color="auto"/>
            </w:tcBorders>
            <w:shd w:val="clear" w:color="000000" w:fill="FFFFFF"/>
            <w:vAlign w:val="center"/>
            <w:hideMark/>
          </w:tcPr>
          <w:p w14:paraId="6AE0ED7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1002" w:type="dxa"/>
            <w:tcBorders>
              <w:top w:val="nil"/>
              <w:left w:val="nil"/>
              <w:bottom w:val="single" w:sz="8" w:space="0" w:color="auto"/>
              <w:right w:val="single" w:sz="8" w:space="0" w:color="auto"/>
            </w:tcBorders>
            <w:shd w:val="clear" w:color="000000" w:fill="FFFFFF"/>
            <w:vAlign w:val="center"/>
            <w:hideMark/>
          </w:tcPr>
          <w:p w14:paraId="52031FE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MIA, ME, </w:t>
            </w:r>
          </w:p>
        </w:tc>
        <w:tc>
          <w:tcPr>
            <w:tcW w:w="1287" w:type="dxa"/>
            <w:tcBorders>
              <w:top w:val="nil"/>
              <w:left w:val="nil"/>
              <w:bottom w:val="single" w:sz="8" w:space="0" w:color="auto"/>
              <w:right w:val="single" w:sz="8" w:space="0" w:color="auto"/>
            </w:tcBorders>
            <w:shd w:val="clear" w:color="000000" w:fill="FFFFFF"/>
            <w:vAlign w:val="center"/>
            <w:hideMark/>
          </w:tcPr>
          <w:p w14:paraId="5CEB14B7" w14:textId="650BCAB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adopted</w:t>
            </w:r>
          </w:p>
        </w:tc>
        <w:tc>
          <w:tcPr>
            <w:tcW w:w="949" w:type="dxa"/>
            <w:tcBorders>
              <w:top w:val="nil"/>
              <w:left w:val="nil"/>
              <w:bottom w:val="single" w:sz="8" w:space="0" w:color="auto"/>
              <w:right w:val="single" w:sz="8" w:space="0" w:color="auto"/>
            </w:tcBorders>
            <w:shd w:val="clear" w:color="000000" w:fill="FFFFFF"/>
            <w:vAlign w:val="center"/>
            <w:hideMark/>
          </w:tcPr>
          <w:p w14:paraId="418694BC" w14:textId="097527E3"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Annual Performance Report</w:t>
            </w:r>
          </w:p>
        </w:tc>
        <w:tc>
          <w:tcPr>
            <w:tcW w:w="2250" w:type="dxa"/>
            <w:tcBorders>
              <w:top w:val="nil"/>
              <w:left w:val="nil"/>
              <w:bottom w:val="single" w:sz="8" w:space="0" w:color="auto"/>
              <w:right w:val="single" w:sz="8" w:space="0" w:color="auto"/>
            </w:tcBorders>
            <w:shd w:val="clear" w:color="000000" w:fill="FFFFFF"/>
            <w:hideMark/>
          </w:tcPr>
          <w:p w14:paraId="6304CB7C" w14:textId="102612E4" w:rsidR="00571EAF" w:rsidRPr="0086165A" w:rsidRDefault="00B36062" w:rsidP="00571EAF">
            <w:pPr>
              <w:spacing w:after="0" w:line="240" w:lineRule="auto"/>
              <w:rPr>
                <w:rFonts w:ascii="Times New Roman" w:eastAsia="Times New Roman" w:hAnsi="Times New Roman" w:cs="Times New Roman"/>
                <w:sz w:val="18"/>
                <w:szCs w:val="18"/>
              </w:rPr>
            </w:pPr>
            <w:r>
              <w:rPr>
                <w:rFonts w:ascii="Times New Roman" w:hAnsi="Times New Roman"/>
                <w:sz w:val="18"/>
              </w:rPr>
              <w:t>No changes in 2024.</w:t>
            </w:r>
          </w:p>
        </w:tc>
      </w:tr>
      <w:tr w:rsidR="00B36062" w:rsidRPr="0086165A" w14:paraId="6DCC1B1A" w14:textId="77777777" w:rsidTr="004A694D">
        <w:trPr>
          <w:trHeight w:val="975"/>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5DE38B62"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I.4.2</w:t>
            </w:r>
          </w:p>
        </w:tc>
        <w:tc>
          <w:tcPr>
            <w:tcW w:w="1974" w:type="dxa"/>
            <w:tcBorders>
              <w:top w:val="nil"/>
              <w:left w:val="nil"/>
              <w:bottom w:val="single" w:sz="8" w:space="0" w:color="auto"/>
              <w:right w:val="single" w:sz="8" w:space="0" w:color="auto"/>
            </w:tcBorders>
            <w:shd w:val="clear" w:color="000000" w:fill="FFFFFF"/>
            <w:vAlign w:val="center"/>
            <w:hideMark/>
          </w:tcPr>
          <w:p w14:paraId="7D6729EE" w14:textId="77777777" w:rsidR="00571EAF" w:rsidRPr="0014539F"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Approval of bylaws stemming from the Law on Security of Networks and Information Systems</w:t>
            </w:r>
          </w:p>
        </w:tc>
        <w:tc>
          <w:tcPr>
            <w:tcW w:w="698" w:type="dxa"/>
            <w:tcBorders>
              <w:top w:val="nil"/>
              <w:left w:val="nil"/>
              <w:bottom w:val="single" w:sz="8" w:space="0" w:color="auto"/>
              <w:right w:val="single" w:sz="8" w:space="0" w:color="auto"/>
            </w:tcBorders>
            <w:shd w:val="clear" w:color="000000" w:fill="FFFFFF"/>
            <w:vAlign w:val="center"/>
            <w:hideMark/>
          </w:tcPr>
          <w:p w14:paraId="79C08EE9"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2023</w:t>
            </w:r>
          </w:p>
        </w:tc>
        <w:tc>
          <w:tcPr>
            <w:tcW w:w="1059" w:type="dxa"/>
            <w:tcBorders>
              <w:top w:val="nil"/>
              <w:left w:val="nil"/>
              <w:bottom w:val="single" w:sz="8" w:space="0" w:color="auto"/>
              <w:right w:val="single" w:sz="8" w:space="0" w:color="auto"/>
            </w:tcBorders>
            <w:shd w:val="clear" w:color="000000" w:fill="FFFFFF"/>
            <w:vAlign w:val="center"/>
            <w:hideMark/>
          </w:tcPr>
          <w:p w14:paraId="6B377FC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140" w:type="dxa"/>
            <w:tcBorders>
              <w:top w:val="nil"/>
              <w:left w:val="nil"/>
              <w:bottom w:val="single" w:sz="8" w:space="0" w:color="auto"/>
              <w:right w:val="single" w:sz="8" w:space="0" w:color="auto"/>
            </w:tcBorders>
            <w:shd w:val="clear" w:color="000000" w:fill="FFFFFF"/>
            <w:vAlign w:val="center"/>
            <w:hideMark/>
          </w:tcPr>
          <w:p w14:paraId="4B2E986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100,000.00 </w:t>
            </w:r>
          </w:p>
        </w:tc>
        <w:tc>
          <w:tcPr>
            <w:tcW w:w="1220" w:type="dxa"/>
            <w:tcBorders>
              <w:top w:val="nil"/>
              <w:left w:val="nil"/>
              <w:bottom w:val="single" w:sz="8" w:space="0" w:color="auto"/>
              <w:right w:val="single" w:sz="8" w:space="0" w:color="auto"/>
            </w:tcBorders>
            <w:shd w:val="clear" w:color="000000" w:fill="FFFFFF"/>
            <w:noWrap/>
            <w:vAlign w:val="center"/>
            <w:hideMark/>
          </w:tcPr>
          <w:p w14:paraId="559901BA"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 xml:space="preserve"> €                                -   </w:t>
            </w:r>
          </w:p>
        </w:tc>
        <w:tc>
          <w:tcPr>
            <w:tcW w:w="1140" w:type="dxa"/>
            <w:tcBorders>
              <w:top w:val="nil"/>
              <w:left w:val="nil"/>
              <w:bottom w:val="single" w:sz="8" w:space="0" w:color="auto"/>
              <w:right w:val="single" w:sz="8" w:space="0" w:color="auto"/>
            </w:tcBorders>
            <w:shd w:val="clear" w:color="000000" w:fill="FFFFFF"/>
            <w:vAlign w:val="center"/>
            <w:hideMark/>
          </w:tcPr>
          <w:p w14:paraId="69E42EC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099" w:type="dxa"/>
            <w:tcBorders>
              <w:top w:val="nil"/>
              <w:left w:val="nil"/>
              <w:bottom w:val="single" w:sz="8" w:space="0" w:color="auto"/>
              <w:right w:val="single" w:sz="8" w:space="0" w:color="auto"/>
            </w:tcBorders>
            <w:shd w:val="clear" w:color="000000" w:fill="FFFFFF"/>
            <w:vAlign w:val="center"/>
            <w:hideMark/>
          </w:tcPr>
          <w:p w14:paraId="71E2C1C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1002" w:type="dxa"/>
            <w:tcBorders>
              <w:top w:val="nil"/>
              <w:left w:val="nil"/>
              <w:bottom w:val="single" w:sz="8" w:space="0" w:color="auto"/>
              <w:right w:val="single" w:sz="8" w:space="0" w:color="auto"/>
            </w:tcBorders>
            <w:shd w:val="clear" w:color="000000" w:fill="FFFFFF"/>
            <w:vAlign w:val="center"/>
            <w:hideMark/>
          </w:tcPr>
          <w:p w14:paraId="233118C8" w14:textId="77777777" w:rsidR="00571EAF" w:rsidRPr="0086165A" w:rsidRDefault="00BE341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MIA, ME, ERO, KOSTT</w:t>
            </w:r>
          </w:p>
        </w:tc>
        <w:tc>
          <w:tcPr>
            <w:tcW w:w="1287" w:type="dxa"/>
            <w:tcBorders>
              <w:top w:val="nil"/>
              <w:left w:val="nil"/>
              <w:bottom w:val="single" w:sz="8" w:space="0" w:color="auto"/>
              <w:right w:val="single" w:sz="8" w:space="0" w:color="auto"/>
            </w:tcBorders>
            <w:shd w:val="clear" w:color="000000" w:fill="FFFFFF"/>
            <w:vAlign w:val="center"/>
            <w:hideMark/>
          </w:tcPr>
          <w:p w14:paraId="2D9085B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Secondary legislation adopted.</w:t>
            </w:r>
          </w:p>
        </w:tc>
        <w:tc>
          <w:tcPr>
            <w:tcW w:w="949" w:type="dxa"/>
            <w:tcBorders>
              <w:top w:val="nil"/>
              <w:left w:val="nil"/>
              <w:bottom w:val="single" w:sz="8" w:space="0" w:color="auto"/>
              <w:right w:val="single" w:sz="8" w:space="0" w:color="auto"/>
            </w:tcBorders>
            <w:shd w:val="clear" w:color="000000" w:fill="FFFFFF"/>
            <w:vAlign w:val="center"/>
            <w:hideMark/>
          </w:tcPr>
          <w:p w14:paraId="1C660417"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Law on Security of Networks and Information Systems</w:t>
            </w:r>
          </w:p>
        </w:tc>
        <w:tc>
          <w:tcPr>
            <w:tcW w:w="2250" w:type="dxa"/>
            <w:tcBorders>
              <w:top w:val="nil"/>
              <w:left w:val="nil"/>
              <w:bottom w:val="single" w:sz="8" w:space="0" w:color="auto"/>
              <w:right w:val="single" w:sz="8" w:space="0" w:color="auto"/>
            </w:tcBorders>
            <w:shd w:val="clear" w:color="000000" w:fill="FFFFFF"/>
            <w:hideMark/>
          </w:tcPr>
          <w:p w14:paraId="10B79497" w14:textId="4D96DEF7" w:rsidR="00571EAF" w:rsidRPr="0086165A" w:rsidRDefault="00B36062" w:rsidP="00571EAF">
            <w:pPr>
              <w:spacing w:after="0" w:line="240" w:lineRule="auto"/>
              <w:rPr>
                <w:rFonts w:ascii="Times New Roman" w:eastAsia="Times New Roman" w:hAnsi="Times New Roman" w:cs="Times New Roman"/>
                <w:sz w:val="18"/>
                <w:szCs w:val="18"/>
              </w:rPr>
            </w:pPr>
            <w:r>
              <w:rPr>
                <w:rFonts w:ascii="Times New Roman" w:hAnsi="Times New Roman"/>
                <w:sz w:val="18"/>
              </w:rPr>
              <w:t>No changes in 2024.</w:t>
            </w:r>
          </w:p>
        </w:tc>
      </w:tr>
      <w:tr w:rsidR="00B36062" w:rsidRPr="0086165A" w14:paraId="02390A96" w14:textId="77777777" w:rsidTr="004A694D">
        <w:trPr>
          <w:trHeight w:val="1215"/>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4A38A1C4"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I.4.3</w:t>
            </w:r>
          </w:p>
        </w:tc>
        <w:tc>
          <w:tcPr>
            <w:tcW w:w="1974" w:type="dxa"/>
            <w:tcBorders>
              <w:top w:val="nil"/>
              <w:left w:val="nil"/>
              <w:bottom w:val="single" w:sz="8" w:space="0" w:color="auto"/>
              <w:right w:val="single" w:sz="8" w:space="0" w:color="auto"/>
            </w:tcBorders>
            <w:shd w:val="clear" w:color="000000" w:fill="FFFFFF"/>
            <w:vAlign w:val="center"/>
            <w:hideMark/>
          </w:tcPr>
          <w:p w14:paraId="79A2B6A3" w14:textId="77777777" w:rsidR="00571EAF" w:rsidRPr="0086165A" w:rsidRDefault="00571EAF"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Establishment of the Sectoral Energy Computer Emergency Response Team (</w:t>
            </w:r>
            <w:proofErr w:type="spellStart"/>
            <w:r>
              <w:rPr>
                <w:rFonts w:ascii="Times New Roman" w:hAnsi="Times New Roman"/>
                <w:color w:val="000000"/>
                <w:sz w:val="18"/>
              </w:rPr>
              <w:t>eCERT</w:t>
            </w:r>
            <w:proofErr w:type="spellEnd"/>
            <w:r>
              <w:rPr>
                <w:rFonts w:ascii="Times New Roman" w:hAnsi="Times New Roman"/>
                <w:color w:val="000000"/>
                <w:sz w:val="18"/>
              </w:rPr>
              <w:t>) in Kosovo</w:t>
            </w:r>
          </w:p>
        </w:tc>
        <w:tc>
          <w:tcPr>
            <w:tcW w:w="698" w:type="dxa"/>
            <w:tcBorders>
              <w:top w:val="nil"/>
              <w:left w:val="nil"/>
              <w:bottom w:val="single" w:sz="8" w:space="0" w:color="auto"/>
              <w:right w:val="nil"/>
            </w:tcBorders>
            <w:shd w:val="clear" w:color="000000" w:fill="FFFFFF"/>
            <w:vAlign w:val="center"/>
            <w:hideMark/>
          </w:tcPr>
          <w:p w14:paraId="724594A1" w14:textId="77777777" w:rsidR="00571EAF" w:rsidRPr="0086165A" w:rsidRDefault="00571EAF"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2025</w:t>
            </w:r>
          </w:p>
        </w:tc>
        <w:tc>
          <w:tcPr>
            <w:tcW w:w="1059" w:type="dxa"/>
            <w:tcBorders>
              <w:top w:val="nil"/>
              <w:left w:val="single" w:sz="8" w:space="0" w:color="auto"/>
              <w:bottom w:val="single" w:sz="8" w:space="0" w:color="auto"/>
              <w:right w:val="single" w:sz="8" w:space="0" w:color="auto"/>
            </w:tcBorders>
            <w:shd w:val="clear" w:color="000000" w:fill="FFFFFF"/>
            <w:vAlign w:val="center"/>
            <w:hideMark/>
          </w:tcPr>
          <w:p w14:paraId="7263E9C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1140" w:type="dxa"/>
            <w:tcBorders>
              <w:top w:val="nil"/>
              <w:left w:val="nil"/>
              <w:bottom w:val="single" w:sz="8" w:space="0" w:color="auto"/>
              <w:right w:val="single" w:sz="8" w:space="0" w:color="auto"/>
            </w:tcBorders>
            <w:shd w:val="clear" w:color="000000" w:fill="FFFFFF"/>
            <w:vAlign w:val="center"/>
            <w:hideMark/>
          </w:tcPr>
          <w:p w14:paraId="7E0CA340"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252,250.00 </w:t>
            </w:r>
          </w:p>
        </w:tc>
        <w:tc>
          <w:tcPr>
            <w:tcW w:w="1220" w:type="dxa"/>
            <w:tcBorders>
              <w:top w:val="nil"/>
              <w:left w:val="nil"/>
              <w:bottom w:val="single" w:sz="8" w:space="0" w:color="auto"/>
              <w:right w:val="single" w:sz="8" w:space="0" w:color="auto"/>
            </w:tcBorders>
            <w:shd w:val="clear" w:color="000000" w:fill="FFFFFF"/>
            <w:vAlign w:val="center"/>
            <w:hideMark/>
          </w:tcPr>
          <w:p w14:paraId="45DFC95B"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 xml:space="preserve"> €                  300,000.00 </w:t>
            </w:r>
          </w:p>
        </w:tc>
        <w:tc>
          <w:tcPr>
            <w:tcW w:w="1140" w:type="dxa"/>
            <w:tcBorders>
              <w:top w:val="nil"/>
              <w:left w:val="nil"/>
              <w:bottom w:val="single" w:sz="8" w:space="0" w:color="auto"/>
              <w:right w:val="single" w:sz="8" w:space="0" w:color="auto"/>
            </w:tcBorders>
            <w:shd w:val="clear" w:color="000000" w:fill="FFFFFF"/>
            <w:vAlign w:val="center"/>
            <w:hideMark/>
          </w:tcPr>
          <w:p w14:paraId="353C92A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 </w:t>
            </w:r>
          </w:p>
        </w:tc>
        <w:tc>
          <w:tcPr>
            <w:tcW w:w="1099" w:type="dxa"/>
            <w:tcBorders>
              <w:top w:val="nil"/>
              <w:left w:val="nil"/>
              <w:bottom w:val="single" w:sz="8" w:space="0" w:color="auto"/>
              <w:right w:val="single" w:sz="8" w:space="0" w:color="auto"/>
            </w:tcBorders>
            <w:shd w:val="clear" w:color="000000" w:fill="FFFFFF"/>
            <w:vAlign w:val="center"/>
            <w:hideMark/>
          </w:tcPr>
          <w:p w14:paraId="6FD40941"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donors</w:t>
            </w:r>
          </w:p>
        </w:tc>
        <w:tc>
          <w:tcPr>
            <w:tcW w:w="1002" w:type="dxa"/>
            <w:tcBorders>
              <w:top w:val="nil"/>
              <w:left w:val="nil"/>
              <w:bottom w:val="single" w:sz="8" w:space="0" w:color="auto"/>
              <w:right w:val="single" w:sz="8" w:space="0" w:color="auto"/>
            </w:tcBorders>
            <w:shd w:val="clear" w:color="000000" w:fill="FFFFFF"/>
            <w:vAlign w:val="center"/>
            <w:hideMark/>
          </w:tcPr>
          <w:p w14:paraId="3473FFF8" w14:textId="77777777" w:rsidR="00571EAF" w:rsidRPr="0086165A" w:rsidRDefault="00B36B4C"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National CERT, MIA, ERO, KOSTT, KEK, KEDS</w:t>
            </w:r>
          </w:p>
        </w:tc>
        <w:tc>
          <w:tcPr>
            <w:tcW w:w="1287" w:type="dxa"/>
            <w:tcBorders>
              <w:top w:val="nil"/>
              <w:left w:val="nil"/>
              <w:bottom w:val="single" w:sz="8" w:space="0" w:color="auto"/>
              <w:right w:val="single" w:sz="8" w:space="0" w:color="auto"/>
            </w:tcBorders>
            <w:shd w:val="clear" w:color="000000" w:fill="FFFFFF"/>
            <w:vAlign w:val="center"/>
            <w:hideMark/>
          </w:tcPr>
          <w:p w14:paraId="612FA29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Sectoral Energy Computer Emergency Response Team (</w:t>
            </w:r>
            <w:proofErr w:type="spellStart"/>
            <w:r>
              <w:rPr>
                <w:rFonts w:ascii="Times New Roman" w:hAnsi="Times New Roman"/>
                <w:sz w:val="18"/>
              </w:rPr>
              <w:t>eCERT</w:t>
            </w:r>
            <w:proofErr w:type="spellEnd"/>
            <w:r>
              <w:rPr>
                <w:rFonts w:ascii="Times New Roman" w:hAnsi="Times New Roman"/>
                <w:sz w:val="18"/>
              </w:rPr>
              <w:t>) in Kosovo established</w:t>
            </w:r>
          </w:p>
        </w:tc>
        <w:tc>
          <w:tcPr>
            <w:tcW w:w="949" w:type="dxa"/>
            <w:tcBorders>
              <w:top w:val="nil"/>
              <w:left w:val="nil"/>
              <w:bottom w:val="single" w:sz="8" w:space="0" w:color="auto"/>
              <w:right w:val="single" w:sz="8" w:space="0" w:color="auto"/>
            </w:tcBorders>
            <w:shd w:val="clear" w:color="000000" w:fill="FFFFFF"/>
            <w:vAlign w:val="center"/>
            <w:hideMark/>
          </w:tcPr>
          <w:p w14:paraId="7B7D37FE"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2250" w:type="dxa"/>
            <w:tcBorders>
              <w:top w:val="nil"/>
              <w:left w:val="nil"/>
              <w:bottom w:val="single" w:sz="8" w:space="0" w:color="auto"/>
              <w:right w:val="single" w:sz="8" w:space="0" w:color="auto"/>
            </w:tcBorders>
            <w:shd w:val="clear" w:color="000000" w:fill="FFFFFF"/>
            <w:hideMark/>
          </w:tcPr>
          <w:p w14:paraId="0DDA13DF" w14:textId="5B6B412F" w:rsidR="00571EAF" w:rsidRPr="0014539F" w:rsidRDefault="00B36062" w:rsidP="00571EAF">
            <w:pPr>
              <w:spacing w:after="0" w:line="240" w:lineRule="auto"/>
              <w:rPr>
                <w:rFonts w:ascii="Times New Roman" w:eastAsia="Times New Roman" w:hAnsi="Times New Roman" w:cs="Times New Roman"/>
                <w:sz w:val="18"/>
                <w:szCs w:val="18"/>
              </w:rPr>
            </w:pPr>
            <w:r>
              <w:rPr>
                <w:rFonts w:ascii="Times New Roman" w:hAnsi="Times New Roman"/>
                <w:sz w:val="18"/>
              </w:rPr>
              <w:t>The Terms of Reference and technical specifications for the establishment project of the energy sectoral CERT have been finalized. It is expected that the Ministry of Economy (ME) will announce the tendering process for the establishment of this CERT.</w:t>
            </w:r>
          </w:p>
        </w:tc>
      </w:tr>
    </w:tbl>
    <w:p w14:paraId="6824C3D3" w14:textId="77777777" w:rsidR="008B1E87" w:rsidRPr="00C37714" w:rsidRDefault="008B1E87" w:rsidP="00C37714">
      <w:pPr>
        <w:rPr>
          <w:rFonts w:ascii="Times New Roman" w:hAnsi="Times New Roman" w:cs="Times New Roman"/>
          <w:b/>
          <w:sz w:val="28"/>
          <w:szCs w:val="24"/>
        </w:rPr>
      </w:pPr>
    </w:p>
    <w:p w14:paraId="4E62C223" w14:textId="546AD8FF" w:rsidR="004A694D" w:rsidRDefault="004A694D" w:rsidP="007D1D84">
      <w:pPr>
        <w:pStyle w:val="ListParagraph"/>
        <w:ind w:left="1080"/>
        <w:rPr>
          <w:rFonts w:ascii="Times New Roman" w:hAnsi="Times New Roman" w:cs="Times New Roman"/>
          <w:b/>
          <w:sz w:val="28"/>
          <w:szCs w:val="24"/>
        </w:rPr>
      </w:pPr>
    </w:p>
    <w:p w14:paraId="2213827C" w14:textId="77777777" w:rsidR="00C849A7" w:rsidRDefault="00C849A7" w:rsidP="007D1D84">
      <w:pPr>
        <w:pStyle w:val="ListParagraph"/>
        <w:ind w:left="1080"/>
        <w:rPr>
          <w:rFonts w:ascii="Times New Roman" w:hAnsi="Times New Roman" w:cs="Times New Roman"/>
          <w:b/>
          <w:sz w:val="28"/>
          <w:szCs w:val="24"/>
        </w:rPr>
      </w:pPr>
    </w:p>
    <w:p w14:paraId="3DBEA34D" w14:textId="77777777" w:rsidR="004A694D" w:rsidRPr="00C37714" w:rsidRDefault="004A694D" w:rsidP="00C37714">
      <w:pPr>
        <w:rPr>
          <w:rFonts w:ascii="Times New Roman" w:hAnsi="Times New Roman" w:cs="Times New Roman"/>
          <w:b/>
          <w:sz w:val="28"/>
          <w:szCs w:val="24"/>
        </w:rPr>
      </w:pPr>
    </w:p>
    <w:p w14:paraId="558B9664" w14:textId="77777777" w:rsidR="009842EA" w:rsidRPr="0086165A" w:rsidRDefault="009842EA" w:rsidP="007D1D84">
      <w:pPr>
        <w:pStyle w:val="ListParagraph"/>
        <w:ind w:left="1080"/>
        <w:rPr>
          <w:rFonts w:ascii="Times New Roman" w:hAnsi="Times New Roman" w:cs="Times New Roman"/>
          <w:b/>
          <w:sz w:val="28"/>
          <w:szCs w:val="24"/>
        </w:rPr>
      </w:pPr>
    </w:p>
    <w:tbl>
      <w:tblPr>
        <w:tblW w:w="4965" w:type="pct"/>
        <w:tblInd w:w="10" w:type="dxa"/>
        <w:tblLayout w:type="fixed"/>
        <w:tblLook w:val="04A0" w:firstRow="1" w:lastRow="0" w:firstColumn="1" w:lastColumn="0" w:noHBand="0" w:noVBand="1"/>
      </w:tblPr>
      <w:tblGrid>
        <w:gridCol w:w="662"/>
        <w:gridCol w:w="1309"/>
        <w:gridCol w:w="655"/>
        <w:gridCol w:w="1075"/>
        <w:gridCol w:w="1078"/>
        <w:gridCol w:w="1149"/>
        <w:gridCol w:w="1161"/>
        <w:gridCol w:w="1138"/>
        <w:gridCol w:w="1261"/>
        <w:gridCol w:w="1049"/>
        <w:gridCol w:w="1124"/>
        <w:gridCol w:w="2633"/>
      </w:tblGrid>
      <w:tr w:rsidR="00571EAF" w:rsidRPr="0086165A" w14:paraId="29B345B3" w14:textId="77777777" w:rsidTr="002E72A1">
        <w:trPr>
          <w:trHeight w:val="480"/>
        </w:trPr>
        <w:tc>
          <w:tcPr>
            <w:tcW w:w="4078" w:type="pct"/>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671556DD" w14:textId="1B26A45D" w:rsidR="00571EAF" w:rsidRPr="0014539F" w:rsidRDefault="00571EAF" w:rsidP="00571EAF">
            <w:pPr>
              <w:spacing w:after="0" w:line="240" w:lineRule="auto"/>
              <w:jc w:val="center"/>
              <w:rPr>
                <w:rFonts w:ascii="Times New Roman" w:eastAsia="Times New Roman" w:hAnsi="Times New Roman" w:cs="Times New Roman"/>
                <w:b/>
                <w:bCs/>
                <w:i/>
                <w:iCs/>
                <w:sz w:val="24"/>
                <w:szCs w:val="24"/>
              </w:rPr>
            </w:pPr>
            <w:r>
              <w:rPr>
                <w:rFonts w:ascii="Times New Roman" w:hAnsi="Times New Roman"/>
                <w:b/>
                <w:i/>
                <w:sz w:val="24"/>
              </w:rPr>
              <w:lastRenderedPageBreak/>
              <w:t>MONITORING OF THE IMPLEMENTATION OF KESIP FOR THE PERIOD 2022-2025: STRATEGIC OBJECTIVE 2</w:t>
            </w:r>
          </w:p>
        </w:tc>
        <w:tc>
          <w:tcPr>
            <w:tcW w:w="922" w:type="pct"/>
            <w:tcBorders>
              <w:top w:val="nil"/>
              <w:left w:val="nil"/>
              <w:bottom w:val="nil"/>
              <w:right w:val="nil"/>
            </w:tcBorders>
            <w:shd w:val="clear" w:color="auto" w:fill="auto"/>
            <w:noWrap/>
            <w:vAlign w:val="bottom"/>
            <w:hideMark/>
          </w:tcPr>
          <w:p w14:paraId="38B242A3" w14:textId="77777777" w:rsidR="00571EAF" w:rsidRPr="0014539F" w:rsidRDefault="00571EAF" w:rsidP="00571EAF">
            <w:pPr>
              <w:spacing w:after="0" w:line="240" w:lineRule="auto"/>
              <w:jc w:val="center"/>
              <w:rPr>
                <w:rFonts w:ascii="Times New Roman" w:eastAsia="Times New Roman" w:hAnsi="Times New Roman" w:cs="Times New Roman"/>
                <w:b/>
                <w:bCs/>
                <w:i/>
                <w:iCs/>
                <w:sz w:val="24"/>
                <w:szCs w:val="24"/>
              </w:rPr>
            </w:pPr>
          </w:p>
        </w:tc>
      </w:tr>
      <w:tr w:rsidR="00571EAF" w:rsidRPr="0086165A" w14:paraId="4485DD72" w14:textId="77777777" w:rsidTr="002E72A1">
        <w:trPr>
          <w:trHeight w:val="885"/>
        </w:trPr>
        <w:tc>
          <w:tcPr>
            <w:tcW w:w="4078" w:type="pct"/>
            <w:gridSpan w:val="11"/>
            <w:tcBorders>
              <w:top w:val="nil"/>
              <w:left w:val="nil"/>
              <w:bottom w:val="single" w:sz="8" w:space="0" w:color="auto"/>
              <w:right w:val="nil"/>
            </w:tcBorders>
            <w:shd w:val="clear" w:color="auto" w:fill="auto"/>
            <w:vAlign w:val="center"/>
            <w:hideMark/>
          </w:tcPr>
          <w:p w14:paraId="5D85BFBD" w14:textId="77777777" w:rsidR="00571EAF" w:rsidRPr="0014539F" w:rsidRDefault="00571EAF" w:rsidP="00571EAF">
            <w:pPr>
              <w:spacing w:after="0" w:line="240" w:lineRule="auto"/>
              <w:jc w:val="center"/>
              <w:rPr>
                <w:rFonts w:ascii="Times New Roman" w:eastAsia="Times New Roman" w:hAnsi="Times New Roman" w:cs="Times New Roman"/>
                <w:b/>
                <w:bCs/>
              </w:rPr>
            </w:pPr>
            <w:r>
              <w:rPr>
                <w:rFonts w:ascii="Times New Roman" w:hAnsi="Times New Roman"/>
                <w:b/>
              </w:rPr>
              <w:t>SO2: DECARBONISATION AND PROMOTING RENEWABLE ENERGY</w:t>
            </w:r>
          </w:p>
        </w:tc>
        <w:tc>
          <w:tcPr>
            <w:tcW w:w="922" w:type="pct"/>
            <w:tcBorders>
              <w:top w:val="nil"/>
              <w:left w:val="nil"/>
              <w:bottom w:val="nil"/>
              <w:right w:val="nil"/>
            </w:tcBorders>
            <w:shd w:val="clear" w:color="auto" w:fill="auto"/>
            <w:noWrap/>
            <w:vAlign w:val="bottom"/>
            <w:hideMark/>
          </w:tcPr>
          <w:p w14:paraId="6F199C16" w14:textId="77777777" w:rsidR="00571EAF" w:rsidRPr="006D6D77" w:rsidRDefault="00571EAF" w:rsidP="00571EAF">
            <w:pPr>
              <w:spacing w:after="0" w:line="240" w:lineRule="auto"/>
              <w:jc w:val="center"/>
              <w:rPr>
                <w:rFonts w:ascii="Times New Roman" w:eastAsia="Times New Roman" w:hAnsi="Times New Roman" w:cs="Times New Roman"/>
                <w:b/>
                <w:bCs/>
              </w:rPr>
            </w:pPr>
          </w:p>
        </w:tc>
      </w:tr>
      <w:tr w:rsidR="000532B1" w:rsidRPr="0086165A" w14:paraId="421BEC53" w14:textId="77777777" w:rsidTr="002E72A1">
        <w:trPr>
          <w:trHeight w:val="735"/>
        </w:trPr>
        <w:tc>
          <w:tcPr>
            <w:tcW w:w="232" w:type="pct"/>
            <w:tcBorders>
              <w:top w:val="nil"/>
              <w:left w:val="single" w:sz="8" w:space="0" w:color="auto"/>
              <w:bottom w:val="nil"/>
              <w:right w:val="single" w:sz="8" w:space="0" w:color="auto"/>
            </w:tcBorders>
            <w:shd w:val="clear" w:color="000000" w:fill="BDD6EE"/>
            <w:vAlign w:val="center"/>
            <w:hideMark/>
          </w:tcPr>
          <w:p w14:paraId="5E8D362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58" w:type="pct"/>
            <w:tcBorders>
              <w:top w:val="nil"/>
              <w:left w:val="nil"/>
              <w:bottom w:val="nil"/>
              <w:right w:val="single" w:sz="8" w:space="0" w:color="auto"/>
            </w:tcBorders>
            <w:shd w:val="clear" w:color="000000" w:fill="BDD6EE"/>
            <w:vAlign w:val="center"/>
            <w:hideMark/>
          </w:tcPr>
          <w:p w14:paraId="6A636AE7"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Strategic and specific objectives, indicators and actions</w:t>
            </w:r>
          </w:p>
        </w:tc>
        <w:tc>
          <w:tcPr>
            <w:tcW w:w="982" w:type="pct"/>
            <w:gridSpan w:val="3"/>
            <w:tcBorders>
              <w:top w:val="single" w:sz="8" w:space="0" w:color="auto"/>
              <w:left w:val="nil"/>
              <w:bottom w:val="nil"/>
              <w:right w:val="single" w:sz="8" w:space="0" w:color="000000"/>
            </w:tcBorders>
            <w:shd w:val="clear" w:color="000000" w:fill="BDD6EE"/>
            <w:vAlign w:val="center"/>
            <w:hideMark/>
          </w:tcPr>
          <w:p w14:paraId="03091FF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Baseline value</w:t>
            </w:r>
          </w:p>
        </w:tc>
        <w:tc>
          <w:tcPr>
            <w:tcW w:w="808" w:type="pct"/>
            <w:gridSpan w:val="2"/>
            <w:tcBorders>
              <w:top w:val="single" w:sz="8" w:space="0" w:color="auto"/>
              <w:left w:val="nil"/>
              <w:bottom w:val="single" w:sz="8" w:space="0" w:color="auto"/>
              <w:right w:val="single" w:sz="8" w:space="0" w:color="000000"/>
            </w:tcBorders>
            <w:shd w:val="clear" w:color="000000" w:fill="BDD6EE"/>
            <w:vAlign w:val="center"/>
            <w:hideMark/>
          </w:tcPr>
          <w:p w14:paraId="101C573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Interim objective</w:t>
            </w:r>
            <w:r>
              <w:rPr>
                <w:rFonts w:ascii="Times New Roman" w:hAnsi="Times New Roman"/>
                <w:b/>
                <w:sz w:val="18"/>
              </w:rPr>
              <w:br/>
              <w:t>2025</w:t>
            </w:r>
          </w:p>
        </w:tc>
        <w:tc>
          <w:tcPr>
            <w:tcW w:w="398" w:type="pct"/>
            <w:tcBorders>
              <w:top w:val="nil"/>
              <w:left w:val="nil"/>
              <w:bottom w:val="nil"/>
              <w:right w:val="single" w:sz="8" w:space="0" w:color="auto"/>
            </w:tcBorders>
            <w:shd w:val="clear" w:color="000000" w:fill="BDD6EE"/>
            <w:vAlign w:val="center"/>
            <w:hideMark/>
          </w:tcPr>
          <w:p w14:paraId="2A49D47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201" w:type="pct"/>
            <w:gridSpan w:val="3"/>
            <w:tcBorders>
              <w:top w:val="single" w:sz="8" w:space="0" w:color="auto"/>
              <w:left w:val="nil"/>
              <w:bottom w:val="nil"/>
              <w:right w:val="single" w:sz="8" w:space="0" w:color="000000"/>
            </w:tcBorders>
            <w:shd w:val="clear" w:color="000000" w:fill="BDD6EE"/>
            <w:vAlign w:val="center"/>
            <w:hideMark/>
          </w:tcPr>
          <w:p w14:paraId="6D678AC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Result</w:t>
            </w:r>
          </w:p>
        </w:tc>
        <w:tc>
          <w:tcPr>
            <w:tcW w:w="922" w:type="pct"/>
            <w:tcBorders>
              <w:top w:val="nil"/>
              <w:left w:val="nil"/>
              <w:bottom w:val="nil"/>
              <w:right w:val="nil"/>
            </w:tcBorders>
            <w:shd w:val="clear" w:color="auto" w:fill="auto"/>
            <w:noWrap/>
            <w:vAlign w:val="bottom"/>
            <w:hideMark/>
          </w:tcPr>
          <w:p w14:paraId="3844CA9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86165A" w14:paraId="46654248" w14:textId="77777777" w:rsidTr="002E72A1">
        <w:trPr>
          <w:trHeight w:val="315"/>
        </w:trPr>
        <w:tc>
          <w:tcPr>
            <w:tcW w:w="232"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4446093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II.</w:t>
            </w:r>
          </w:p>
        </w:tc>
        <w:tc>
          <w:tcPr>
            <w:tcW w:w="3846" w:type="pct"/>
            <w:gridSpan w:val="10"/>
            <w:tcBorders>
              <w:top w:val="single" w:sz="8" w:space="0" w:color="auto"/>
              <w:left w:val="nil"/>
              <w:bottom w:val="single" w:sz="8" w:space="0" w:color="auto"/>
              <w:right w:val="single" w:sz="8" w:space="0" w:color="000000"/>
            </w:tcBorders>
            <w:shd w:val="clear" w:color="000000" w:fill="BFBFBF"/>
            <w:vAlign w:val="center"/>
            <w:hideMark/>
          </w:tcPr>
          <w:p w14:paraId="4DDC4D62" w14:textId="77777777" w:rsidR="00571EAF" w:rsidRPr="0086165A" w:rsidRDefault="00571EAF" w:rsidP="00FA4AA2">
            <w:pPr>
              <w:rPr>
                <w:rFonts w:ascii="Times New Roman" w:hAnsi="Times New Roman" w:cs="Times New Roman"/>
                <w:sz w:val="20"/>
                <w:szCs w:val="20"/>
              </w:rPr>
            </w:pPr>
            <w:r>
              <w:rPr>
                <w:rFonts w:ascii="Times New Roman" w:hAnsi="Times New Roman"/>
                <w:b/>
                <w:bCs/>
              </w:rPr>
              <w:t>STRATEGIC OBJECTIVE 2: DECARBONISATION AND PROMOTING RENEWABLE ENERGY</w:t>
            </w:r>
          </w:p>
        </w:tc>
        <w:tc>
          <w:tcPr>
            <w:tcW w:w="922" w:type="pct"/>
            <w:tcBorders>
              <w:top w:val="nil"/>
              <w:left w:val="nil"/>
              <w:bottom w:val="nil"/>
              <w:right w:val="nil"/>
            </w:tcBorders>
            <w:shd w:val="clear" w:color="auto" w:fill="auto"/>
            <w:noWrap/>
            <w:vAlign w:val="bottom"/>
            <w:hideMark/>
          </w:tcPr>
          <w:p w14:paraId="1791909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0532B1" w:rsidRPr="0086165A" w14:paraId="2ACB63FC" w14:textId="77777777" w:rsidTr="002E72A1">
        <w:trPr>
          <w:trHeight w:val="975"/>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35AC91E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58" w:type="pct"/>
            <w:tcBorders>
              <w:top w:val="nil"/>
              <w:left w:val="nil"/>
              <w:bottom w:val="single" w:sz="8" w:space="0" w:color="auto"/>
              <w:right w:val="single" w:sz="8" w:space="0" w:color="auto"/>
            </w:tcBorders>
            <w:shd w:val="clear" w:color="auto" w:fill="auto"/>
            <w:hideMark/>
          </w:tcPr>
          <w:p w14:paraId="38674621" w14:textId="670E0B68"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Reduction of GHG emissions in the electricity sector compared to 2019</w:t>
            </w:r>
          </w:p>
        </w:tc>
        <w:tc>
          <w:tcPr>
            <w:tcW w:w="982" w:type="pct"/>
            <w:gridSpan w:val="3"/>
            <w:tcBorders>
              <w:top w:val="single" w:sz="8" w:space="0" w:color="auto"/>
              <w:left w:val="nil"/>
              <w:bottom w:val="nil"/>
              <w:right w:val="single" w:sz="8" w:space="0" w:color="000000"/>
            </w:tcBorders>
            <w:shd w:val="clear" w:color="auto" w:fill="auto"/>
            <w:vAlign w:val="center"/>
            <w:hideMark/>
          </w:tcPr>
          <w:p w14:paraId="6CFA44B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0% [2019] </w:t>
            </w:r>
            <w:r>
              <w:rPr>
                <w:rFonts w:ascii="Times New Roman" w:hAnsi="Times New Roman"/>
                <w:sz w:val="18"/>
              </w:rPr>
              <w:br/>
              <w:t>(6316 ktCO2)</w:t>
            </w:r>
          </w:p>
        </w:tc>
        <w:tc>
          <w:tcPr>
            <w:tcW w:w="808" w:type="pct"/>
            <w:gridSpan w:val="2"/>
            <w:tcBorders>
              <w:top w:val="single" w:sz="8" w:space="0" w:color="auto"/>
              <w:left w:val="nil"/>
              <w:bottom w:val="nil"/>
              <w:right w:val="single" w:sz="8" w:space="0" w:color="000000"/>
            </w:tcBorders>
            <w:shd w:val="clear" w:color="auto" w:fill="auto"/>
            <w:vAlign w:val="center"/>
            <w:hideMark/>
          </w:tcPr>
          <w:p w14:paraId="582A18E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0%</w:t>
            </w:r>
          </w:p>
        </w:tc>
        <w:tc>
          <w:tcPr>
            <w:tcW w:w="398" w:type="pct"/>
            <w:tcBorders>
              <w:top w:val="nil"/>
              <w:left w:val="nil"/>
              <w:bottom w:val="nil"/>
              <w:right w:val="nil"/>
            </w:tcBorders>
            <w:shd w:val="clear" w:color="auto" w:fill="auto"/>
            <w:vAlign w:val="center"/>
            <w:hideMark/>
          </w:tcPr>
          <w:p w14:paraId="620B728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-32%</w:t>
            </w:r>
          </w:p>
        </w:tc>
        <w:tc>
          <w:tcPr>
            <w:tcW w:w="1201" w:type="pct"/>
            <w:gridSpan w:val="3"/>
            <w:tcBorders>
              <w:top w:val="single" w:sz="8" w:space="0" w:color="auto"/>
              <w:left w:val="single" w:sz="8" w:space="0" w:color="auto"/>
              <w:bottom w:val="nil"/>
              <w:right w:val="single" w:sz="8" w:space="0" w:color="000000"/>
            </w:tcBorders>
            <w:shd w:val="clear" w:color="auto" w:fill="auto"/>
            <w:vAlign w:val="center"/>
            <w:hideMark/>
          </w:tcPr>
          <w:p w14:paraId="6C364A03"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922" w:type="pct"/>
            <w:tcBorders>
              <w:top w:val="nil"/>
              <w:left w:val="nil"/>
              <w:bottom w:val="nil"/>
              <w:right w:val="nil"/>
            </w:tcBorders>
            <w:shd w:val="clear" w:color="auto" w:fill="auto"/>
            <w:noWrap/>
            <w:vAlign w:val="bottom"/>
            <w:hideMark/>
          </w:tcPr>
          <w:p w14:paraId="79C2372B"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0532B1" w:rsidRPr="0086165A" w14:paraId="6E64FDE6" w14:textId="77777777" w:rsidTr="002E72A1">
        <w:trPr>
          <w:trHeight w:val="975"/>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57C77BA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458" w:type="pct"/>
            <w:tcBorders>
              <w:top w:val="nil"/>
              <w:left w:val="nil"/>
              <w:bottom w:val="single" w:sz="8" w:space="0" w:color="auto"/>
              <w:right w:val="single" w:sz="8" w:space="0" w:color="auto"/>
            </w:tcBorders>
            <w:shd w:val="clear" w:color="auto" w:fill="auto"/>
            <w:hideMark/>
          </w:tcPr>
          <w:p w14:paraId="1ADFD651" w14:textId="199543E4"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The share of renewable energy sources in the consumption of the electricity sector</w:t>
            </w:r>
          </w:p>
        </w:tc>
        <w:tc>
          <w:tcPr>
            <w:tcW w:w="982" w:type="pct"/>
            <w:gridSpan w:val="3"/>
            <w:tcBorders>
              <w:top w:val="single" w:sz="8" w:space="0" w:color="auto"/>
              <w:left w:val="nil"/>
              <w:bottom w:val="single" w:sz="8" w:space="0" w:color="auto"/>
              <w:right w:val="single" w:sz="8" w:space="0" w:color="000000"/>
            </w:tcBorders>
            <w:shd w:val="clear" w:color="auto" w:fill="auto"/>
            <w:vAlign w:val="center"/>
            <w:hideMark/>
          </w:tcPr>
          <w:p w14:paraId="182DA5B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6.3% [2021] </w:t>
            </w:r>
          </w:p>
        </w:tc>
        <w:tc>
          <w:tcPr>
            <w:tcW w:w="808" w:type="pct"/>
            <w:gridSpan w:val="2"/>
            <w:tcBorders>
              <w:top w:val="single" w:sz="8" w:space="0" w:color="auto"/>
              <w:left w:val="nil"/>
              <w:bottom w:val="single" w:sz="8" w:space="0" w:color="auto"/>
              <w:right w:val="nil"/>
            </w:tcBorders>
            <w:shd w:val="clear" w:color="auto" w:fill="auto"/>
            <w:vAlign w:val="center"/>
            <w:hideMark/>
          </w:tcPr>
          <w:p w14:paraId="2A3A169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Minimum 13%</w:t>
            </w:r>
          </w:p>
        </w:tc>
        <w:tc>
          <w:tcPr>
            <w:tcW w:w="39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82A8C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Minimum 35%</w:t>
            </w:r>
          </w:p>
        </w:tc>
        <w:tc>
          <w:tcPr>
            <w:tcW w:w="1201" w:type="pct"/>
            <w:gridSpan w:val="3"/>
            <w:tcBorders>
              <w:top w:val="single" w:sz="8" w:space="0" w:color="auto"/>
              <w:left w:val="nil"/>
              <w:bottom w:val="single" w:sz="8" w:space="0" w:color="auto"/>
              <w:right w:val="single" w:sz="8" w:space="0" w:color="000000"/>
            </w:tcBorders>
            <w:shd w:val="clear" w:color="auto" w:fill="auto"/>
            <w:vAlign w:val="center"/>
            <w:hideMark/>
          </w:tcPr>
          <w:p w14:paraId="5C90C988" w14:textId="07AA2A23" w:rsidR="00571EAF" w:rsidRPr="00897969" w:rsidRDefault="00F9547B" w:rsidP="00622AD4">
            <w:pPr>
              <w:spacing w:after="0" w:line="240" w:lineRule="auto"/>
              <w:rPr>
                <w:rFonts w:ascii="Times New Roman" w:eastAsia="Times New Roman" w:hAnsi="Times New Roman" w:cs="Times New Roman"/>
                <w:sz w:val="18"/>
                <w:szCs w:val="18"/>
                <w:highlight w:val="yellow"/>
              </w:rPr>
            </w:pPr>
            <w:r>
              <w:rPr>
                <w:rFonts w:ascii="Times New Roman" w:hAnsi="Times New Roman"/>
                <w:sz w:val="18"/>
              </w:rPr>
              <w:t>8.75% (2024)</w:t>
            </w:r>
          </w:p>
        </w:tc>
        <w:tc>
          <w:tcPr>
            <w:tcW w:w="922" w:type="pct"/>
            <w:tcBorders>
              <w:top w:val="nil"/>
              <w:left w:val="nil"/>
              <w:bottom w:val="nil"/>
              <w:right w:val="nil"/>
            </w:tcBorders>
            <w:shd w:val="clear" w:color="auto" w:fill="auto"/>
            <w:noWrap/>
            <w:vAlign w:val="bottom"/>
            <w:hideMark/>
          </w:tcPr>
          <w:p w14:paraId="399042F2" w14:textId="6F05182D" w:rsidR="00571EAF" w:rsidRPr="007833F1" w:rsidRDefault="00571EAF" w:rsidP="00571EAF">
            <w:pPr>
              <w:spacing w:after="0" w:line="240" w:lineRule="auto"/>
              <w:rPr>
                <w:rFonts w:ascii="Times New Roman" w:eastAsia="Times New Roman" w:hAnsi="Times New Roman" w:cs="Times New Roman"/>
                <w:sz w:val="18"/>
                <w:szCs w:val="18"/>
                <w:highlight w:val="yellow"/>
              </w:rPr>
            </w:pPr>
          </w:p>
        </w:tc>
      </w:tr>
      <w:tr w:rsidR="00571EAF" w:rsidRPr="0086165A" w14:paraId="5D8F85DA" w14:textId="77777777" w:rsidTr="002E72A1">
        <w:trPr>
          <w:trHeight w:val="315"/>
        </w:trPr>
        <w:tc>
          <w:tcPr>
            <w:tcW w:w="232" w:type="pct"/>
            <w:tcBorders>
              <w:top w:val="nil"/>
              <w:left w:val="single" w:sz="8" w:space="0" w:color="auto"/>
              <w:bottom w:val="single" w:sz="8" w:space="0" w:color="auto"/>
              <w:right w:val="single" w:sz="8" w:space="0" w:color="auto"/>
            </w:tcBorders>
            <w:shd w:val="clear" w:color="000000" w:fill="D9D9D9"/>
            <w:vAlign w:val="center"/>
            <w:hideMark/>
          </w:tcPr>
          <w:p w14:paraId="336D656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II.1</w:t>
            </w:r>
          </w:p>
        </w:tc>
        <w:tc>
          <w:tcPr>
            <w:tcW w:w="3846" w:type="pct"/>
            <w:gridSpan w:val="10"/>
            <w:tcBorders>
              <w:top w:val="single" w:sz="8" w:space="0" w:color="auto"/>
              <w:left w:val="nil"/>
              <w:bottom w:val="single" w:sz="8" w:space="0" w:color="auto"/>
              <w:right w:val="single" w:sz="8" w:space="0" w:color="000000"/>
            </w:tcBorders>
            <w:shd w:val="clear" w:color="000000" w:fill="D9D9D9"/>
            <w:vAlign w:val="center"/>
            <w:hideMark/>
          </w:tcPr>
          <w:p w14:paraId="06D7FC35"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Gradual implementation of the carbon price</w:t>
            </w:r>
          </w:p>
        </w:tc>
        <w:tc>
          <w:tcPr>
            <w:tcW w:w="922" w:type="pct"/>
            <w:tcBorders>
              <w:top w:val="nil"/>
              <w:left w:val="nil"/>
              <w:bottom w:val="nil"/>
              <w:right w:val="nil"/>
            </w:tcBorders>
            <w:shd w:val="clear" w:color="auto" w:fill="auto"/>
            <w:noWrap/>
            <w:vAlign w:val="bottom"/>
            <w:hideMark/>
          </w:tcPr>
          <w:p w14:paraId="26F3444A"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0532B1" w:rsidRPr="0086165A" w14:paraId="4AB973FF" w14:textId="77777777" w:rsidTr="002E72A1">
        <w:trPr>
          <w:trHeight w:val="735"/>
        </w:trPr>
        <w:tc>
          <w:tcPr>
            <w:tcW w:w="232" w:type="pct"/>
            <w:tcBorders>
              <w:top w:val="nil"/>
              <w:left w:val="single" w:sz="8" w:space="0" w:color="auto"/>
              <w:bottom w:val="single" w:sz="8" w:space="0" w:color="auto"/>
              <w:right w:val="single" w:sz="8" w:space="0" w:color="auto"/>
            </w:tcBorders>
            <w:shd w:val="clear" w:color="000000" w:fill="D0CECE"/>
            <w:vAlign w:val="center"/>
            <w:hideMark/>
          </w:tcPr>
          <w:p w14:paraId="660ED42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458" w:type="pct"/>
            <w:tcBorders>
              <w:top w:val="nil"/>
              <w:left w:val="nil"/>
              <w:bottom w:val="nil"/>
              <w:right w:val="single" w:sz="8" w:space="0" w:color="auto"/>
            </w:tcBorders>
            <w:shd w:val="clear" w:color="000000" w:fill="D0CECE"/>
            <w:vAlign w:val="center"/>
            <w:hideMark/>
          </w:tcPr>
          <w:p w14:paraId="61EE0C2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82" w:type="pct"/>
            <w:gridSpan w:val="3"/>
            <w:tcBorders>
              <w:top w:val="single" w:sz="8" w:space="0" w:color="auto"/>
              <w:left w:val="nil"/>
              <w:bottom w:val="single" w:sz="8" w:space="0" w:color="auto"/>
              <w:right w:val="nil"/>
            </w:tcBorders>
            <w:shd w:val="clear" w:color="000000" w:fill="D9D9D9"/>
            <w:vAlign w:val="center"/>
            <w:hideMark/>
          </w:tcPr>
          <w:p w14:paraId="0455E7A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808" w:type="pct"/>
            <w:gridSpan w:val="2"/>
            <w:tcBorders>
              <w:top w:val="single" w:sz="8" w:space="0" w:color="auto"/>
              <w:left w:val="single" w:sz="8" w:space="0" w:color="auto"/>
              <w:bottom w:val="single" w:sz="8" w:space="0" w:color="auto"/>
              <w:right w:val="nil"/>
            </w:tcBorders>
            <w:shd w:val="clear" w:color="000000" w:fill="D9D9D9"/>
            <w:vAlign w:val="center"/>
            <w:hideMark/>
          </w:tcPr>
          <w:p w14:paraId="6EA59CB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398" w:type="pct"/>
            <w:tcBorders>
              <w:top w:val="nil"/>
              <w:left w:val="single" w:sz="8" w:space="0" w:color="auto"/>
              <w:bottom w:val="single" w:sz="8" w:space="0" w:color="auto"/>
              <w:right w:val="single" w:sz="8" w:space="0" w:color="auto"/>
            </w:tcBorders>
            <w:shd w:val="clear" w:color="000000" w:fill="D9D9D9"/>
            <w:vAlign w:val="center"/>
            <w:hideMark/>
          </w:tcPr>
          <w:p w14:paraId="6279A2D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201" w:type="pct"/>
            <w:gridSpan w:val="3"/>
            <w:tcBorders>
              <w:top w:val="single" w:sz="8" w:space="0" w:color="auto"/>
              <w:left w:val="nil"/>
              <w:bottom w:val="single" w:sz="8" w:space="0" w:color="auto"/>
              <w:right w:val="single" w:sz="8" w:space="0" w:color="000000"/>
            </w:tcBorders>
            <w:shd w:val="clear" w:color="000000" w:fill="D9D9D9"/>
            <w:vAlign w:val="center"/>
            <w:hideMark/>
          </w:tcPr>
          <w:p w14:paraId="6F682ED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922" w:type="pct"/>
            <w:tcBorders>
              <w:top w:val="nil"/>
              <w:left w:val="nil"/>
              <w:bottom w:val="nil"/>
              <w:right w:val="nil"/>
            </w:tcBorders>
            <w:shd w:val="clear" w:color="auto" w:fill="auto"/>
            <w:noWrap/>
            <w:vAlign w:val="bottom"/>
            <w:hideMark/>
          </w:tcPr>
          <w:p w14:paraId="0AD93B0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0532B1" w:rsidRPr="0086165A" w14:paraId="6ECB0730" w14:textId="77777777" w:rsidTr="002E72A1">
        <w:trPr>
          <w:trHeight w:val="975"/>
        </w:trPr>
        <w:tc>
          <w:tcPr>
            <w:tcW w:w="232" w:type="pct"/>
            <w:tcBorders>
              <w:top w:val="nil"/>
              <w:left w:val="single" w:sz="8" w:space="0" w:color="auto"/>
              <w:bottom w:val="nil"/>
              <w:right w:val="single" w:sz="8" w:space="0" w:color="auto"/>
            </w:tcBorders>
            <w:shd w:val="clear" w:color="auto" w:fill="auto"/>
            <w:vAlign w:val="center"/>
            <w:hideMark/>
          </w:tcPr>
          <w:p w14:paraId="47A3E74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58" w:type="pct"/>
            <w:tcBorders>
              <w:top w:val="single" w:sz="8" w:space="0" w:color="auto"/>
              <w:left w:val="nil"/>
              <w:bottom w:val="nil"/>
              <w:right w:val="single" w:sz="8" w:space="0" w:color="auto"/>
            </w:tcBorders>
            <w:shd w:val="clear" w:color="auto" w:fill="auto"/>
            <w:vAlign w:val="center"/>
            <w:hideMark/>
          </w:tcPr>
          <w:p w14:paraId="75ECB9B4"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Gradual introduction of the carbon price</w:t>
            </w:r>
          </w:p>
        </w:tc>
        <w:tc>
          <w:tcPr>
            <w:tcW w:w="982" w:type="pct"/>
            <w:gridSpan w:val="3"/>
            <w:tcBorders>
              <w:top w:val="single" w:sz="8" w:space="0" w:color="auto"/>
              <w:left w:val="nil"/>
              <w:bottom w:val="nil"/>
              <w:right w:val="single" w:sz="8" w:space="0" w:color="000000"/>
            </w:tcBorders>
            <w:shd w:val="clear" w:color="auto" w:fill="auto"/>
            <w:vAlign w:val="center"/>
            <w:hideMark/>
          </w:tcPr>
          <w:p w14:paraId="159D149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t>Not</w:t>
            </w:r>
            <w:r>
              <w:rPr>
                <w:rFonts w:ascii="Times New Roman" w:hAnsi="Times New Roman"/>
                <w:sz w:val="18"/>
              </w:rPr>
              <w:br/>
              <w:t>introduced [2021]</w:t>
            </w:r>
          </w:p>
        </w:tc>
        <w:tc>
          <w:tcPr>
            <w:tcW w:w="808" w:type="pct"/>
            <w:gridSpan w:val="2"/>
            <w:tcBorders>
              <w:top w:val="single" w:sz="8" w:space="0" w:color="auto"/>
              <w:left w:val="nil"/>
              <w:bottom w:val="nil"/>
              <w:right w:val="single" w:sz="8" w:space="0" w:color="000000"/>
            </w:tcBorders>
            <w:shd w:val="clear" w:color="auto" w:fill="auto"/>
            <w:vAlign w:val="center"/>
            <w:hideMark/>
          </w:tcPr>
          <w:p w14:paraId="462BDBC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The preparation for one carbon pricing</w:t>
            </w:r>
            <w:r>
              <w:rPr>
                <w:rFonts w:ascii="Times New Roman" w:hAnsi="Times New Roman"/>
                <w:sz w:val="18"/>
              </w:rPr>
              <w:br/>
              <w:t>system has been completed.</w:t>
            </w:r>
          </w:p>
        </w:tc>
        <w:tc>
          <w:tcPr>
            <w:tcW w:w="398" w:type="pct"/>
            <w:tcBorders>
              <w:top w:val="nil"/>
              <w:left w:val="nil"/>
              <w:bottom w:val="nil"/>
              <w:right w:val="single" w:sz="8" w:space="0" w:color="auto"/>
            </w:tcBorders>
            <w:shd w:val="clear" w:color="auto" w:fill="auto"/>
            <w:vAlign w:val="center"/>
            <w:hideMark/>
          </w:tcPr>
          <w:p w14:paraId="1B9AD229" w14:textId="3637A320"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t>Integration into EU ETS</w:t>
            </w:r>
          </w:p>
        </w:tc>
        <w:tc>
          <w:tcPr>
            <w:tcW w:w="1201" w:type="pct"/>
            <w:gridSpan w:val="3"/>
            <w:tcBorders>
              <w:top w:val="single" w:sz="8" w:space="0" w:color="auto"/>
              <w:left w:val="nil"/>
              <w:bottom w:val="single" w:sz="8" w:space="0" w:color="auto"/>
              <w:right w:val="single" w:sz="8" w:space="0" w:color="000000"/>
            </w:tcBorders>
            <w:shd w:val="clear" w:color="auto" w:fill="auto"/>
            <w:vAlign w:val="center"/>
            <w:hideMark/>
          </w:tcPr>
          <w:p w14:paraId="1D7D2E36"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922" w:type="pct"/>
            <w:tcBorders>
              <w:top w:val="nil"/>
              <w:left w:val="nil"/>
              <w:bottom w:val="nil"/>
              <w:right w:val="nil"/>
            </w:tcBorders>
            <w:shd w:val="clear" w:color="auto" w:fill="auto"/>
            <w:noWrap/>
            <w:vAlign w:val="bottom"/>
            <w:hideMark/>
          </w:tcPr>
          <w:p w14:paraId="666293C0" w14:textId="77777777" w:rsidR="00571EAF" w:rsidRPr="0014539F" w:rsidRDefault="00571EAF" w:rsidP="00571EAF">
            <w:pPr>
              <w:spacing w:after="0" w:line="240" w:lineRule="auto"/>
              <w:jc w:val="center"/>
              <w:rPr>
                <w:rFonts w:ascii="Times New Roman" w:eastAsia="Times New Roman" w:hAnsi="Times New Roman" w:cs="Times New Roman"/>
                <w:sz w:val="18"/>
                <w:szCs w:val="18"/>
                <w:lang w:val="it-IT"/>
              </w:rPr>
            </w:pPr>
          </w:p>
        </w:tc>
      </w:tr>
      <w:tr w:rsidR="00405811" w:rsidRPr="0086165A" w14:paraId="1536AB58" w14:textId="77777777" w:rsidTr="002E72A1">
        <w:trPr>
          <w:trHeight w:val="315"/>
        </w:trPr>
        <w:tc>
          <w:tcPr>
            <w:tcW w:w="23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DDF9F7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5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6F683B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2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A2795F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560" w:type="pct"/>
            <w:gridSpan w:val="4"/>
            <w:tcBorders>
              <w:top w:val="single" w:sz="8" w:space="0" w:color="auto"/>
              <w:left w:val="nil"/>
              <w:bottom w:val="single" w:sz="8" w:space="0" w:color="auto"/>
              <w:right w:val="nil"/>
            </w:tcBorders>
            <w:shd w:val="clear" w:color="000000" w:fill="D9D9D9"/>
            <w:vAlign w:val="center"/>
            <w:hideMark/>
          </w:tcPr>
          <w:p w14:paraId="1BB1DF9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1DB145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44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CA85D2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36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20B155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9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E3F42FC" w14:textId="0F79D234"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92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BF9B236" w14:textId="77777777" w:rsidR="00571EAF" w:rsidRPr="0086165A" w:rsidRDefault="000532B1" w:rsidP="005D6B3A">
            <w:pPr>
              <w:spacing w:after="0" w:line="240" w:lineRule="auto"/>
              <w:jc w:val="center"/>
              <w:rPr>
                <w:rFonts w:ascii="Times New Roman" w:eastAsia="Times New Roman" w:hAnsi="Times New Roman" w:cs="Times New Roman"/>
                <w:b/>
                <w:bCs/>
              </w:rPr>
            </w:pPr>
            <w:r>
              <w:rPr>
                <w:rFonts w:ascii="Times New Roman" w:hAnsi="Times New Roman"/>
                <w:b/>
              </w:rPr>
              <w:t>Implementation progress for 2024</w:t>
            </w:r>
          </w:p>
        </w:tc>
      </w:tr>
      <w:tr w:rsidR="005D6B3A" w:rsidRPr="0086165A" w14:paraId="21AD48BF" w14:textId="77777777" w:rsidTr="002E72A1">
        <w:trPr>
          <w:trHeight w:val="300"/>
        </w:trPr>
        <w:tc>
          <w:tcPr>
            <w:tcW w:w="232" w:type="pct"/>
            <w:vMerge/>
            <w:tcBorders>
              <w:top w:val="single" w:sz="8" w:space="0" w:color="auto"/>
              <w:left w:val="single" w:sz="8" w:space="0" w:color="auto"/>
              <w:bottom w:val="single" w:sz="8" w:space="0" w:color="000000"/>
              <w:right w:val="single" w:sz="8" w:space="0" w:color="auto"/>
            </w:tcBorders>
            <w:vAlign w:val="center"/>
            <w:hideMark/>
          </w:tcPr>
          <w:p w14:paraId="6D580DC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6614AD8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9" w:type="pct"/>
            <w:vMerge/>
            <w:tcBorders>
              <w:top w:val="single" w:sz="8" w:space="0" w:color="auto"/>
              <w:left w:val="single" w:sz="8" w:space="0" w:color="auto"/>
              <w:bottom w:val="single" w:sz="8" w:space="0" w:color="000000"/>
              <w:right w:val="single" w:sz="8" w:space="0" w:color="auto"/>
            </w:tcBorders>
            <w:vAlign w:val="center"/>
            <w:hideMark/>
          </w:tcPr>
          <w:p w14:paraId="425317F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76" w:type="pct"/>
            <w:tcBorders>
              <w:top w:val="nil"/>
              <w:left w:val="nil"/>
              <w:bottom w:val="nil"/>
              <w:right w:val="single" w:sz="8" w:space="0" w:color="auto"/>
            </w:tcBorders>
            <w:shd w:val="clear" w:color="000000" w:fill="D9D9D9"/>
            <w:vAlign w:val="center"/>
            <w:hideMark/>
          </w:tcPr>
          <w:p w14:paraId="08CA865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76" w:type="pct"/>
            <w:tcBorders>
              <w:top w:val="nil"/>
              <w:left w:val="nil"/>
              <w:bottom w:val="nil"/>
              <w:right w:val="single" w:sz="8" w:space="0" w:color="auto"/>
            </w:tcBorders>
            <w:shd w:val="clear" w:color="000000" w:fill="D9D9D9"/>
            <w:vAlign w:val="center"/>
            <w:hideMark/>
          </w:tcPr>
          <w:p w14:paraId="5C8F9E6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2" w:type="pct"/>
            <w:tcBorders>
              <w:top w:val="nil"/>
              <w:left w:val="nil"/>
              <w:bottom w:val="nil"/>
              <w:right w:val="single" w:sz="8" w:space="0" w:color="auto"/>
            </w:tcBorders>
            <w:shd w:val="clear" w:color="000000" w:fill="D9D9D9"/>
            <w:vAlign w:val="center"/>
            <w:hideMark/>
          </w:tcPr>
          <w:p w14:paraId="0CBBB79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5" w:type="pct"/>
            <w:tcBorders>
              <w:top w:val="nil"/>
              <w:left w:val="nil"/>
              <w:bottom w:val="nil"/>
              <w:right w:val="single" w:sz="8" w:space="0" w:color="auto"/>
            </w:tcBorders>
            <w:shd w:val="clear" w:color="000000" w:fill="D9D9D9"/>
            <w:vAlign w:val="center"/>
            <w:hideMark/>
          </w:tcPr>
          <w:p w14:paraId="1880141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98" w:type="pct"/>
            <w:vMerge/>
            <w:tcBorders>
              <w:top w:val="single" w:sz="8" w:space="0" w:color="auto"/>
              <w:left w:val="single" w:sz="8" w:space="0" w:color="auto"/>
              <w:bottom w:val="single" w:sz="8" w:space="0" w:color="000000"/>
              <w:right w:val="single" w:sz="8" w:space="0" w:color="auto"/>
            </w:tcBorders>
            <w:vAlign w:val="center"/>
            <w:hideMark/>
          </w:tcPr>
          <w:p w14:paraId="048ED10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41" w:type="pct"/>
            <w:vMerge/>
            <w:tcBorders>
              <w:top w:val="nil"/>
              <w:left w:val="single" w:sz="8" w:space="0" w:color="auto"/>
              <w:bottom w:val="single" w:sz="8" w:space="0" w:color="000000"/>
              <w:right w:val="single" w:sz="8" w:space="0" w:color="auto"/>
            </w:tcBorders>
            <w:vAlign w:val="center"/>
            <w:hideMark/>
          </w:tcPr>
          <w:p w14:paraId="75F6C9B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14:paraId="17A67F0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92" w:type="pct"/>
            <w:vMerge/>
            <w:tcBorders>
              <w:top w:val="nil"/>
              <w:left w:val="single" w:sz="8" w:space="0" w:color="auto"/>
              <w:bottom w:val="single" w:sz="8" w:space="0" w:color="000000"/>
              <w:right w:val="single" w:sz="8" w:space="0" w:color="auto"/>
            </w:tcBorders>
            <w:vAlign w:val="center"/>
            <w:hideMark/>
          </w:tcPr>
          <w:p w14:paraId="6964E77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22" w:type="pct"/>
            <w:vMerge/>
            <w:tcBorders>
              <w:top w:val="single" w:sz="8" w:space="0" w:color="auto"/>
              <w:left w:val="single" w:sz="8" w:space="0" w:color="auto"/>
              <w:bottom w:val="single" w:sz="8" w:space="0" w:color="000000"/>
              <w:right w:val="single" w:sz="8" w:space="0" w:color="auto"/>
            </w:tcBorders>
            <w:vAlign w:val="center"/>
            <w:hideMark/>
          </w:tcPr>
          <w:p w14:paraId="5F10C6F3" w14:textId="77777777" w:rsidR="00571EAF" w:rsidRPr="0086165A" w:rsidRDefault="00571EAF" w:rsidP="00571EAF">
            <w:pPr>
              <w:spacing w:after="0" w:line="240" w:lineRule="auto"/>
              <w:rPr>
                <w:rFonts w:ascii="Times New Roman" w:eastAsia="Times New Roman" w:hAnsi="Times New Roman" w:cs="Times New Roman"/>
                <w:b/>
                <w:bCs/>
              </w:rPr>
            </w:pPr>
          </w:p>
        </w:tc>
      </w:tr>
      <w:tr w:rsidR="005D6B3A" w:rsidRPr="0086165A" w14:paraId="00659F75" w14:textId="77777777" w:rsidTr="002E72A1">
        <w:trPr>
          <w:trHeight w:val="825"/>
        </w:trPr>
        <w:tc>
          <w:tcPr>
            <w:tcW w:w="232" w:type="pct"/>
            <w:vMerge/>
            <w:tcBorders>
              <w:top w:val="single" w:sz="8" w:space="0" w:color="auto"/>
              <w:left w:val="single" w:sz="8" w:space="0" w:color="auto"/>
              <w:bottom w:val="single" w:sz="8" w:space="0" w:color="000000"/>
              <w:right w:val="single" w:sz="8" w:space="0" w:color="auto"/>
            </w:tcBorders>
            <w:vAlign w:val="center"/>
            <w:hideMark/>
          </w:tcPr>
          <w:p w14:paraId="0FCC938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3643F76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9" w:type="pct"/>
            <w:vMerge/>
            <w:tcBorders>
              <w:top w:val="single" w:sz="8" w:space="0" w:color="auto"/>
              <w:left w:val="single" w:sz="8" w:space="0" w:color="auto"/>
              <w:bottom w:val="single" w:sz="8" w:space="0" w:color="000000"/>
              <w:right w:val="single" w:sz="8" w:space="0" w:color="auto"/>
            </w:tcBorders>
            <w:vAlign w:val="center"/>
            <w:hideMark/>
          </w:tcPr>
          <w:p w14:paraId="6877436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76" w:type="pct"/>
            <w:tcBorders>
              <w:top w:val="nil"/>
              <w:left w:val="nil"/>
              <w:bottom w:val="single" w:sz="8" w:space="0" w:color="auto"/>
              <w:right w:val="single" w:sz="8" w:space="0" w:color="auto"/>
            </w:tcBorders>
            <w:shd w:val="clear" w:color="000000" w:fill="D9D9D9"/>
            <w:vAlign w:val="center"/>
            <w:hideMark/>
          </w:tcPr>
          <w:p w14:paraId="42625CA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376" w:type="pct"/>
            <w:tcBorders>
              <w:top w:val="nil"/>
              <w:left w:val="nil"/>
              <w:bottom w:val="single" w:sz="8" w:space="0" w:color="auto"/>
              <w:right w:val="single" w:sz="8" w:space="0" w:color="auto"/>
            </w:tcBorders>
            <w:shd w:val="clear" w:color="000000" w:fill="D9D9D9"/>
            <w:vAlign w:val="center"/>
            <w:hideMark/>
          </w:tcPr>
          <w:p w14:paraId="5288508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402" w:type="pct"/>
            <w:tcBorders>
              <w:top w:val="nil"/>
              <w:left w:val="nil"/>
              <w:bottom w:val="single" w:sz="8" w:space="0" w:color="auto"/>
              <w:right w:val="single" w:sz="8" w:space="0" w:color="auto"/>
            </w:tcBorders>
            <w:shd w:val="clear" w:color="000000" w:fill="D9D9D9"/>
            <w:vAlign w:val="center"/>
            <w:hideMark/>
          </w:tcPr>
          <w:p w14:paraId="5285FBD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405" w:type="pct"/>
            <w:tcBorders>
              <w:top w:val="nil"/>
              <w:left w:val="nil"/>
              <w:bottom w:val="single" w:sz="8" w:space="0" w:color="auto"/>
              <w:right w:val="single" w:sz="8" w:space="0" w:color="auto"/>
            </w:tcBorders>
            <w:shd w:val="clear" w:color="000000" w:fill="D9D9D9"/>
            <w:vAlign w:val="center"/>
            <w:hideMark/>
          </w:tcPr>
          <w:p w14:paraId="791A8AA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98" w:type="pct"/>
            <w:vMerge/>
            <w:tcBorders>
              <w:top w:val="single" w:sz="8" w:space="0" w:color="auto"/>
              <w:left w:val="single" w:sz="8" w:space="0" w:color="auto"/>
              <w:bottom w:val="single" w:sz="8" w:space="0" w:color="000000"/>
              <w:right w:val="single" w:sz="8" w:space="0" w:color="auto"/>
            </w:tcBorders>
            <w:vAlign w:val="center"/>
            <w:hideMark/>
          </w:tcPr>
          <w:p w14:paraId="0A45B03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41" w:type="pct"/>
            <w:vMerge/>
            <w:tcBorders>
              <w:top w:val="nil"/>
              <w:left w:val="single" w:sz="8" w:space="0" w:color="auto"/>
              <w:bottom w:val="single" w:sz="8" w:space="0" w:color="000000"/>
              <w:right w:val="single" w:sz="8" w:space="0" w:color="auto"/>
            </w:tcBorders>
            <w:vAlign w:val="center"/>
            <w:hideMark/>
          </w:tcPr>
          <w:p w14:paraId="2E86D4F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14:paraId="05A532D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92" w:type="pct"/>
            <w:vMerge/>
            <w:tcBorders>
              <w:top w:val="nil"/>
              <w:left w:val="single" w:sz="8" w:space="0" w:color="auto"/>
              <w:bottom w:val="single" w:sz="8" w:space="0" w:color="000000"/>
              <w:right w:val="single" w:sz="8" w:space="0" w:color="auto"/>
            </w:tcBorders>
            <w:vAlign w:val="center"/>
            <w:hideMark/>
          </w:tcPr>
          <w:p w14:paraId="2D9D4365"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22" w:type="pct"/>
            <w:vMerge/>
            <w:tcBorders>
              <w:top w:val="single" w:sz="8" w:space="0" w:color="auto"/>
              <w:left w:val="single" w:sz="8" w:space="0" w:color="auto"/>
              <w:bottom w:val="single" w:sz="8" w:space="0" w:color="000000"/>
              <w:right w:val="single" w:sz="8" w:space="0" w:color="auto"/>
            </w:tcBorders>
            <w:vAlign w:val="center"/>
            <w:hideMark/>
          </w:tcPr>
          <w:p w14:paraId="052F3DE1" w14:textId="77777777" w:rsidR="00571EAF" w:rsidRPr="0086165A" w:rsidRDefault="00571EAF" w:rsidP="00571EAF">
            <w:pPr>
              <w:spacing w:after="0" w:line="240" w:lineRule="auto"/>
              <w:rPr>
                <w:rFonts w:ascii="Times New Roman" w:eastAsia="Times New Roman" w:hAnsi="Times New Roman" w:cs="Times New Roman"/>
                <w:b/>
                <w:bCs/>
              </w:rPr>
            </w:pPr>
          </w:p>
        </w:tc>
      </w:tr>
      <w:tr w:rsidR="005D6B3A" w:rsidRPr="0086165A" w14:paraId="5A52ECA5" w14:textId="77777777" w:rsidTr="002E72A1">
        <w:trPr>
          <w:trHeight w:val="735"/>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55A3004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II.1.1</w:t>
            </w:r>
          </w:p>
        </w:tc>
        <w:tc>
          <w:tcPr>
            <w:tcW w:w="458" w:type="pct"/>
            <w:tcBorders>
              <w:top w:val="nil"/>
              <w:left w:val="nil"/>
              <w:bottom w:val="single" w:sz="8" w:space="0" w:color="auto"/>
              <w:right w:val="single" w:sz="8" w:space="0" w:color="auto"/>
            </w:tcBorders>
            <w:shd w:val="clear" w:color="auto" w:fill="auto"/>
            <w:vAlign w:val="center"/>
            <w:hideMark/>
          </w:tcPr>
          <w:p w14:paraId="694D92A8" w14:textId="39FEA1EE"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Drafting of the Long-Term </w:t>
            </w:r>
            <w:proofErr w:type="spellStart"/>
            <w:r>
              <w:rPr>
                <w:rFonts w:ascii="Times New Roman" w:hAnsi="Times New Roman"/>
                <w:sz w:val="18"/>
              </w:rPr>
              <w:t>Decarbonisation</w:t>
            </w:r>
            <w:proofErr w:type="spellEnd"/>
            <w:r>
              <w:rPr>
                <w:rFonts w:ascii="Times New Roman" w:hAnsi="Times New Roman"/>
                <w:sz w:val="18"/>
              </w:rPr>
              <w:t xml:space="preserve"> Strategy</w:t>
            </w:r>
          </w:p>
        </w:tc>
        <w:tc>
          <w:tcPr>
            <w:tcW w:w="229" w:type="pct"/>
            <w:tcBorders>
              <w:top w:val="nil"/>
              <w:left w:val="nil"/>
              <w:bottom w:val="single" w:sz="8" w:space="0" w:color="auto"/>
              <w:right w:val="single" w:sz="8" w:space="0" w:color="auto"/>
            </w:tcBorders>
            <w:shd w:val="clear" w:color="auto" w:fill="auto"/>
            <w:vAlign w:val="center"/>
            <w:hideMark/>
          </w:tcPr>
          <w:p w14:paraId="6000257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76" w:type="pct"/>
            <w:tcBorders>
              <w:top w:val="nil"/>
              <w:left w:val="nil"/>
              <w:bottom w:val="single" w:sz="8" w:space="0" w:color="auto"/>
              <w:right w:val="single" w:sz="8" w:space="0" w:color="auto"/>
            </w:tcBorders>
            <w:shd w:val="clear" w:color="auto" w:fill="auto"/>
            <w:vAlign w:val="center"/>
            <w:hideMark/>
          </w:tcPr>
          <w:p w14:paraId="00AA892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6" w:type="pct"/>
            <w:tcBorders>
              <w:top w:val="nil"/>
              <w:left w:val="nil"/>
              <w:bottom w:val="single" w:sz="8" w:space="0" w:color="auto"/>
              <w:right w:val="single" w:sz="8" w:space="0" w:color="auto"/>
            </w:tcBorders>
            <w:shd w:val="clear" w:color="auto" w:fill="auto"/>
            <w:vAlign w:val="center"/>
            <w:hideMark/>
          </w:tcPr>
          <w:p w14:paraId="295B2EE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37,228.13 </w:t>
            </w:r>
          </w:p>
        </w:tc>
        <w:tc>
          <w:tcPr>
            <w:tcW w:w="402" w:type="pct"/>
            <w:tcBorders>
              <w:top w:val="nil"/>
              <w:left w:val="nil"/>
              <w:bottom w:val="single" w:sz="8" w:space="0" w:color="auto"/>
              <w:right w:val="single" w:sz="8" w:space="0" w:color="auto"/>
            </w:tcBorders>
            <w:shd w:val="clear" w:color="auto" w:fill="auto"/>
            <w:vAlign w:val="center"/>
            <w:hideMark/>
          </w:tcPr>
          <w:p w14:paraId="2A22EFB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32,228.13 </w:t>
            </w:r>
          </w:p>
        </w:tc>
        <w:tc>
          <w:tcPr>
            <w:tcW w:w="405" w:type="pct"/>
            <w:tcBorders>
              <w:top w:val="nil"/>
              <w:left w:val="nil"/>
              <w:bottom w:val="single" w:sz="8" w:space="0" w:color="auto"/>
              <w:right w:val="single" w:sz="8" w:space="0" w:color="auto"/>
            </w:tcBorders>
            <w:shd w:val="clear" w:color="auto" w:fill="auto"/>
            <w:vAlign w:val="center"/>
            <w:hideMark/>
          </w:tcPr>
          <w:p w14:paraId="195333B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single" w:sz="8" w:space="0" w:color="auto"/>
              <w:right w:val="single" w:sz="8" w:space="0" w:color="auto"/>
            </w:tcBorders>
            <w:shd w:val="clear" w:color="auto" w:fill="auto"/>
            <w:vAlign w:val="center"/>
            <w:hideMark/>
          </w:tcPr>
          <w:p w14:paraId="27F472E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441" w:type="pct"/>
            <w:tcBorders>
              <w:top w:val="nil"/>
              <w:left w:val="nil"/>
              <w:bottom w:val="single" w:sz="8" w:space="0" w:color="auto"/>
              <w:right w:val="single" w:sz="8" w:space="0" w:color="auto"/>
            </w:tcBorders>
            <w:shd w:val="clear" w:color="auto" w:fill="auto"/>
            <w:vAlign w:val="center"/>
            <w:hideMark/>
          </w:tcPr>
          <w:p w14:paraId="67E7C6B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MESPI</w:t>
            </w:r>
          </w:p>
        </w:tc>
        <w:tc>
          <w:tcPr>
            <w:tcW w:w="367" w:type="pct"/>
            <w:tcBorders>
              <w:top w:val="nil"/>
              <w:left w:val="nil"/>
              <w:bottom w:val="single" w:sz="8" w:space="0" w:color="auto"/>
              <w:right w:val="single" w:sz="8" w:space="0" w:color="auto"/>
            </w:tcBorders>
            <w:shd w:val="clear" w:color="auto" w:fill="auto"/>
            <w:vAlign w:val="center"/>
            <w:hideMark/>
          </w:tcPr>
          <w:p w14:paraId="41BF39AD"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Strategy drafted and adopted </w:t>
            </w:r>
          </w:p>
        </w:tc>
        <w:tc>
          <w:tcPr>
            <w:tcW w:w="392" w:type="pct"/>
            <w:tcBorders>
              <w:top w:val="nil"/>
              <w:left w:val="nil"/>
              <w:bottom w:val="single" w:sz="8" w:space="0" w:color="auto"/>
              <w:right w:val="single" w:sz="8" w:space="0" w:color="auto"/>
            </w:tcBorders>
            <w:shd w:val="clear" w:color="auto" w:fill="auto"/>
            <w:vAlign w:val="center"/>
            <w:hideMark/>
          </w:tcPr>
          <w:p w14:paraId="60148640" w14:textId="1F74EF18"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Draft Law on Climate Change</w:t>
            </w:r>
          </w:p>
        </w:tc>
        <w:tc>
          <w:tcPr>
            <w:tcW w:w="922" w:type="pct"/>
            <w:tcBorders>
              <w:top w:val="nil"/>
              <w:left w:val="nil"/>
              <w:bottom w:val="single" w:sz="8" w:space="0" w:color="auto"/>
              <w:right w:val="single" w:sz="8" w:space="0" w:color="auto"/>
            </w:tcBorders>
            <w:shd w:val="clear" w:color="000000" w:fill="FFFFFF"/>
            <w:noWrap/>
            <w:vAlign w:val="bottom"/>
            <w:hideMark/>
          </w:tcPr>
          <w:p w14:paraId="0E6F2E61" w14:textId="7CF3BA82" w:rsidR="00571EAF" w:rsidRPr="0086165A" w:rsidRDefault="00F457BF" w:rsidP="00571EAF">
            <w:pPr>
              <w:spacing w:after="0" w:line="240" w:lineRule="auto"/>
              <w:rPr>
                <w:rFonts w:ascii="Times New Roman" w:eastAsia="Times New Roman" w:hAnsi="Times New Roman" w:cs="Times New Roman"/>
              </w:rPr>
            </w:pPr>
            <w:r>
              <w:rPr>
                <w:rFonts w:ascii="Times New Roman" w:hAnsi="Times New Roman"/>
                <w:sz w:val="18"/>
              </w:rPr>
              <w:t>No progress</w:t>
            </w:r>
          </w:p>
        </w:tc>
      </w:tr>
      <w:tr w:rsidR="005D6B3A" w:rsidRPr="0086165A" w14:paraId="76E12326" w14:textId="77777777" w:rsidTr="002E72A1">
        <w:trPr>
          <w:trHeight w:val="1065"/>
        </w:trPr>
        <w:tc>
          <w:tcPr>
            <w:tcW w:w="232" w:type="pct"/>
            <w:tcBorders>
              <w:top w:val="nil"/>
              <w:left w:val="single" w:sz="8" w:space="0" w:color="auto"/>
              <w:bottom w:val="single" w:sz="8" w:space="0" w:color="auto"/>
              <w:right w:val="single" w:sz="8" w:space="0" w:color="auto"/>
            </w:tcBorders>
            <w:shd w:val="clear" w:color="000000" w:fill="FFFFFF"/>
            <w:vAlign w:val="center"/>
            <w:hideMark/>
          </w:tcPr>
          <w:p w14:paraId="3A4D52A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II.1.2</w:t>
            </w:r>
          </w:p>
        </w:tc>
        <w:tc>
          <w:tcPr>
            <w:tcW w:w="458" w:type="pct"/>
            <w:tcBorders>
              <w:top w:val="nil"/>
              <w:left w:val="nil"/>
              <w:bottom w:val="single" w:sz="8" w:space="0" w:color="auto"/>
              <w:right w:val="single" w:sz="8" w:space="0" w:color="auto"/>
            </w:tcBorders>
            <w:shd w:val="clear" w:color="000000" w:fill="FFFFFF"/>
            <w:vAlign w:val="center"/>
            <w:hideMark/>
          </w:tcPr>
          <w:p w14:paraId="4367B86A"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Transposition and implementation of regulations MRR (EU) 2018/2066, AVR (EU) 2018/2067, and AR (EC) and 765/2008</w:t>
            </w:r>
          </w:p>
        </w:tc>
        <w:tc>
          <w:tcPr>
            <w:tcW w:w="229" w:type="pct"/>
            <w:tcBorders>
              <w:top w:val="nil"/>
              <w:left w:val="nil"/>
              <w:bottom w:val="single" w:sz="8" w:space="0" w:color="auto"/>
              <w:right w:val="single" w:sz="8" w:space="0" w:color="auto"/>
            </w:tcBorders>
            <w:shd w:val="clear" w:color="000000" w:fill="FFFFFF"/>
            <w:vAlign w:val="center"/>
            <w:hideMark/>
          </w:tcPr>
          <w:p w14:paraId="7D1A90B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76" w:type="pct"/>
            <w:tcBorders>
              <w:top w:val="nil"/>
              <w:left w:val="nil"/>
              <w:bottom w:val="single" w:sz="8" w:space="0" w:color="auto"/>
              <w:right w:val="single" w:sz="8" w:space="0" w:color="auto"/>
            </w:tcBorders>
            <w:shd w:val="clear" w:color="000000" w:fill="FFFFFF"/>
            <w:vAlign w:val="center"/>
            <w:hideMark/>
          </w:tcPr>
          <w:p w14:paraId="7F2FF23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6" w:type="pct"/>
            <w:tcBorders>
              <w:top w:val="nil"/>
              <w:left w:val="nil"/>
              <w:bottom w:val="single" w:sz="8" w:space="0" w:color="auto"/>
              <w:right w:val="single" w:sz="8" w:space="0" w:color="auto"/>
            </w:tcBorders>
            <w:shd w:val="clear" w:color="000000" w:fill="FFFFFF"/>
            <w:vAlign w:val="center"/>
            <w:hideMark/>
          </w:tcPr>
          <w:p w14:paraId="6D6BE12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2" w:type="pct"/>
            <w:tcBorders>
              <w:top w:val="nil"/>
              <w:left w:val="nil"/>
              <w:bottom w:val="single" w:sz="8" w:space="0" w:color="auto"/>
              <w:right w:val="single" w:sz="8" w:space="0" w:color="auto"/>
            </w:tcBorders>
            <w:shd w:val="clear" w:color="000000" w:fill="FFFFFF"/>
            <w:vAlign w:val="center"/>
            <w:hideMark/>
          </w:tcPr>
          <w:p w14:paraId="5EA95F6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26,296.00 </w:t>
            </w:r>
          </w:p>
        </w:tc>
        <w:tc>
          <w:tcPr>
            <w:tcW w:w="405" w:type="pct"/>
            <w:tcBorders>
              <w:top w:val="nil"/>
              <w:left w:val="nil"/>
              <w:bottom w:val="single" w:sz="8" w:space="0" w:color="auto"/>
              <w:right w:val="single" w:sz="8" w:space="0" w:color="auto"/>
            </w:tcBorders>
            <w:shd w:val="clear" w:color="000000" w:fill="FFFFFF"/>
            <w:vAlign w:val="center"/>
            <w:hideMark/>
          </w:tcPr>
          <w:p w14:paraId="22BE8C6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26,296.00 </w:t>
            </w:r>
          </w:p>
        </w:tc>
        <w:tc>
          <w:tcPr>
            <w:tcW w:w="398" w:type="pct"/>
            <w:tcBorders>
              <w:top w:val="nil"/>
              <w:left w:val="nil"/>
              <w:bottom w:val="single" w:sz="8" w:space="0" w:color="auto"/>
              <w:right w:val="single" w:sz="8" w:space="0" w:color="auto"/>
            </w:tcBorders>
            <w:shd w:val="clear" w:color="000000" w:fill="FFFFFF"/>
            <w:vAlign w:val="center"/>
            <w:hideMark/>
          </w:tcPr>
          <w:p w14:paraId="031C061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441" w:type="pct"/>
            <w:tcBorders>
              <w:top w:val="nil"/>
              <w:left w:val="nil"/>
              <w:bottom w:val="single" w:sz="8" w:space="0" w:color="auto"/>
              <w:right w:val="single" w:sz="8" w:space="0" w:color="auto"/>
            </w:tcBorders>
            <w:shd w:val="clear" w:color="000000" w:fill="FFFFFF"/>
            <w:vAlign w:val="center"/>
            <w:hideMark/>
          </w:tcPr>
          <w:p w14:paraId="6521365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MESPI</w:t>
            </w:r>
          </w:p>
        </w:tc>
        <w:tc>
          <w:tcPr>
            <w:tcW w:w="367" w:type="pct"/>
            <w:tcBorders>
              <w:top w:val="nil"/>
              <w:left w:val="nil"/>
              <w:bottom w:val="single" w:sz="8" w:space="0" w:color="auto"/>
              <w:right w:val="single" w:sz="8" w:space="0" w:color="auto"/>
            </w:tcBorders>
            <w:shd w:val="clear" w:color="000000" w:fill="FFFFFF"/>
            <w:vAlign w:val="center"/>
            <w:hideMark/>
          </w:tcPr>
          <w:p w14:paraId="462F10C9"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Transposed regulation concerning monitoring, reporting and verification</w:t>
            </w:r>
          </w:p>
        </w:tc>
        <w:tc>
          <w:tcPr>
            <w:tcW w:w="392" w:type="pct"/>
            <w:tcBorders>
              <w:top w:val="nil"/>
              <w:left w:val="nil"/>
              <w:bottom w:val="single" w:sz="8" w:space="0" w:color="auto"/>
              <w:right w:val="single" w:sz="8" w:space="0" w:color="auto"/>
            </w:tcBorders>
            <w:shd w:val="clear" w:color="000000" w:fill="FFFFFF"/>
            <w:vAlign w:val="center"/>
            <w:hideMark/>
          </w:tcPr>
          <w:p w14:paraId="16A3C3B1" w14:textId="64051EBE"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Draft Law on Climate Change</w:t>
            </w:r>
          </w:p>
        </w:tc>
        <w:tc>
          <w:tcPr>
            <w:tcW w:w="922" w:type="pct"/>
            <w:tcBorders>
              <w:top w:val="nil"/>
              <w:left w:val="nil"/>
              <w:bottom w:val="single" w:sz="8" w:space="0" w:color="auto"/>
              <w:right w:val="single" w:sz="8" w:space="0" w:color="auto"/>
            </w:tcBorders>
            <w:shd w:val="clear" w:color="000000" w:fill="FFFFFF"/>
            <w:noWrap/>
            <w:vAlign w:val="bottom"/>
            <w:hideMark/>
          </w:tcPr>
          <w:p w14:paraId="23971A85" w14:textId="2D470770" w:rsidR="00571EAF" w:rsidRPr="0086165A" w:rsidRDefault="00F457BF" w:rsidP="00571EAF">
            <w:pPr>
              <w:spacing w:after="0" w:line="240" w:lineRule="auto"/>
              <w:rPr>
                <w:rFonts w:ascii="Times New Roman" w:eastAsia="Times New Roman" w:hAnsi="Times New Roman" w:cs="Times New Roman"/>
              </w:rPr>
            </w:pPr>
            <w:r>
              <w:rPr>
                <w:rFonts w:ascii="Times New Roman" w:hAnsi="Times New Roman"/>
              </w:rPr>
              <w:t>No progress</w:t>
            </w:r>
          </w:p>
        </w:tc>
      </w:tr>
      <w:tr w:rsidR="005D6B3A" w:rsidRPr="0086165A" w14:paraId="7F1734B3" w14:textId="77777777" w:rsidTr="002E72A1">
        <w:trPr>
          <w:trHeight w:val="1215"/>
        </w:trPr>
        <w:tc>
          <w:tcPr>
            <w:tcW w:w="232" w:type="pct"/>
            <w:tcBorders>
              <w:top w:val="nil"/>
              <w:left w:val="single" w:sz="8" w:space="0" w:color="auto"/>
              <w:bottom w:val="single" w:sz="8" w:space="0" w:color="auto"/>
              <w:right w:val="single" w:sz="8" w:space="0" w:color="auto"/>
            </w:tcBorders>
            <w:shd w:val="clear" w:color="000000" w:fill="FFFFFF"/>
            <w:vAlign w:val="center"/>
            <w:hideMark/>
          </w:tcPr>
          <w:p w14:paraId="360E69E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II.1.3</w:t>
            </w:r>
          </w:p>
        </w:tc>
        <w:tc>
          <w:tcPr>
            <w:tcW w:w="458" w:type="pct"/>
            <w:tcBorders>
              <w:top w:val="nil"/>
              <w:left w:val="nil"/>
              <w:bottom w:val="single" w:sz="8" w:space="0" w:color="auto"/>
              <w:right w:val="single" w:sz="8" w:space="0" w:color="auto"/>
            </w:tcBorders>
            <w:shd w:val="clear" w:color="000000" w:fill="FFFFFF"/>
            <w:vAlign w:val="center"/>
            <w:hideMark/>
          </w:tcPr>
          <w:p w14:paraId="6201C1EB"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The establishment of supportive infrastructure and governance system</w:t>
            </w:r>
          </w:p>
        </w:tc>
        <w:tc>
          <w:tcPr>
            <w:tcW w:w="229" w:type="pct"/>
            <w:tcBorders>
              <w:top w:val="nil"/>
              <w:left w:val="nil"/>
              <w:bottom w:val="single" w:sz="8" w:space="0" w:color="auto"/>
              <w:right w:val="single" w:sz="8" w:space="0" w:color="auto"/>
            </w:tcBorders>
            <w:shd w:val="clear" w:color="000000" w:fill="FFFFFF"/>
            <w:vAlign w:val="center"/>
            <w:hideMark/>
          </w:tcPr>
          <w:p w14:paraId="7879500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76" w:type="pct"/>
            <w:tcBorders>
              <w:top w:val="nil"/>
              <w:left w:val="nil"/>
              <w:bottom w:val="single" w:sz="8" w:space="0" w:color="auto"/>
              <w:right w:val="single" w:sz="8" w:space="0" w:color="auto"/>
            </w:tcBorders>
            <w:shd w:val="clear" w:color="000000" w:fill="FFFFFF"/>
            <w:vAlign w:val="center"/>
            <w:hideMark/>
          </w:tcPr>
          <w:p w14:paraId="60FF04F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6" w:type="pct"/>
            <w:tcBorders>
              <w:top w:val="nil"/>
              <w:left w:val="nil"/>
              <w:bottom w:val="single" w:sz="8" w:space="0" w:color="auto"/>
              <w:right w:val="single" w:sz="8" w:space="0" w:color="auto"/>
            </w:tcBorders>
            <w:shd w:val="clear" w:color="000000" w:fill="FFFFFF"/>
            <w:vAlign w:val="center"/>
            <w:hideMark/>
          </w:tcPr>
          <w:p w14:paraId="326E400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2" w:type="pct"/>
            <w:tcBorders>
              <w:top w:val="nil"/>
              <w:left w:val="nil"/>
              <w:bottom w:val="single" w:sz="8" w:space="0" w:color="auto"/>
              <w:right w:val="single" w:sz="8" w:space="0" w:color="auto"/>
            </w:tcBorders>
            <w:shd w:val="clear" w:color="000000" w:fill="FFFFFF"/>
            <w:vAlign w:val="center"/>
            <w:hideMark/>
          </w:tcPr>
          <w:p w14:paraId="4A9B7DF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13,000.00 </w:t>
            </w:r>
          </w:p>
        </w:tc>
        <w:tc>
          <w:tcPr>
            <w:tcW w:w="405" w:type="pct"/>
            <w:tcBorders>
              <w:top w:val="nil"/>
              <w:left w:val="nil"/>
              <w:bottom w:val="single" w:sz="8" w:space="0" w:color="auto"/>
              <w:right w:val="single" w:sz="8" w:space="0" w:color="auto"/>
            </w:tcBorders>
            <w:shd w:val="clear" w:color="000000" w:fill="FFFFFF"/>
            <w:vAlign w:val="center"/>
            <w:hideMark/>
          </w:tcPr>
          <w:p w14:paraId="4A3C981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13,000.00 </w:t>
            </w:r>
          </w:p>
        </w:tc>
        <w:tc>
          <w:tcPr>
            <w:tcW w:w="398" w:type="pct"/>
            <w:tcBorders>
              <w:top w:val="nil"/>
              <w:left w:val="nil"/>
              <w:bottom w:val="single" w:sz="8" w:space="0" w:color="auto"/>
              <w:right w:val="single" w:sz="8" w:space="0" w:color="auto"/>
            </w:tcBorders>
            <w:shd w:val="clear" w:color="000000" w:fill="FFFFFF"/>
            <w:vAlign w:val="center"/>
            <w:hideMark/>
          </w:tcPr>
          <w:p w14:paraId="11A3940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441" w:type="pct"/>
            <w:tcBorders>
              <w:top w:val="nil"/>
              <w:left w:val="nil"/>
              <w:bottom w:val="single" w:sz="8" w:space="0" w:color="auto"/>
              <w:right w:val="single" w:sz="8" w:space="0" w:color="auto"/>
            </w:tcBorders>
            <w:shd w:val="clear" w:color="000000" w:fill="FFFFFF"/>
            <w:vAlign w:val="center"/>
            <w:hideMark/>
          </w:tcPr>
          <w:p w14:paraId="4B71C88C" w14:textId="7896F69F" w:rsidR="00571EAF" w:rsidRPr="0086165A" w:rsidRDefault="00480FC8"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ME, MESPI </w:t>
            </w:r>
          </w:p>
        </w:tc>
        <w:tc>
          <w:tcPr>
            <w:tcW w:w="367" w:type="pct"/>
            <w:tcBorders>
              <w:top w:val="nil"/>
              <w:left w:val="nil"/>
              <w:bottom w:val="single" w:sz="8" w:space="0" w:color="auto"/>
              <w:right w:val="single" w:sz="8" w:space="0" w:color="auto"/>
            </w:tcBorders>
            <w:shd w:val="clear" w:color="000000" w:fill="FFFFFF"/>
            <w:hideMark/>
          </w:tcPr>
          <w:p w14:paraId="6727890F"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Functioning of the governance system for monitoring, reporting and verification of carbon emissions</w:t>
            </w:r>
          </w:p>
        </w:tc>
        <w:tc>
          <w:tcPr>
            <w:tcW w:w="392" w:type="pct"/>
            <w:tcBorders>
              <w:top w:val="nil"/>
              <w:left w:val="nil"/>
              <w:bottom w:val="single" w:sz="8" w:space="0" w:color="auto"/>
              <w:right w:val="single" w:sz="8" w:space="0" w:color="auto"/>
            </w:tcBorders>
            <w:shd w:val="clear" w:color="000000" w:fill="FFFFFF"/>
            <w:vAlign w:val="center"/>
            <w:hideMark/>
          </w:tcPr>
          <w:p w14:paraId="72C1FB5C" w14:textId="3379539D" w:rsidR="00571EAF" w:rsidRPr="0086165A" w:rsidRDefault="00571EAF" w:rsidP="00571EAF">
            <w:pPr>
              <w:spacing w:after="0" w:line="240" w:lineRule="auto"/>
              <w:jc w:val="center"/>
              <w:rPr>
                <w:rFonts w:ascii="Times New Roman" w:eastAsia="Times New Roman" w:hAnsi="Times New Roman" w:cs="Times New Roman"/>
                <w:color w:val="FF0000"/>
                <w:sz w:val="18"/>
                <w:szCs w:val="18"/>
              </w:rPr>
            </w:pPr>
            <w:r>
              <w:rPr>
                <w:rFonts w:ascii="Times New Roman" w:hAnsi="Times New Roman"/>
                <w:sz w:val="18"/>
              </w:rPr>
              <w:t>Draft Law on Climate Change</w:t>
            </w:r>
          </w:p>
        </w:tc>
        <w:tc>
          <w:tcPr>
            <w:tcW w:w="922" w:type="pct"/>
            <w:tcBorders>
              <w:top w:val="nil"/>
              <w:left w:val="nil"/>
              <w:bottom w:val="single" w:sz="8" w:space="0" w:color="auto"/>
              <w:right w:val="single" w:sz="8" w:space="0" w:color="auto"/>
            </w:tcBorders>
            <w:shd w:val="clear" w:color="000000" w:fill="FFFFFF"/>
            <w:noWrap/>
            <w:vAlign w:val="bottom"/>
            <w:hideMark/>
          </w:tcPr>
          <w:p w14:paraId="16D4DC61" w14:textId="18F5110E" w:rsidR="00571EAF" w:rsidRPr="00BC270C" w:rsidRDefault="00F457BF" w:rsidP="00571EAF">
            <w:pPr>
              <w:spacing w:after="0" w:line="240" w:lineRule="auto"/>
              <w:rPr>
                <w:rFonts w:ascii="Times New Roman" w:eastAsia="Times New Roman" w:hAnsi="Times New Roman" w:cs="Times New Roman"/>
                <w:sz w:val="18"/>
                <w:szCs w:val="18"/>
              </w:rPr>
            </w:pPr>
            <w:r>
              <w:rPr>
                <w:rFonts w:ascii="Times New Roman" w:hAnsi="Times New Roman"/>
                <w:sz w:val="18"/>
              </w:rPr>
              <w:t>No progress</w:t>
            </w:r>
          </w:p>
        </w:tc>
      </w:tr>
      <w:tr w:rsidR="005D6B3A" w:rsidRPr="0086165A" w14:paraId="2D2DD1F1" w14:textId="77777777" w:rsidTr="002E72A1">
        <w:trPr>
          <w:trHeight w:val="495"/>
        </w:trPr>
        <w:tc>
          <w:tcPr>
            <w:tcW w:w="232" w:type="pct"/>
            <w:tcBorders>
              <w:top w:val="nil"/>
              <w:left w:val="single" w:sz="8" w:space="0" w:color="auto"/>
              <w:bottom w:val="single" w:sz="8" w:space="0" w:color="auto"/>
              <w:right w:val="single" w:sz="8" w:space="0" w:color="auto"/>
            </w:tcBorders>
            <w:shd w:val="clear" w:color="000000" w:fill="FFFFFF"/>
            <w:vAlign w:val="center"/>
            <w:hideMark/>
          </w:tcPr>
          <w:p w14:paraId="384DB17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II.1.4</w:t>
            </w:r>
          </w:p>
        </w:tc>
        <w:tc>
          <w:tcPr>
            <w:tcW w:w="458" w:type="pct"/>
            <w:tcBorders>
              <w:top w:val="nil"/>
              <w:left w:val="nil"/>
              <w:bottom w:val="single" w:sz="8" w:space="0" w:color="auto"/>
              <w:right w:val="single" w:sz="8" w:space="0" w:color="auto"/>
            </w:tcBorders>
            <w:shd w:val="clear" w:color="000000" w:fill="FFFFFF"/>
            <w:vAlign w:val="center"/>
            <w:hideMark/>
          </w:tcPr>
          <w:p w14:paraId="179DCE37" w14:textId="77777777" w:rsidR="00571EAF" w:rsidRPr="00D94C33"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Carbon pricing impact study </w:t>
            </w:r>
          </w:p>
        </w:tc>
        <w:tc>
          <w:tcPr>
            <w:tcW w:w="229" w:type="pct"/>
            <w:tcBorders>
              <w:top w:val="nil"/>
              <w:left w:val="nil"/>
              <w:bottom w:val="single" w:sz="8" w:space="0" w:color="auto"/>
              <w:right w:val="single" w:sz="8" w:space="0" w:color="auto"/>
            </w:tcBorders>
            <w:shd w:val="clear" w:color="000000" w:fill="FFFFFF"/>
            <w:vAlign w:val="center"/>
            <w:hideMark/>
          </w:tcPr>
          <w:p w14:paraId="1BFCDF5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2024-2025</w:t>
            </w:r>
          </w:p>
        </w:tc>
        <w:tc>
          <w:tcPr>
            <w:tcW w:w="376" w:type="pct"/>
            <w:tcBorders>
              <w:top w:val="nil"/>
              <w:left w:val="nil"/>
              <w:bottom w:val="single" w:sz="8" w:space="0" w:color="auto"/>
              <w:right w:val="single" w:sz="8" w:space="0" w:color="auto"/>
            </w:tcBorders>
            <w:shd w:val="clear" w:color="000000" w:fill="FFFFFF"/>
            <w:vAlign w:val="center"/>
            <w:hideMark/>
          </w:tcPr>
          <w:p w14:paraId="4F119BEC"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   </w:t>
            </w:r>
          </w:p>
        </w:tc>
        <w:tc>
          <w:tcPr>
            <w:tcW w:w="376" w:type="pct"/>
            <w:tcBorders>
              <w:top w:val="nil"/>
              <w:left w:val="nil"/>
              <w:bottom w:val="single" w:sz="8" w:space="0" w:color="auto"/>
              <w:right w:val="single" w:sz="8" w:space="0" w:color="auto"/>
            </w:tcBorders>
            <w:shd w:val="clear" w:color="000000" w:fill="FFFFFF"/>
            <w:vAlign w:val="center"/>
            <w:hideMark/>
          </w:tcPr>
          <w:p w14:paraId="71977BD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2" w:type="pct"/>
            <w:tcBorders>
              <w:top w:val="nil"/>
              <w:left w:val="nil"/>
              <w:bottom w:val="single" w:sz="8" w:space="0" w:color="auto"/>
              <w:right w:val="single" w:sz="8" w:space="0" w:color="auto"/>
            </w:tcBorders>
            <w:shd w:val="clear" w:color="000000" w:fill="FFFFFF"/>
            <w:vAlign w:val="center"/>
            <w:hideMark/>
          </w:tcPr>
          <w:p w14:paraId="5B77799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405" w:type="pct"/>
            <w:tcBorders>
              <w:top w:val="nil"/>
              <w:left w:val="nil"/>
              <w:bottom w:val="single" w:sz="8" w:space="0" w:color="auto"/>
              <w:right w:val="single" w:sz="8" w:space="0" w:color="auto"/>
            </w:tcBorders>
            <w:shd w:val="clear" w:color="000000" w:fill="FFFFFF"/>
            <w:vAlign w:val="center"/>
            <w:hideMark/>
          </w:tcPr>
          <w:p w14:paraId="117F970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600,000.00 </w:t>
            </w:r>
          </w:p>
        </w:tc>
        <w:tc>
          <w:tcPr>
            <w:tcW w:w="398" w:type="pct"/>
            <w:tcBorders>
              <w:top w:val="nil"/>
              <w:left w:val="nil"/>
              <w:bottom w:val="single" w:sz="8" w:space="0" w:color="auto"/>
              <w:right w:val="single" w:sz="8" w:space="0" w:color="auto"/>
            </w:tcBorders>
            <w:shd w:val="clear" w:color="000000" w:fill="FFFFFF"/>
            <w:vAlign w:val="center"/>
            <w:hideMark/>
          </w:tcPr>
          <w:p w14:paraId="66D0C75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IMF</w:t>
            </w:r>
          </w:p>
        </w:tc>
        <w:tc>
          <w:tcPr>
            <w:tcW w:w="441" w:type="pct"/>
            <w:tcBorders>
              <w:top w:val="nil"/>
              <w:left w:val="nil"/>
              <w:bottom w:val="single" w:sz="8" w:space="0" w:color="auto"/>
              <w:right w:val="single" w:sz="8" w:space="0" w:color="auto"/>
            </w:tcBorders>
            <w:shd w:val="clear" w:color="000000" w:fill="FFFFFF"/>
            <w:vAlign w:val="center"/>
            <w:hideMark/>
          </w:tcPr>
          <w:p w14:paraId="727C6DD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MESPI</w:t>
            </w:r>
          </w:p>
        </w:tc>
        <w:tc>
          <w:tcPr>
            <w:tcW w:w="367" w:type="pct"/>
            <w:tcBorders>
              <w:top w:val="nil"/>
              <w:left w:val="nil"/>
              <w:bottom w:val="single" w:sz="8" w:space="0" w:color="auto"/>
              <w:right w:val="single" w:sz="8" w:space="0" w:color="auto"/>
            </w:tcBorders>
            <w:shd w:val="clear" w:color="000000" w:fill="FFFFFF"/>
            <w:vAlign w:val="center"/>
            <w:hideMark/>
          </w:tcPr>
          <w:p w14:paraId="2A8E6FA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Study completed</w:t>
            </w:r>
          </w:p>
        </w:tc>
        <w:tc>
          <w:tcPr>
            <w:tcW w:w="392" w:type="pct"/>
            <w:tcBorders>
              <w:top w:val="nil"/>
              <w:left w:val="nil"/>
              <w:bottom w:val="single" w:sz="8" w:space="0" w:color="auto"/>
              <w:right w:val="single" w:sz="8" w:space="0" w:color="auto"/>
            </w:tcBorders>
            <w:shd w:val="clear" w:color="000000" w:fill="FFFFFF"/>
            <w:vAlign w:val="center"/>
            <w:hideMark/>
          </w:tcPr>
          <w:p w14:paraId="355F1DE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922" w:type="pct"/>
            <w:tcBorders>
              <w:top w:val="nil"/>
              <w:left w:val="nil"/>
              <w:bottom w:val="single" w:sz="8" w:space="0" w:color="auto"/>
              <w:right w:val="single" w:sz="8" w:space="0" w:color="auto"/>
            </w:tcBorders>
            <w:shd w:val="clear" w:color="000000" w:fill="FFFFFF"/>
            <w:noWrap/>
            <w:vAlign w:val="bottom"/>
            <w:hideMark/>
          </w:tcPr>
          <w:p w14:paraId="1D0A3F5F" w14:textId="77777777" w:rsidR="00571EAF" w:rsidRPr="0086165A" w:rsidRDefault="00B36062" w:rsidP="00571EAF">
            <w:pPr>
              <w:spacing w:after="0" w:line="240" w:lineRule="auto"/>
              <w:rPr>
                <w:rFonts w:ascii="Times New Roman" w:eastAsia="Times New Roman" w:hAnsi="Times New Roman" w:cs="Times New Roman"/>
              </w:rPr>
            </w:pPr>
            <w:r>
              <w:rPr>
                <w:rFonts w:ascii="Times New Roman" w:hAnsi="Times New Roman"/>
              </w:rPr>
              <w:t>Completed.</w:t>
            </w:r>
          </w:p>
        </w:tc>
      </w:tr>
      <w:tr w:rsidR="00571EAF" w:rsidRPr="0086165A" w14:paraId="2BF5933C" w14:textId="77777777" w:rsidTr="002E72A1">
        <w:trPr>
          <w:trHeight w:val="315"/>
        </w:trPr>
        <w:tc>
          <w:tcPr>
            <w:tcW w:w="232" w:type="pct"/>
            <w:tcBorders>
              <w:top w:val="nil"/>
              <w:left w:val="single" w:sz="8" w:space="0" w:color="auto"/>
              <w:bottom w:val="single" w:sz="8" w:space="0" w:color="auto"/>
              <w:right w:val="single" w:sz="8" w:space="0" w:color="auto"/>
            </w:tcBorders>
            <w:shd w:val="clear" w:color="000000" w:fill="D9D9D9"/>
            <w:vAlign w:val="center"/>
            <w:hideMark/>
          </w:tcPr>
          <w:p w14:paraId="51DBC764"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II.2</w:t>
            </w:r>
          </w:p>
        </w:tc>
        <w:tc>
          <w:tcPr>
            <w:tcW w:w="3846" w:type="pct"/>
            <w:gridSpan w:val="10"/>
            <w:tcBorders>
              <w:top w:val="single" w:sz="8" w:space="0" w:color="auto"/>
              <w:left w:val="nil"/>
              <w:bottom w:val="single" w:sz="8" w:space="0" w:color="auto"/>
              <w:right w:val="single" w:sz="8" w:space="0" w:color="000000"/>
            </w:tcBorders>
            <w:shd w:val="clear" w:color="000000" w:fill="D9D9D9"/>
            <w:vAlign w:val="center"/>
            <w:hideMark/>
          </w:tcPr>
          <w:p w14:paraId="777D340C"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Promotion of renewable energy in the electricity consumption</w:t>
            </w:r>
          </w:p>
        </w:tc>
        <w:tc>
          <w:tcPr>
            <w:tcW w:w="922" w:type="pct"/>
            <w:tcBorders>
              <w:top w:val="nil"/>
              <w:left w:val="nil"/>
              <w:bottom w:val="nil"/>
              <w:right w:val="nil"/>
            </w:tcBorders>
            <w:shd w:val="clear" w:color="auto" w:fill="auto"/>
            <w:noWrap/>
            <w:vAlign w:val="bottom"/>
            <w:hideMark/>
          </w:tcPr>
          <w:p w14:paraId="19429FB5"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0532B1" w:rsidRPr="0086165A" w14:paraId="5B3F1F9E" w14:textId="77777777" w:rsidTr="002E72A1">
        <w:trPr>
          <w:trHeight w:val="735"/>
        </w:trPr>
        <w:tc>
          <w:tcPr>
            <w:tcW w:w="232" w:type="pct"/>
            <w:tcBorders>
              <w:top w:val="nil"/>
              <w:left w:val="single" w:sz="8" w:space="0" w:color="auto"/>
              <w:bottom w:val="single" w:sz="8" w:space="0" w:color="auto"/>
              <w:right w:val="single" w:sz="8" w:space="0" w:color="auto"/>
            </w:tcBorders>
            <w:shd w:val="clear" w:color="000000" w:fill="D0CECE"/>
            <w:vAlign w:val="center"/>
            <w:hideMark/>
          </w:tcPr>
          <w:p w14:paraId="071E2C4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458" w:type="pct"/>
            <w:tcBorders>
              <w:top w:val="nil"/>
              <w:left w:val="nil"/>
              <w:bottom w:val="single" w:sz="8" w:space="0" w:color="auto"/>
              <w:right w:val="single" w:sz="8" w:space="0" w:color="auto"/>
            </w:tcBorders>
            <w:shd w:val="clear" w:color="000000" w:fill="D0CECE"/>
            <w:vAlign w:val="center"/>
            <w:hideMark/>
          </w:tcPr>
          <w:p w14:paraId="2B95849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82" w:type="pct"/>
            <w:gridSpan w:val="3"/>
            <w:tcBorders>
              <w:top w:val="single" w:sz="8" w:space="0" w:color="auto"/>
              <w:left w:val="nil"/>
              <w:bottom w:val="single" w:sz="8" w:space="0" w:color="auto"/>
              <w:right w:val="nil"/>
            </w:tcBorders>
            <w:shd w:val="clear" w:color="000000" w:fill="D9D9D9"/>
            <w:vAlign w:val="center"/>
            <w:hideMark/>
          </w:tcPr>
          <w:p w14:paraId="220BBAA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808" w:type="pct"/>
            <w:gridSpan w:val="2"/>
            <w:tcBorders>
              <w:top w:val="single" w:sz="8" w:space="0" w:color="auto"/>
              <w:left w:val="single" w:sz="8" w:space="0" w:color="auto"/>
              <w:bottom w:val="single" w:sz="8" w:space="0" w:color="auto"/>
              <w:right w:val="nil"/>
            </w:tcBorders>
            <w:shd w:val="clear" w:color="000000" w:fill="D9D9D9"/>
            <w:vAlign w:val="center"/>
            <w:hideMark/>
          </w:tcPr>
          <w:p w14:paraId="37040B1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398" w:type="pct"/>
            <w:tcBorders>
              <w:top w:val="nil"/>
              <w:left w:val="single" w:sz="8" w:space="0" w:color="auto"/>
              <w:bottom w:val="single" w:sz="8" w:space="0" w:color="auto"/>
              <w:right w:val="single" w:sz="8" w:space="0" w:color="auto"/>
            </w:tcBorders>
            <w:shd w:val="clear" w:color="000000" w:fill="D9D9D9"/>
            <w:vAlign w:val="center"/>
            <w:hideMark/>
          </w:tcPr>
          <w:p w14:paraId="312AE95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201" w:type="pct"/>
            <w:gridSpan w:val="3"/>
            <w:tcBorders>
              <w:top w:val="single" w:sz="8" w:space="0" w:color="auto"/>
              <w:left w:val="nil"/>
              <w:bottom w:val="single" w:sz="8" w:space="0" w:color="auto"/>
              <w:right w:val="single" w:sz="8" w:space="0" w:color="000000"/>
            </w:tcBorders>
            <w:shd w:val="clear" w:color="000000" w:fill="D9D9D9"/>
            <w:vAlign w:val="center"/>
            <w:hideMark/>
          </w:tcPr>
          <w:p w14:paraId="56479DD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922" w:type="pct"/>
            <w:tcBorders>
              <w:top w:val="nil"/>
              <w:left w:val="nil"/>
              <w:bottom w:val="nil"/>
              <w:right w:val="nil"/>
            </w:tcBorders>
            <w:shd w:val="clear" w:color="auto" w:fill="auto"/>
            <w:noWrap/>
            <w:vAlign w:val="bottom"/>
            <w:hideMark/>
          </w:tcPr>
          <w:p w14:paraId="147EB05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0532B1" w:rsidRPr="0086165A" w14:paraId="1707D072" w14:textId="77777777" w:rsidTr="002E72A1">
        <w:trPr>
          <w:trHeight w:val="975"/>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1FACC47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58" w:type="pct"/>
            <w:tcBorders>
              <w:top w:val="nil"/>
              <w:left w:val="nil"/>
              <w:bottom w:val="single" w:sz="8" w:space="0" w:color="auto"/>
              <w:right w:val="single" w:sz="8" w:space="0" w:color="auto"/>
            </w:tcBorders>
            <w:shd w:val="clear" w:color="auto" w:fill="auto"/>
            <w:hideMark/>
          </w:tcPr>
          <w:p w14:paraId="41FA01CA"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Total renewable capacity in the electricity sector </w:t>
            </w:r>
            <w:r>
              <w:rPr>
                <w:rFonts w:ascii="Times New Roman" w:hAnsi="Times New Roman"/>
                <w:sz w:val="18"/>
              </w:rPr>
              <w:br/>
              <w:t>(including prosumers)</w:t>
            </w:r>
          </w:p>
        </w:tc>
        <w:tc>
          <w:tcPr>
            <w:tcW w:w="982" w:type="pct"/>
            <w:gridSpan w:val="3"/>
            <w:tcBorders>
              <w:top w:val="single" w:sz="8" w:space="0" w:color="auto"/>
              <w:left w:val="nil"/>
              <w:bottom w:val="single" w:sz="8" w:space="0" w:color="auto"/>
              <w:right w:val="single" w:sz="8" w:space="0" w:color="000000"/>
            </w:tcBorders>
            <w:shd w:val="clear" w:color="auto" w:fill="auto"/>
            <w:vAlign w:val="center"/>
            <w:hideMark/>
          </w:tcPr>
          <w:p w14:paraId="2F23863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279 MW [2021]</w:t>
            </w:r>
          </w:p>
        </w:tc>
        <w:tc>
          <w:tcPr>
            <w:tcW w:w="808" w:type="pct"/>
            <w:gridSpan w:val="2"/>
            <w:tcBorders>
              <w:top w:val="single" w:sz="8" w:space="0" w:color="auto"/>
              <w:left w:val="nil"/>
              <w:bottom w:val="single" w:sz="8" w:space="0" w:color="auto"/>
              <w:right w:val="single" w:sz="8" w:space="0" w:color="000000"/>
            </w:tcBorders>
            <w:shd w:val="clear" w:color="auto" w:fill="auto"/>
            <w:vAlign w:val="center"/>
            <w:hideMark/>
          </w:tcPr>
          <w:p w14:paraId="00DFB72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490 MW</w:t>
            </w:r>
          </w:p>
        </w:tc>
        <w:tc>
          <w:tcPr>
            <w:tcW w:w="398" w:type="pct"/>
            <w:tcBorders>
              <w:top w:val="nil"/>
              <w:left w:val="nil"/>
              <w:bottom w:val="single" w:sz="8" w:space="0" w:color="auto"/>
              <w:right w:val="single" w:sz="8" w:space="0" w:color="auto"/>
            </w:tcBorders>
            <w:shd w:val="clear" w:color="auto" w:fill="auto"/>
            <w:vAlign w:val="center"/>
            <w:hideMark/>
          </w:tcPr>
          <w:p w14:paraId="21832E1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1600 MW</w:t>
            </w:r>
          </w:p>
        </w:tc>
        <w:tc>
          <w:tcPr>
            <w:tcW w:w="1201" w:type="pct"/>
            <w:gridSpan w:val="3"/>
            <w:tcBorders>
              <w:top w:val="single" w:sz="8" w:space="0" w:color="auto"/>
              <w:left w:val="nil"/>
              <w:bottom w:val="single" w:sz="8" w:space="0" w:color="auto"/>
              <w:right w:val="single" w:sz="8" w:space="0" w:color="000000"/>
            </w:tcBorders>
            <w:shd w:val="clear" w:color="auto" w:fill="auto"/>
            <w:vAlign w:val="center"/>
            <w:hideMark/>
          </w:tcPr>
          <w:p w14:paraId="408BDBAF"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922" w:type="pct"/>
            <w:tcBorders>
              <w:top w:val="nil"/>
              <w:left w:val="nil"/>
              <w:bottom w:val="nil"/>
              <w:right w:val="nil"/>
            </w:tcBorders>
            <w:shd w:val="clear" w:color="auto" w:fill="auto"/>
            <w:noWrap/>
            <w:vAlign w:val="bottom"/>
            <w:hideMark/>
          </w:tcPr>
          <w:p w14:paraId="507797CF"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0532B1" w:rsidRPr="0086165A" w14:paraId="3F0D2BBA" w14:textId="77777777" w:rsidTr="002E72A1">
        <w:trPr>
          <w:trHeight w:val="495"/>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21D45CA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458" w:type="pct"/>
            <w:tcBorders>
              <w:top w:val="nil"/>
              <w:left w:val="nil"/>
              <w:bottom w:val="single" w:sz="8" w:space="0" w:color="auto"/>
              <w:right w:val="single" w:sz="8" w:space="0" w:color="auto"/>
            </w:tcBorders>
            <w:shd w:val="clear" w:color="auto" w:fill="auto"/>
            <w:vAlign w:val="center"/>
            <w:hideMark/>
          </w:tcPr>
          <w:p w14:paraId="6AF2AE08" w14:textId="77777777" w:rsidR="00571EAF" w:rsidRPr="0014539F" w:rsidRDefault="00C311E0"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Capacity of self-consumer </w:t>
            </w:r>
            <w:r>
              <w:rPr>
                <w:rFonts w:ascii="Times New Roman" w:hAnsi="Times New Roman"/>
                <w:sz w:val="18"/>
              </w:rPr>
              <w:br/>
              <w:t>producers (prosumers)</w:t>
            </w:r>
          </w:p>
        </w:tc>
        <w:tc>
          <w:tcPr>
            <w:tcW w:w="982" w:type="pct"/>
            <w:gridSpan w:val="3"/>
            <w:tcBorders>
              <w:top w:val="single" w:sz="8" w:space="0" w:color="auto"/>
              <w:left w:val="nil"/>
              <w:bottom w:val="single" w:sz="8" w:space="0" w:color="auto"/>
              <w:right w:val="single" w:sz="8" w:space="0" w:color="000000"/>
            </w:tcBorders>
            <w:shd w:val="clear" w:color="auto" w:fill="auto"/>
            <w:vAlign w:val="center"/>
            <w:hideMark/>
          </w:tcPr>
          <w:p w14:paraId="7B0B5A6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 MW (2021)</w:t>
            </w:r>
          </w:p>
        </w:tc>
        <w:tc>
          <w:tcPr>
            <w:tcW w:w="808" w:type="pct"/>
            <w:gridSpan w:val="2"/>
            <w:tcBorders>
              <w:top w:val="single" w:sz="8" w:space="0" w:color="auto"/>
              <w:left w:val="nil"/>
              <w:bottom w:val="single" w:sz="8" w:space="0" w:color="auto"/>
              <w:right w:val="single" w:sz="8" w:space="0" w:color="000000"/>
            </w:tcBorders>
            <w:shd w:val="clear" w:color="auto" w:fill="auto"/>
            <w:vAlign w:val="center"/>
            <w:hideMark/>
          </w:tcPr>
          <w:p w14:paraId="7D98C24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30 MW</w:t>
            </w:r>
          </w:p>
        </w:tc>
        <w:tc>
          <w:tcPr>
            <w:tcW w:w="398" w:type="pct"/>
            <w:tcBorders>
              <w:top w:val="nil"/>
              <w:left w:val="nil"/>
              <w:bottom w:val="single" w:sz="8" w:space="0" w:color="auto"/>
              <w:right w:val="single" w:sz="8" w:space="0" w:color="auto"/>
            </w:tcBorders>
            <w:shd w:val="clear" w:color="auto" w:fill="auto"/>
            <w:vAlign w:val="center"/>
            <w:hideMark/>
          </w:tcPr>
          <w:p w14:paraId="68618D3B" w14:textId="77777777" w:rsidR="00571EAF" w:rsidRPr="008B1E87"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Minimum 100 MW</w:t>
            </w:r>
          </w:p>
        </w:tc>
        <w:tc>
          <w:tcPr>
            <w:tcW w:w="1201" w:type="pct"/>
            <w:gridSpan w:val="3"/>
            <w:tcBorders>
              <w:top w:val="single" w:sz="8" w:space="0" w:color="auto"/>
              <w:left w:val="nil"/>
              <w:bottom w:val="single" w:sz="8" w:space="0" w:color="auto"/>
              <w:right w:val="single" w:sz="8" w:space="0" w:color="000000"/>
            </w:tcBorders>
            <w:shd w:val="clear" w:color="auto" w:fill="auto"/>
            <w:vAlign w:val="center"/>
            <w:hideMark/>
          </w:tcPr>
          <w:p w14:paraId="01740B3F" w14:textId="4E1D8A6D" w:rsidR="00571EAF" w:rsidRPr="008B1E87" w:rsidRDefault="00F9547B" w:rsidP="00571EAF">
            <w:pPr>
              <w:spacing w:after="0" w:line="240" w:lineRule="auto"/>
              <w:rPr>
                <w:rFonts w:ascii="Times New Roman" w:eastAsia="Times New Roman" w:hAnsi="Times New Roman" w:cs="Times New Roman"/>
                <w:sz w:val="18"/>
                <w:szCs w:val="18"/>
              </w:rPr>
            </w:pPr>
            <w:r>
              <w:rPr>
                <w:rFonts w:ascii="Times New Roman" w:hAnsi="Times New Roman"/>
                <w:sz w:val="18"/>
              </w:rPr>
              <w:t>13.56 MW (2024) new capacities.</w:t>
            </w:r>
          </w:p>
        </w:tc>
        <w:tc>
          <w:tcPr>
            <w:tcW w:w="922" w:type="pct"/>
            <w:tcBorders>
              <w:top w:val="nil"/>
              <w:left w:val="nil"/>
              <w:bottom w:val="nil"/>
              <w:right w:val="nil"/>
            </w:tcBorders>
            <w:shd w:val="clear" w:color="auto" w:fill="auto"/>
            <w:noWrap/>
            <w:vAlign w:val="bottom"/>
          </w:tcPr>
          <w:p w14:paraId="5BE01832" w14:textId="49CCBC2F" w:rsidR="00571EAF" w:rsidRPr="00622AD4" w:rsidRDefault="00571EAF" w:rsidP="00622AD4">
            <w:pPr>
              <w:spacing w:after="0" w:line="240" w:lineRule="auto"/>
              <w:rPr>
                <w:rFonts w:ascii="Times New Roman" w:eastAsia="Times New Roman" w:hAnsi="Times New Roman" w:cs="Times New Roman"/>
                <w:sz w:val="18"/>
                <w:szCs w:val="18"/>
                <w:highlight w:val="yellow"/>
              </w:rPr>
            </w:pPr>
          </w:p>
        </w:tc>
      </w:tr>
      <w:tr w:rsidR="00405811" w:rsidRPr="0086165A" w14:paraId="5EC0F353" w14:textId="77777777" w:rsidTr="002E72A1">
        <w:trPr>
          <w:trHeight w:val="315"/>
        </w:trPr>
        <w:tc>
          <w:tcPr>
            <w:tcW w:w="23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75363A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5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522B26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2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F2387E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560" w:type="pct"/>
            <w:gridSpan w:val="4"/>
            <w:tcBorders>
              <w:top w:val="single" w:sz="8" w:space="0" w:color="auto"/>
              <w:left w:val="nil"/>
              <w:bottom w:val="single" w:sz="8" w:space="0" w:color="auto"/>
              <w:right w:val="nil"/>
            </w:tcBorders>
            <w:shd w:val="clear" w:color="000000" w:fill="D9D9D9"/>
            <w:vAlign w:val="center"/>
            <w:hideMark/>
          </w:tcPr>
          <w:p w14:paraId="0121FC1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39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FCFECC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44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6BB1E2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36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3819D2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9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E7763A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92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5378A4A" w14:textId="77777777" w:rsidR="00571EAF" w:rsidRPr="0086165A" w:rsidRDefault="00A25CE5" w:rsidP="005D6B3A">
            <w:pPr>
              <w:spacing w:after="0" w:line="240" w:lineRule="auto"/>
              <w:jc w:val="center"/>
              <w:rPr>
                <w:rFonts w:ascii="Times New Roman" w:eastAsia="Times New Roman" w:hAnsi="Times New Roman" w:cs="Times New Roman"/>
                <w:b/>
                <w:bCs/>
              </w:rPr>
            </w:pPr>
            <w:r>
              <w:rPr>
                <w:rFonts w:ascii="Times New Roman" w:hAnsi="Times New Roman"/>
                <w:b/>
              </w:rPr>
              <w:t>Implementation progress for 2024</w:t>
            </w:r>
          </w:p>
        </w:tc>
      </w:tr>
      <w:tr w:rsidR="005D6B3A" w:rsidRPr="0086165A" w14:paraId="18923469" w14:textId="77777777" w:rsidTr="002E72A1">
        <w:trPr>
          <w:trHeight w:val="300"/>
        </w:trPr>
        <w:tc>
          <w:tcPr>
            <w:tcW w:w="232" w:type="pct"/>
            <w:vMerge/>
            <w:tcBorders>
              <w:top w:val="nil"/>
              <w:left w:val="single" w:sz="8" w:space="0" w:color="auto"/>
              <w:bottom w:val="single" w:sz="8" w:space="0" w:color="000000"/>
              <w:right w:val="single" w:sz="8" w:space="0" w:color="auto"/>
            </w:tcBorders>
            <w:vAlign w:val="center"/>
            <w:hideMark/>
          </w:tcPr>
          <w:p w14:paraId="2B43AB1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58" w:type="pct"/>
            <w:vMerge/>
            <w:tcBorders>
              <w:top w:val="nil"/>
              <w:left w:val="single" w:sz="8" w:space="0" w:color="auto"/>
              <w:bottom w:val="single" w:sz="8" w:space="0" w:color="000000"/>
              <w:right w:val="single" w:sz="8" w:space="0" w:color="auto"/>
            </w:tcBorders>
            <w:vAlign w:val="center"/>
            <w:hideMark/>
          </w:tcPr>
          <w:p w14:paraId="5E0684F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9" w:type="pct"/>
            <w:vMerge/>
            <w:tcBorders>
              <w:top w:val="nil"/>
              <w:left w:val="single" w:sz="8" w:space="0" w:color="auto"/>
              <w:bottom w:val="single" w:sz="8" w:space="0" w:color="000000"/>
              <w:right w:val="single" w:sz="8" w:space="0" w:color="auto"/>
            </w:tcBorders>
            <w:vAlign w:val="center"/>
            <w:hideMark/>
          </w:tcPr>
          <w:p w14:paraId="3B26DC4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76" w:type="pct"/>
            <w:tcBorders>
              <w:top w:val="nil"/>
              <w:left w:val="nil"/>
              <w:bottom w:val="nil"/>
              <w:right w:val="single" w:sz="8" w:space="0" w:color="auto"/>
            </w:tcBorders>
            <w:shd w:val="clear" w:color="000000" w:fill="D9D9D9"/>
            <w:vAlign w:val="center"/>
            <w:hideMark/>
          </w:tcPr>
          <w:p w14:paraId="5CDC871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76" w:type="pct"/>
            <w:tcBorders>
              <w:top w:val="nil"/>
              <w:left w:val="nil"/>
              <w:bottom w:val="nil"/>
              <w:right w:val="single" w:sz="8" w:space="0" w:color="auto"/>
            </w:tcBorders>
            <w:shd w:val="clear" w:color="000000" w:fill="D9D9D9"/>
            <w:vAlign w:val="center"/>
            <w:hideMark/>
          </w:tcPr>
          <w:p w14:paraId="1338A47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2" w:type="pct"/>
            <w:tcBorders>
              <w:top w:val="nil"/>
              <w:left w:val="nil"/>
              <w:bottom w:val="nil"/>
              <w:right w:val="single" w:sz="8" w:space="0" w:color="auto"/>
            </w:tcBorders>
            <w:shd w:val="clear" w:color="000000" w:fill="D9D9D9"/>
            <w:vAlign w:val="center"/>
            <w:hideMark/>
          </w:tcPr>
          <w:p w14:paraId="7F0AAB9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5" w:type="pct"/>
            <w:tcBorders>
              <w:top w:val="nil"/>
              <w:left w:val="nil"/>
              <w:bottom w:val="nil"/>
              <w:right w:val="single" w:sz="8" w:space="0" w:color="auto"/>
            </w:tcBorders>
            <w:shd w:val="clear" w:color="000000" w:fill="D9D9D9"/>
            <w:vAlign w:val="center"/>
            <w:hideMark/>
          </w:tcPr>
          <w:p w14:paraId="5765C6C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98" w:type="pct"/>
            <w:vMerge/>
            <w:tcBorders>
              <w:top w:val="nil"/>
              <w:left w:val="single" w:sz="8" w:space="0" w:color="auto"/>
              <w:bottom w:val="single" w:sz="8" w:space="0" w:color="000000"/>
              <w:right w:val="single" w:sz="8" w:space="0" w:color="auto"/>
            </w:tcBorders>
            <w:vAlign w:val="center"/>
            <w:hideMark/>
          </w:tcPr>
          <w:p w14:paraId="7688858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41" w:type="pct"/>
            <w:vMerge/>
            <w:tcBorders>
              <w:top w:val="nil"/>
              <w:left w:val="single" w:sz="8" w:space="0" w:color="auto"/>
              <w:bottom w:val="single" w:sz="8" w:space="0" w:color="000000"/>
              <w:right w:val="single" w:sz="8" w:space="0" w:color="auto"/>
            </w:tcBorders>
            <w:vAlign w:val="center"/>
            <w:hideMark/>
          </w:tcPr>
          <w:p w14:paraId="6E7885A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14:paraId="20AD500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92" w:type="pct"/>
            <w:vMerge/>
            <w:tcBorders>
              <w:top w:val="nil"/>
              <w:left w:val="single" w:sz="8" w:space="0" w:color="auto"/>
              <w:bottom w:val="single" w:sz="8" w:space="0" w:color="000000"/>
              <w:right w:val="single" w:sz="8" w:space="0" w:color="auto"/>
            </w:tcBorders>
            <w:vAlign w:val="center"/>
            <w:hideMark/>
          </w:tcPr>
          <w:p w14:paraId="33E42B6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22" w:type="pct"/>
            <w:vMerge/>
            <w:tcBorders>
              <w:top w:val="single" w:sz="8" w:space="0" w:color="auto"/>
              <w:left w:val="single" w:sz="8" w:space="0" w:color="auto"/>
              <w:bottom w:val="single" w:sz="8" w:space="0" w:color="000000"/>
              <w:right w:val="single" w:sz="8" w:space="0" w:color="auto"/>
            </w:tcBorders>
            <w:vAlign w:val="center"/>
            <w:hideMark/>
          </w:tcPr>
          <w:p w14:paraId="536303B6" w14:textId="77777777" w:rsidR="00571EAF" w:rsidRPr="0086165A" w:rsidRDefault="00571EAF" w:rsidP="00571EAF">
            <w:pPr>
              <w:spacing w:after="0" w:line="240" w:lineRule="auto"/>
              <w:rPr>
                <w:rFonts w:ascii="Times New Roman" w:eastAsia="Times New Roman" w:hAnsi="Times New Roman" w:cs="Times New Roman"/>
                <w:b/>
                <w:bCs/>
              </w:rPr>
            </w:pPr>
          </w:p>
        </w:tc>
      </w:tr>
      <w:tr w:rsidR="005D6B3A" w:rsidRPr="0086165A" w14:paraId="410E6B97" w14:textId="77777777" w:rsidTr="002E72A1">
        <w:trPr>
          <w:trHeight w:val="735"/>
        </w:trPr>
        <w:tc>
          <w:tcPr>
            <w:tcW w:w="232" w:type="pct"/>
            <w:vMerge/>
            <w:tcBorders>
              <w:top w:val="nil"/>
              <w:left w:val="single" w:sz="8" w:space="0" w:color="auto"/>
              <w:bottom w:val="single" w:sz="8" w:space="0" w:color="000000"/>
              <w:right w:val="single" w:sz="8" w:space="0" w:color="auto"/>
            </w:tcBorders>
            <w:vAlign w:val="center"/>
            <w:hideMark/>
          </w:tcPr>
          <w:p w14:paraId="3BF16B1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58" w:type="pct"/>
            <w:vMerge/>
            <w:tcBorders>
              <w:top w:val="nil"/>
              <w:left w:val="single" w:sz="8" w:space="0" w:color="auto"/>
              <w:bottom w:val="single" w:sz="8" w:space="0" w:color="000000"/>
              <w:right w:val="single" w:sz="8" w:space="0" w:color="auto"/>
            </w:tcBorders>
            <w:vAlign w:val="center"/>
            <w:hideMark/>
          </w:tcPr>
          <w:p w14:paraId="37A583F5"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9" w:type="pct"/>
            <w:vMerge/>
            <w:tcBorders>
              <w:top w:val="nil"/>
              <w:left w:val="single" w:sz="8" w:space="0" w:color="auto"/>
              <w:bottom w:val="single" w:sz="8" w:space="0" w:color="000000"/>
              <w:right w:val="single" w:sz="8" w:space="0" w:color="auto"/>
            </w:tcBorders>
            <w:vAlign w:val="center"/>
            <w:hideMark/>
          </w:tcPr>
          <w:p w14:paraId="63C40F7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76" w:type="pct"/>
            <w:tcBorders>
              <w:top w:val="nil"/>
              <w:left w:val="nil"/>
              <w:bottom w:val="single" w:sz="8" w:space="0" w:color="auto"/>
              <w:right w:val="single" w:sz="8" w:space="0" w:color="auto"/>
            </w:tcBorders>
            <w:shd w:val="clear" w:color="000000" w:fill="D9D9D9"/>
            <w:vAlign w:val="center"/>
            <w:hideMark/>
          </w:tcPr>
          <w:p w14:paraId="7393252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376" w:type="pct"/>
            <w:tcBorders>
              <w:top w:val="nil"/>
              <w:left w:val="nil"/>
              <w:bottom w:val="single" w:sz="8" w:space="0" w:color="auto"/>
              <w:right w:val="single" w:sz="8" w:space="0" w:color="auto"/>
            </w:tcBorders>
            <w:shd w:val="clear" w:color="000000" w:fill="D9D9D9"/>
            <w:vAlign w:val="center"/>
            <w:hideMark/>
          </w:tcPr>
          <w:p w14:paraId="6F05DF0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402" w:type="pct"/>
            <w:tcBorders>
              <w:top w:val="nil"/>
              <w:left w:val="nil"/>
              <w:bottom w:val="single" w:sz="8" w:space="0" w:color="auto"/>
              <w:right w:val="single" w:sz="8" w:space="0" w:color="auto"/>
            </w:tcBorders>
            <w:shd w:val="clear" w:color="000000" w:fill="D9D9D9"/>
            <w:vAlign w:val="center"/>
            <w:hideMark/>
          </w:tcPr>
          <w:p w14:paraId="4F48F0E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405" w:type="pct"/>
            <w:tcBorders>
              <w:top w:val="nil"/>
              <w:left w:val="nil"/>
              <w:bottom w:val="single" w:sz="8" w:space="0" w:color="auto"/>
              <w:right w:val="single" w:sz="8" w:space="0" w:color="auto"/>
            </w:tcBorders>
            <w:shd w:val="clear" w:color="000000" w:fill="D9D9D9"/>
            <w:vAlign w:val="center"/>
            <w:hideMark/>
          </w:tcPr>
          <w:p w14:paraId="3C4F533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98" w:type="pct"/>
            <w:vMerge/>
            <w:tcBorders>
              <w:top w:val="nil"/>
              <w:left w:val="single" w:sz="8" w:space="0" w:color="auto"/>
              <w:bottom w:val="single" w:sz="8" w:space="0" w:color="000000"/>
              <w:right w:val="single" w:sz="8" w:space="0" w:color="auto"/>
            </w:tcBorders>
            <w:vAlign w:val="center"/>
            <w:hideMark/>
          </w:tcPr>
          <w:p w14:paraId="4A37674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41" w:type="pct"/>
            <w:vMerge/>
            <w:tcBorders>
              <w:top w:val="nil"/>
              <w:left w:val="single" w:sz="8" w:space="0" w:color="auto"/>
              <w:bottom w:val="single" w:sz="8" w:space="0" w:color="000000"/>
              <w:right w:val="single" w:sz="8" w:space="0" w:color="auto"/>
            </w:tcBorders>
            <w:vAlign w:val="center"/>
            <w:hideMark/>
          </w:tcPr>
          <w:p w14:paraId="4A80E40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14:paraId="4DB8E25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92" w:type="pct"/>
            <w:vMerge/>
            <w:tcBorders>
              <w:top w:val="nil"/>
              <w:left w:val="single" w:sz="8" w:space="0" w:color="auto"/>
              <w:bottom w:val="single" w:sz="8" w:space="0" w:color="000000"/>
              <w:right w:val="single" w:sz="8" w:space="0" w:color="auto"/>
            </w:tcBorders>
            <w:vAlign w:val="center"/>
            <w:hideMark/>
          </w:tcPr>
          <w:p w14:paraId="48CF2E5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22" w:type="pct"/>
            <w:vMerge/>
            <w:tcBorders>
              <w:top w:val="single" w:sz="8" w:space="0" w:color="auto"/>
              <w:left w:val="single" w:sz="8" w:space="0" w:color="auto"/>
              <w:bottom w:val="single" w:sz="8" w:space="0" w:color="000000"/>
              <w:right w:val="single" w:sz="8" w:space="0" w:color="auto"/>
            </w:tcBorders>
            <w:vAlign w:val="center"/>
            <w:hideMark/>
          </w:tcPr>
          <w:p w14:paraId="4F31B58B" w14:textId="77777777" w:rsidR="00571EAF" w:rsidRPr="0086165A" w:rsidRDefault="00571EAF" w:rsidP="00571EAF">
            <w:pPr>
              <w:spacing w:after="0" w:line="240" w:lineRule="auto"/>
              <w:rPr>
                <w:rFonts w:ascii="Times New Roman" w:eastAsia="Times New Roman" w:hAnsi="Times New Roman" w:cs="Times New Roman"/>
                <w:b/>
                <w:bCs/>
              </w:rPr>
            </w:pPr>
          </w:p>
        </w:tc>
      </w:tr>
      <w:tr w:rsidR="005D6B3A" w:rsidRPr="0086165A" w14:paraId="1E0318FD" w14:textId="77777777" w:rsidTr="002E72A1">
        <w:trPr>
          <w:trHeight w:val="735"/>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61424E6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II.2.1</w:t>
            </w:r>
          </w:p>
        </w:tc>
        <w:tc>
          <w:tcPr>
            <w:tcW w:w="458" w:type="pct"/>
            <w:tcBorders>
              <w:top w:val="nil"/>
              <w:left w:val="nil"/>
              <w:bottom w:val="single" w:sz="8" w:space="0" w:color="auto"/>
              <w:right w:val="single" w:sz="8" w:space="0" w:color="auto"/>
            </w:tcBorders>
            <w:shd w:val="clear" w:color="auto" w:fill="auto"/>
            <w:vAlign w:val="center"/>
            <w:hideMark/>
          </w:tcPr>
          <w:p w14:paraId="47C5C6DD"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the Law on Renewable Energy Sources (RES)</w:t>
            </w:r>
          </w:p>
        </w:tc>
        <w:tc>
          <w:tcPr>
            <w:tcW w:w="229" w:type="pct"/>
            <w:tcBorders>
              <w:top w:val="nil"/>
              <w:left w:val="nil"/>
              <w:bottom w:val="single" w:sz="8" w:space="0" w:color="auto"/>
              <w:right w:val="single" w:sz="8" w:space="0" w:color="auto"/>
            </w:tcBorders>
            <w:shd w:val="clear" w:color="auto" w:fill="auto"/>
            <w:vAlign w:val="center"/>
            <w:hideMark/>
          </w:tcPr>
          <w:p w14:paraId="096AEE2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76" w:type="pct"/>
            <w:tcBorders>
              <w:top w:val="nil"/>
              <w:left w:val="nil"/>
              <w:bottom w:val="single" w:sz="8" w:space="0" w:color="auto"/>
              <w:right w:val="single" w:sz="8" w:space="0" w:color="auto"/>
            </w:tcBorders>
            <w:shd w:val="clear" w:color="auto" w:fill="auto"/>
            <w:vAlign w:val="center"/>
            <w:hideMark/>
          </w:tcPr>
          <w:p w14:paraId="663EBD7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€ 12,000.00 </w:t>
            </w:r>
          </w:p>
        </w:tc>
        <w:tc>
          <w:tcPr>
            <w:tcW w:w="376" w:type="pct"/>
            <w:tcBorders>
              <w:top w:val="nil"/>
              <w:left w:val="nil"/>
              <w:bottom w:val="single" w:sz="8" w:space="0" w:color="auto"/>
              <w:right w:val="single" w:sz="8" w:space="0" w:color="auto"/>
            </w:tcBorders>
            <w:shd w:val="clear" w:color="auto" w:fill="auto"/>
            <w:vAlign w:val="center"/>
            <w:hideMark/>
          </w:tcPr>
          <w:p w14:paraId="0FF71E4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2,000.00 </w:t>
            </w:r>
          </w:p>
        </w:tc>
        <w:tc>
          <w:tcPr>
            <w:tcW w:w="402" w:type="pct"/>
            <w:tcBorders>
              <w:top w:val="nil"/>
              <w:left w:val="nil"/>
              <w:bottom w:val="single" w:sz="8" w:space="0" w:color="auto"/>
              <w:right w:val="single" w:sz="8" w:space="0" w:color="auto"/>
            </w:tcBorders>
            <w:shd w:val="clear" w:color="auto" w:fill="auto"/>
            <w:vAlign w:val="center"/>
            <w:hideMark/>
          </w:tcPr>
          <w:p w14:paraId="16523FE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405" w:type="pct"/>
            <w:tcBorders>
              <w:top w:val="nil"/>
              <w:left w:val="nil"/>
              <w:bottom w:val="single" w:sz="8" w:space="0" w:color="auto"/>
              <w:right w:val="single" w:sz="8" w:space="0" w:color="auto"/>
            </w:tcBorders>
            <w:shd w:val="clear" w:color="auto" w:fill="auto"/>
            <w:vAlign w:val="center"/>
            <w:hideMark/>
          </w:tcPr>
          <w:p w14:paraId="6C6B134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single" w:sz="8" w:space="0" w:color="auto"/>
              <w:right w:val="single" w:sz="8" w:space="0" w:color="auto"/>
            </w:tcBorders>
            <w:shd w:val="clear" w:color="auto" w:fill="auto"/>
            <w:vAlign w:val="center"/>
            <w:hideMark/>
          </w:tcPr>
          <w:p w14:paraId="62D0779E" w14:textId="3B366225"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Donors</w:t>
            </w:r>
          </w:p>
        </w:tc>
        <w:tc>
          <w:tcPr>
            <w:tcW w:w="441" w:type="pct"/>
            <w:tcBorders>
              <w:top w:val="nil"/>
              <w:left w:val="nil"/>
              <w:bottom w:val="single" w:sz="8" w:space="0" w:color="auto"/>
              <w:right w:val="single" w:sz="8" w:space="0" w:color="auto"/>
            </w:tcBorders>
            <w:shd w:val="clear" w:color="auto" w:fill="auto"/>
            <w:vAlign w:val="center"/>
            <w:hideMark/>
          </w:tcPr>
          <w:p w14:paraId="7289D1F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367" w:type="pct"/>
            <w:tcBorders>
              <w:top w:val="nil"/>
              <w:left w:val="nil"/>
              <w:bottom w:val="single" w:sz="8" w:space="0" w:color="auto"/>
              <w:right w:val="single" w:sz="8" w:space="0" w:color="auto"/>
            </w:tcBorders>
            <w:shd w:val="clear" w:color="auto" w:fill="auto"/>
            <w:vAlign w:val="center"/>
            <w:hideMark/>
          </w:tcPr>
          <w:p w14:paraId="2C4914AD" w14:textId="77777777" w:rsidR="00571EAF" w:rsidRPr="0086165A" w:rsidRDefault="00A53BB3"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The Law on RES drafted</w:t>
            </w:r>
            <w:r>
              <w:rPr>
                <w:rFonts w:ascii="Times New Roman" w:hAnsi="Times New Roman"/>
                <w:sz w:val="18"/>
              </w:rPr>
              <w:br/>
              <w:t>and adopted.</w:t>
            </w:r>
          </w:p>
        </w:tc>
        <w:tc>
          <w:tcPr>
            <w:tcW w:w="392" w:type="pct"/>
            <w:tcBorders>
              <w:top w:val="nil"/>
              <w:left w:val="nil"/>
              <w:bottom w:val="single" w:sz="8" w:space="0" w:color="auto"/>
              <w:right w:val="single" w:sz="8" w:space="0" w:color="auto"/>
            </w:tcBorders>
            <w:shd w:val="clear" w:color="000000" w:fill="FFFFFF"/>
            <w:vAlign w:val="center"/>
            <w:hideMark/>
          </w:tcPr>
          <w:p w14:paraId="0AAAF4D0"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center"/>
            <w:hideMark/>
          </w:tcPr>
          <w:p w14:paraId="5B7E795F" w14:textId="6B86D2AD" w:rsidR="00571EAF" w:rsidRPr="00D94C33"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Law No. 08/L-258 on the Promotion of the Use of RES was adopted by the Assembly of the Republic of Kosovo and was published in the Official Gazette (GZ), on 02.05.2024.</w:t>
            </w:r>
          </w:p>
        </w:tc>
      </w:tr>
      <w:tr w:rsidR="005D6B3A" w:rsidRPr="0086165A" w14:paraId="2771F3CA" w14:textId="77777777" w:rsidTr="002E72A1">
        <w:trPr>
          <w:trHeight w:val="430"/>
        </w:trPr>
        <w:tc>
          <w:tcPr>
            <w:tcW w:w="232" w:type="pct"/>
            <w:tcBorders>
              <w:top w:val="nil"/>
              <w:left w:val="single" w:sz="8" w:space="0" w:color="auto"/>
              <w:bottom w:val="nil"/>
              <w:right w:val="single" w:sz="8" w:space="0" w:color="auto"/>
            </w:tcBorders>
            <w:shd w:val="clear" w:color="auto" w:fill="auto"/>
            <w:vAlign w:val="center"/>
            <w:hideMark/>
          </w:tcPr>
          <w:p w14:paraId="77E275D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II.2.2</w:t>
            </w:r>
          </w:p>
        </w:tc>
        <w:tc>
          <w:tcPr>
            <w:tcW w:w="458" w:type="pct"/>
            <w:tcBorders>
              <w:top w:val="nil"/>
              <w:left w:val="nil"/>
              <w:bottom w:val="single" w:sz="8" w:space="0" w:color="auto"/>
              <w:right w:val="single" w:sz="8" w:space="0" w:color="auto"/>
            </w:tcBorders>
            <w:shd w:val="clear" w:color="auto" w:fill="auto"/>
            <w:vAlign w:val="center"/>
            <w:hideMark/>
          </w:tcPr>
          <w:p w14:paraId="45CF30A3" w14:textId="77777777" w:rsidR="001A118E"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Adoption of bylaws related to Law on Renewable Energy Sources</w:t>
            </w:r>
          </w:p>
          <w:p w14:paraId="3889C956" w14:textId="77777777" w:rsidR="00571EAF" w:rsidRPr="0086165A" w:rsidRDefault="001A118E" w:rsidP="00571EAF">
            <w:pPr>
              <w:spacing w:after="0" w:line="240" w:lineRule="auto"/>
              <w:rPr>
                <w:rFonts w:ascii="Times New Roman" w:eastAsia="Times New Roman" w:hAnsi="Times New Roman" w:cs="Times New Roman"/>
                <w:sz w:val="18"/>
                <w:szCs w:val="18"/>
              </w:rPr>
            </w:pPr>
            <w:r>
              <w:rPr>
                <w:rFonts w:ascii="Times New Roman" w:hAnsi="Times New Roman"/>
                <w:sz w:val="18"/>
              </w:rPr>
              <w:t>(RES).</w:t>
            </w:r>
          </w:p>
        </w:tc>
        <w:tc>
          <w:tcPr>
            <w:tcW w:w="229" w:type="pct"/>
            <w:tcBorders>
              <w:top w:val="nil"/>
              <w:left w:val="nil"/>
              <w:bottom w:val="single" w:sz="8" w:space="0" w:color="auto"/>
              <w:right w:val="single" w:sz="8" w:space="0" w:color="auto"/>
            </w:tcBorders>
            <w:shd w:val="clear" w:color="auto" w:fill="auto"/>
            <w:vAlign w:val="center"/>
            <w:hideMark/>
          </w:tcPr>
          <w:p w14:paraId="18FDC63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76" w:type="pct"/>
            <w:tcBorders>
              <w:top w:val="nil"/>
              <w:left w:val="nil"/>
              <w:bottom w:val="single" w:sz="8" w:space="0" w:color="auto"/>
              <w:right w:val="single" w:sz="8" w:space="0" w:color="auto"/>
            </w:tcBorders>
            <w:shd w:val="clear" w:color="auto" w:fill="auto"/>
            <w:vAlign w:val="center"/>
            <w:hideMark/>
          </w:tcPr>
          <w:p w14:paraId="5AA98A3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6" w:type="pct"/>
            <w:tcBorders>
              <w:top w:val="nil"/>
              <w:left w:val="nil"/>
              <w:bottom w:val="single" w:sz="8" w:space="0" w:color="auto"/>
              <w:right w:val="single" w:sz="8" w:space="0" w:color="auto"/>
            </w:tcBorders>
            <w:shd w:val="clear" w:color="auto" w:fill="auto"/>
            <w:vAlign w:val="center"/>
            <w:hideMark/>
          </w:tcPr>
          <w:p w14:paraId="3527305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8,000.00 </w:t>
            </w:r>
          </w:p>
        </w:tc>
        <w:tc>
          <w:tcPr>
            <w:tcW w:w="402" w:type="pct"/>
            <w:tcBorders>
              <w:top w:val="nil"/>
              <w:left w:val="nil"/>
              <w:bottom w:val="single" w:sz="8" w:space="0" w:color="auto"/>
              <w:right w:val="single" w:sz="8" w:space="0" w:color="auto"/>
            </w:tcBorders>
            <w:shd w:val="clear" w:color="auto" w:fill="auto"/>
            <w:vAlign w:val="center"/>
            <w:hideMark/>
          </w:tcPr>
          <w:p w14:paraId="3B76A92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8,000.00 </w:t>
            </w:r>
          </w:p>
        </w:tc>
        <w:tc>
          <w:tcPr>
            <w:tcW w:w="405" w:type="pct"/>
            <w:tcBorders>
              <w:top w:val="nil"/>
              <w:left w:val="nil"/>
              <w:bottom w:val="single" w:sz="8" w:space="0" w:color="auto"/>
              <w:right w:val="single" w:sz="8" w:space="0" w:color="auto"/>
            </w:tcBorders>
            <w:shd w:val="clear" w:color="auto" w:fill="auto"/>
            <w:vAlign w:val="center"/>
            <w:hideMark/>
          </w:tcPr>
          <w:p w14:paraId="52447A2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single" w:sz="8" w:space="0" w:color="auto"/>
              <w:right w:val="single" w:sz="8" w:space="0" w:color="auto"/>
            </w:tcBorders>
            <w:shd w:val="clear" w:color="auto" w:fill="auto"/>
            <w:vAlign w:val="center"/>
            <w:hideMark/>
          </w:tcPr>
          <w:p w14:paraId="280E6E4D" w14:textId="62CCCD1D"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Donors</w:t>
            </w:r>
          </w:p>
        </w:tc>
        <w:tc>
          <w:tcPr>
            <w:tcW w:w="441" w:type="pct"/>
            <w:tcBorders>
              <w:top w:val="nil"/>
              <w:left w:val="nil"/>
              <w:bottom w:val="single" w:sz="8" w:space="0" w:color="auto"/>
              <w:right w:val="single" w:sz="8" w:space="0" w:color="auto"/>
            </w:tcBorders>
            <w:shd w:val="clear" w:color="auto" w:fill="auto"/>
            <w:vAlign w:val="center"/>
            <w:hideMark/>
          </w:tcPr>
          <w:p w14:paraId="4CAA54CB" w14:textId="77777777" w:rsidR="00571EAF" w:rsidRPr="0086165A" w:rsidRDefault="00A53BB3"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w:t>
            </w:r>
          </w:p>
        </w:tc>
        <w:tc>
          <w:tcPr>
            <w:tcW w:w="367" w:type="pct"/>
            <w:tcBorders>
              <w:top w:val="nil"/>
              <w:left w:val="nil"/>
              <w:bottom w:val="single" w:sz="8" w:space="0" w:color="auto"/>
              <w:right w:val="single" w:sz="8" w:space="0" w:color="auto"/>
            </w:tcBorders>
            <w:shd w:val="clear" w:color="auto" w:fill="auto"/>
            <w:vAlign w:val="center"/>
            <w:hideMark/>
          </w:tcPr>
          <w:p w14:paraId="3D83BAE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Secondary legislation adopted</w:t>
            </w:r>
          </w:p>
        </w:tc>
        <w:tc>
          <w:tcPr>
            <w:tcW w:w="392" w:type="pct"/>
            <w:tcBorders>
              <w:top w:val="nil"/>
              <w:left w:val="nil"/>
              <w:bottom w:val="single" w:sz="8" w:space="0" w:color="auto"/>
              <w:right w:val="single" w:sz="8" w:space="0" w:color="auto"/>
            </w:tcBorders>
            <w:shd w:val="clear" w:color="000000" w:fill="FFFFFF"/>
            <w:vAlign w:val="center"/>
            <w:hideMark/>
          </w:tcPr>
          <w:p w14:paraId="01A5EA84"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bottom"/>
            <w:hideMark/>
          </w:tcPr>
          <w:p w14:paraId="55227F14" w14:textId="53DAB20C" w:rsidR="00571EAF" w:rsidRPr="0086165A" w:rsidRDefault="00B36062" w:rsidP="00571EAF">
            <w:pPr>
              <w:spacing w:after="0" w:line="240" w:lineRule="auto"/>
              <w:rPr>
                <w:rFonts w:ascii="Times New Roman" w:eastAsia="Times New Roman" w:hAnsi="Times New Roman" w:cs="Times New Roman"/>
                <w:sz w:val="18"/>
                <w:szCs w:val="18"/>
              </w:rPr>
            </w:pPr>
            <w:r>
              <w:rPr>
                <w:rFonts w:ascii="Times New Roman" w:hAnsi="Times New Roman"/>
                <w:sz w:val="18"/>
              </w:rPr>
              <w:t>Following the adoption of Law No. 08/L-258 on the Promotion of the Use of RES and after approval of ME’s Legislative Plan, responsible officials have been appointed for each of the eight (8) draft secondary acts. Only the Administrative Instruction on the Competitive Bidding Process has been adopted, while four (4) other Administrative Instructions (AIs) have been drafted and are pending preliminary and public consultation. Three (3) Administrative Instructions have not yet been drafted.</w:t>
            </w:r>
          </w:p>
        </w:tc>
      </w:tr>
      <w:tr w:rsidR="005D6B3A" w:rsidRPr="0086165A" w14:paraId="4F921B30" w14:textId="77777777" w:rsidTr="002E72A1">
        <w:trPr>
          <w:trHeight w:val="1528"/>
        </w:trPr>
        <w:tc>
          <w:tcPr>
            <w:tcW w:w="23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9A2634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II.2.3</w:t>
            </w:r>
          </w:p>
        </w:tc>
        <w:tc>
          <w:tcPr>
            <w:tcW w:w="458" w:type="pct"/>
            <w:tcBorders>
              <w:top w:val="nil"/>
              <w:left w:val="nil"/>
              <w:bottom w:val="single" w:sz="8" w:space="0" w:color="auto"/>
              <w:right w:val="single" w:sz="8" w:space="0" w:color="auto"/>
            </w:tcBorders>
            <w:shd w:val="clear" w:color="000000" w:fill="FFFFFF"/>
            <w:vAlign w:val="center"/>
            <w:hideMark/>
          </w:tcPr>
          <w:p w14:paraId="45C84F6C"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of secondary legislation on prosumers;</w:t>
            </w:r>
          </w:p>
        </w:tc>
        <w:tc>
          <w:tcPr>
            <w:tcW w:w="229" w:type="pct"/>
            <w:tcBorders>
              <w:top w:val="nil"/>
              <w:left w:val="nil"/>
              <w:bottom w:val="nil"/>
              <w:right w:val="single" w:sz="8" w:space="0" w:color="auto"/>
            </w:tcBorders>
            <w:shd w:val="clear" w:color="000000" w:fill="FFFFFF"/>
            <w:vAlign w:val="center"/>
            <w:hideMark/>
          </w:tcPr>
          <w:p w14:paraId="309BC2E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76" w:type="pct"/>
            <w:tcBorders>
              <w:top w:val="nil"/>
              <w:left w:val="nil"/>
              <w:bottom w:val="single" w:sz="8" w:space="0" w:color="auto"/>
              <w:right w:val="single" w:sz="8" w:space="0" w:color="auto"/>
            </w:tcBorders>
            <w:shd w:val="clear" w:color="000000" w:fill="FFFFFF"/>
            <w:vAlign w:val="center"/>
            <w:hideMark/>
          </w:tcPr>
          <w:p w14:paraId="62908AC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6,000.00 </w:t>
            </w:r>
          </w:p>
        </w:tc>
        <w:tc>
          <w:tcPr>
            <w:tcW w:w="376" w:type="pct"/>
            <w:tcBorders>
              <w:top w:val="nil"/>
              <w:left w:val="nil"/>
              <w:bottom w:val="single" w:sz="8" w:space="0" w:color="auto"/>
              <w:right w:val="single" w:sz="8" w:space="0" w:color="auto"/>
            </w:tcBorders>
            <w:shd w:val="clear" w:color="000000" w:fill="FFFFFF"/>
            <w:vAlign w:val="center"/>
            <w:hideMark/>
          </w:tcPr>
          <w:p w14:paraId="5E29E2D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2" w:type="pct"/>
            <w:tcBorders>
              <w:top w:val="nil"/>
              <w:left w:val="nil"/>
              <w:bottom w:val="single" w:sz="8" w:space="0" w:color="auto"/>
              <w:right w:val="single" w:sz="8" w:space="0" w:color="auto"/>
            </w:tcBorders>
            <w:shd w:val="clear" w:color="000000" w:fill="FFFFFF"/>
            <w:vAlign w:val="center"/>
            <w:hideMark/>
          </w:tcPr>
          <w:p w14:paraId="07F0426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405" w:type="pct"/>
            <w:tcBorders>
              <w:top w:val="nil"/>
              <w:left w:val="nil"/>
              <w:bottom w:val="single" w:sz="8" w:space="0" w:color="auto"/>
              <w:right w:val="single" w:sz="8" w:space="0" w:color="auto"/>
            </w:tcBorders>
            <w:shd w:val="clear" w:color="000000" w:fill="FFFFFF"/>
            <w:vAlign w:val="center"/>
            <w:hideMark/>
          </w:tcPr>
          <w:p w14:paraId="27310DC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nil"/>
              <w:right w:val="single" w:sz="8" w:space="0" w:color="auto"/>
            </w:tcBorders>
            <w:shd w:val="clear" w:color="000000" w:fill="FFFFFF"/>
            <w:vAlign w:val="center"/>
            <w:hideMark/>
          </w:tcPr>
          <w:p w14:paraId="1FEACF1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441" w:type="pct"/>
            <w:tcBorders>
              <w:top w:val="nil"/>
              <w:left w:val="nil"/>
              <w:bottom w:val="single" w:sz="8" w:space="0" w:color="auto"/>
              <w:right w:val="single" w:sz="8" w:space="0" w:color="auto"/>
            </w:tcBorders>
            <w:shd w:val="clear" w:color="000000" w:fill="FFFFFF"/>
            <w:vAlign w:val="center"/>
            <w:hideMark/>
          </w:tcPr>
          <w:p w14:paraId="0E172429" w14:textId="77777777" w:rsidR="00571EAF" w:rsidRPr="0086165A" w:rsidRDefault="006E079E"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ERO</w:t>
            </w:r>
          </w:p>
        </w:tc>
        <w:tc>
          <w:tcPr>
            <w:tcW w:w="367" w:type="pct"/>
            <w:tcBorders>
              <w:top w:val="nil"/>
              <w:left w:val="nil"/>
              <w:bottom w:val="single" w:sz="8" w:space="0" w:color="auto"/>
              <w:right w:val="single" w:sz="8" w:space="0" w:color="auto"/>
            </w:tcBorders>
            <w:shd w:val="clear" w:color="000000" w:fill="FFFFFF"/>
            <w:vAlign w:val="center"/>
            <w:hideMark/>
          </w:tcPr>
          <w:p w14:paraId="28D2EFF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Secondary legislation adopted</w:t>
            </w:r>
          </w:p>
        </w:tc>
        <w:tc>
          <w:tcPr>
            <w:tcW w:w="392" w:type="pct"/>
            <w:tcBorders>
              <w:top w:val="nil"/>
              <w:left w:val="nil"/>
              <w:bottom w:val="single" w:sz="8" w:space="0" w:color="auto"/>
              <w:right w:val="single" w:sz="8" w:space="0" w:color="auto"/>
            </w:tcBorders>
            <w:shd w:val="clear" w:color="000000" w:fill="FFFFFF"/>
            <w:vAlign w:val="center"/>
            <w:hideMark/>
          </w:tcPr>
          <w:p w14:paraId="3F4CC3F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Rules on prosumers.</w:t>
            </w:r>
          </w:p>
        </w:tc>
        <w:tc>
          <w:tcPr>
            <w:tcW w:w="922" w:type="pct"/>
            <w:tcBorders>
              <w:top w:val="nil"/>
              <w:left w:val="nil"/>
              <w:bottom w:val="single" w:sz="8" w:space="0" w:color="auto"/>
              <w:right w:val="single" w:sz="8" w:space="0" w:color="auto"/>
            </w:tcBorders>
            <w:shd w:val="clear" w:color="000000" w:fill="FFFFFF"/>
            <w:vAlign w:val="center"/>
            <w:hideMark/>
          </w:tcPr>
          <w:p w14:paraId="7F072136" w14:textId="77777777" w:rsidR="00571EAF" w:rsidRPr="0086165A" w:rsidRDefault="00571EAF" w:rsidP="00571EAF">
            <w:pPr>
              <w:spacing w:after="0" w:line="240" w:lineRule="auto"/>
              <w:jc w:val="center"/>
              <w:rPr>
                <w:rFonts w:ascii="Times New Roman" w:eastAsia="Times New Roman" w:hAnsi="Times New Roman" w:cs="Times New Roman"/>
                <w:sz w:val="20"/>
                <w:szCs w:val="20"/>
              </w:rPr>
            </w:pPr>
          </w:p>
        </w:tc>
      </w:tr>
      <w:tr w:rsidR="005D6B3A" w:rsidRPr="0086165A" w14:paraId="0AD43DD4" w14:textId="77777777" w:rsidTr="002E72A1">
        <w:trPr>
          <w:trHeight w:val="495"/>
        </w:trPr>
        <w:tc>
          <w:tcPr>
            <w:tcW w:w="232" w:type="pct"/>
            <w:tcBorders>
              <w:top w:val="nil"/>
              <w:left w:val="single" w:sz="8" w:space="0" w:color="auto"/>
              <w:bottom w:val="single" w:sz="8" w:space="0" w:color="auto"/>
              <w:right w:val="single" w:sz="8" w:space="0" w:color="auto"/>
            </w:tcBorders>
            <w:shd w:val="clear" w:color="000000" w:fill="FFFFFF"/>
            <w:vAlign w:val="center"/>
            <w:hideMark/>
          </w:tcPr>
          <w:p w14:paraId="3329E2F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II.2.4</w:t>
            </w:r>
          </w:p>
        </w:tc>
        <w:tc>
          <w:tcPr>
            <w:tcW w:w="458" w:type="pct"/>
            <w:tcBorders>
              <w:top w:val="nil"/>
              <w:left w:val="nil"/>
              <w:bottom w:val="single" w:sz="8" w:space="0" w:color="auto"/>
              <w:right w:val="single" w:sz="8" w:space="0" w:color="auto"/>
            </w:tcBorders>
            <w:shd w:val="clear" w:color="000000" w:fill="FFFFFF"/>
            <w:vAlign w:val="center"/>
            <w:hideMark/>
          </w:tcPr>
          <w:p w14:paraId="68F5187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Finalization of DSO connection fee methodology</w:t>
            </w:r>
          </w:p>
        </w:tc>
        <w:tc>
          <w:tcPr>
            <w:tcW w:w="229" w:type="pct"/>
            <w:tcBorders>
              <w:top w:val="single" w:sz="8" w:space="0" w:color="auto"/>
              <w:left w:val="nil"/>
              <w:bottom w:val="single" w:sz="8" w:space="0" w:color="auto"/>
              <w:right w:val="single" w:sz="8" w:space="0" w:color="auto"/>
            </w:tcBorders>
            <w:shd w:val="clear" w:color="000000" w:fill="FFFFFF"/>
            <w:vAlign w:val="center"/>
            <w:hideMark/>
          </w:tcPr>
          <w:p w14:paraId="1DB854F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76" w:type="pct"/>
            <w:tcBorders>
              <w:top w:val="nil"/>
              <w:left w:val="nil"/>
              <w:bottom w:val="single" w:sz="8" w:space="0" w:color="auto"/>
              <w:right w:val="single" w:sz="8" w:space="0" w:color="auto"/>
            </w:tcBorders>
            <w:shd w:val="clear" w:color="000000" w:fill="FFFFFF"/>
            <w:vAlign w:val="center"/>
            <w:hideMark/>
          </w:tcPr>
          <w:p w14:paraId="439F4E8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€ 20,000.00 </w:t>
            </w:r>
          </w:p>
        </w:tc>
        <w:tc>
          <w:tcPr>
            <w:tcW w:w="376" w:type="pct"/>
            <w:tcBorders>
              <w:top w:val="nil"/>
              <w:left w:val="nil"/>
              <w:bottom w:val="single" w:sz="8" w:space="0" w:color="auto"/>
              <w:right w:val="single" w:sz="8" w:space="0" w:color="auto"/>
            </w:tcBorders>
            <w:shd w:val="clear" w:color="000000" w:fill="FFFFFF"/>
            <w:vAlign w:val="center"/>
            <w:hideMark/>
          </w:tcPr>
          <w:p w14:paraId="5193AA7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2" w:type="pct"/>
            <w:tcBorders>
              <w:top w:val="nil"/>
              <w:left w:val="nil"/>
              <w:bottom w:val="single" w:sz="8" w:space="0" w:color="auto"/>
              <w:right w:val="single" w:sz="8" w:space="0" w:color="auto"/>
            </w:tcBorders>
            <w:shd w:val="clear" w:color="000000" w:fill="FFFFFF"/>
            <w:vAlign w:val="center"/>
            <w:hideMark/>
          </w:tcPr>
          <w:p w14:paraId="28FF7DE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405" w:type="pct"/>
            <w:tcBorders>
              <w:top w:val="nil"/>
              <w:left w:val="nil"/>
              <w:bottom w:val="single" w:sz="8" w:space="0" w:color="auto"/>
              <w:right w:val="single" w:sz="8" w:space="0" w:color="auto"/>
            </w:tcBorders>
            <w:shd w:val="clear" w:color="000000" w:fill="FFFFFF"/>
            <w:vAlign w:val="center"/>
            <w:hideMark/>
          </w:tcPr>
          <w:p w14:paraId="6C8D1B1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single" w:sz="8" w:space="0" w:color="auto"/>
              <w:left w:val="nil"/>
              <w:bottom w:val="single" w:sz="8" w:space="0" w:color="auto"/>
              <w:right w:val="single" w:sz="8" w:space="0" w:color="auto"/>
            </w:tcBorders>
            <w:shd w:val="clear" w:color="000000" w:fill="FFFFFF"/>
            <w:vAlign w:val="center"/>
            <w:hideMark/>
          </w:tcPr>
          <w:p w14:paraId="7C55594F" w14:textId="77777777" w:rsidR="00571EAF" w:rsidRPr="0086165A" w:rsidRDefault="00F33F12"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ERO</w:t>
            </w:r>
          </w:p>
        </w:tc>
        <w:tc>
          <w:tcPr>
            <w:tcW w:w="441" w:type="pct"/>
            <w:tcBorders>
              <w:top w:val="nil"/>
              <w:left w:val="nil"/>
              <w:bottom w:val="single" w:sz="8" w:space="0" w:color="auto"/>
              <w:right w:val="single" w:sz="8" w:space="0" w:color="auto"/>
            </w:tcBorders>
            <w:shd w:val="clear" w:color="000000" w:fill="FFFFFF"/>
            <w:vAlign w:val="center"/>
            <w:hideMark/>
          </w:tcPr>
          <w:p w14:paraId="7150139F" w14:textId="77777777" w:rsidR="00571EAF" w:rsidRPr="0086165A" w:rsidRDefault="00F33F12"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ERO, DSO</w:t>
            </w:r>
          </w:p>
        </w:tc>
        <w:tc>
          <w:tcPr>
            <w:tcW w:w="367" w:type="pct"/>
            <w:tcBorders>
              <w:top w:val="nil"/>
              <w:left w:val="nil"/>
              <w:bottom w:val="single" w:sz="8" w:space="0" w:color="auto"/>
              <w:right w:val="single" w:sz="8" w:space="0" w:color="auto"/>
            </w:tcBorders>
            <w:shd w:val="clear" w:color="000000" w:fill="FFFFFF"/>
            <w:vAlign w:val="center"/>
            <w:hideMark/>
          </w:tcPr>
          <w:p w14:paraId="280DB89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Grid integration</w:t>
            </w:r>
          </w:p>
        </w:tc>
        <w:tc>
          <w:tcPr>
            <w:tcW w:w="392" w:type="pct"/>
            <w:tcBorders>
              <w:top w:val="nil"/>
              <w:left w:val="nil"/>
              <w:bottom w:val="single" w:sz="8" w:space="0" w:color="auto"/>
              <w:right w:val="single" w:sz="8" w:space="0" w:color="auto"/>
            </w:tcBorders>
            <w:shd w:val="clear" w:color="000000" w:fill="FFFFFF"/>
            <w:vAlign w:val="center"/>
            <w:hideMark/>
          </w:tcPr>
          <w:p w14:paraId="316E6B9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Grid Code</w:t>
            </w:r>
          </w:p>
        </w:tc>
        <w:tc>
          <w:tcPr>
            <w:tcW w:w="922" w:type="pct"/>
            <w:tcBorders>
              <w:top w:val="nil"/>
              <w:left w:val="nil"/>
              <w:bottom w:val="single" w:sz="8" w:space="0" w:color="auto"/>
              <w:right w:val="single" w:sz="8" w:space="0" w:color="auto"/>
            </w:tcBorders>
            <w:shd w:val="clear" w:color="000000" w:fill="FFFFFF"/>
            <w:vAlign w:val="center"/>
            <w:hideMark/>
          </w:tcPr>
          <w:p w14:paraId="7423572D" w14:textId="651C869C" w:rsidR="00571EAF" w:rsidRPr="00BC270C" w:rsidRDefault="00B36062" w:rsidP="00863836">
            <w:pPr>
              <w:spacing w:after="0" w:line="240" w:lineRule="auto"/>
              <w:rPr>
                <w:rFonts w:ascii="Times New Roman" w:eastAsia="Times New Roman" w:hAnsi="Times New Roman" w:cs="Times New Roman"/>
                <w:sz w:val="18"/>
                <w:szCs w:val="20"/>
              </w:rPr>
            </w:pPr>
            <w:r>
              <w:rPr>
                <w:rFonts w:ascii="Times New Roman" w:hAnsi="Times New Roman"/>
                <w:sz w:val="18"/>
              </w:rPr>
              <w:t>Connection tax methodology has been adopted by the Board of ERO. This task has been completed.</w:t>
            </w:r>
          </w:p>
        </w:tc>
      </w:tr>
      <w:tr w:rsidR="005D6B3A" w:rsidRPr="0086165A" w14:paraId="03C673A2" w14:textId="77777777" w:rsidTr="002E72A1">
        <w:trPr>
          <w:trHeight w:val="2257"/>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0B54B7D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II.2.5</w:t>
            </w:r>
          </w:p>
        </w:tc>
        <w:tc>
          <w:tcPr>
            <w:tcW w:w="458" w:type="pct"/>
            <w:tcBorders>
              <w:top w:val="nil"/>
              <w:left w:val="nil"/>
              <w:bottom w:val="single" w:sz="8" w:space="0" w:color="auto"/>
              <w:right w:val="single" w:sz="8" w:space="0" w:color="auto"/>
            </w:tcBorders>
            <w:shd w:val="clear" w:color="000000" w:fill="FFFFFF"/>
            <w:vAlign w:val="center"/>
            <w:hideMark/>
          </w:tcPr>
          <w:p w14:paraId="4C1CC9E8"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of the National Energy and Climate Plan 2025-2030</w:t>
            </w:r>
          </w:p>
        </w:tc>
        <w:tc>
          <w:tcPr>
            <w:tcW w:w="229" w:type="pct"/>
            <w:tcBorders>
              <w:top w:val="nil"/>
              <w:left w:val="nil"/>
              <w:bottom w:val="single" w:sz="8" w:space="0" w:color="auto"/>
              <w:right w:val="single" w:sz="8" w:space="0" w:color="auto"/>
            </w:tcBorders>
            <w:shd w:val="clear" w:color="000000" w:fill="FFFFFF"/>
            <w:vAlign w:val="center"/>
            <w:hideMark/>
          </w:tcPr>
          <w:p w14:paraId="077AA23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76" w:type="pct"/>
            <w:tcBorders>
              <w:top w:val="nil"/>
              <w:left w:val="nil"/>
              <w:bottom w:val="single" w:sz="8" w:space="0" w:color="auto"/>
              <w:right w:val="single" w:sz="8" w:space="0" w:color="auto"/>
            </w:tcBorders>
            <w:shd w:val="clear" w:color="000000" w:fill="FFFFFF"/>
            <w:vAlign w:val="center"/>
            <w:hideMark/>
          </w:tcPr>
          <w:p w14:paraId="06AE2F7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376" w:type="pct"/>
            <w:tcBorders>
              <w:top w:val="nil"/>
              <w:left w:val="nil"/>
              <w:bottom w:val="single" w:sz="8" w:space="0" w:color="auto"/>
              <w:right w:val="single" w:sz="8" w:space="0" w:color="auto"/>
            </w:tcBorders>
            <w:shd w:val="clear" w:color="000000" w:fill="FFFFFF"/>
            <w:vAlign w:val="center"/>
            <w:hideMark/>
          </w:tcPr>
          <w:p w14:paraId="63608C8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30,000.00 </w:t>
            </w:r>
          </w:p>
        </w:tc>
        <w:tc>
          <w:tcPr>
            <w:tcW w:w="402" w:type="pct"/>
            <w:tcBorders>
              <w:top w:val="nil"/>
              <w:left w:val="nil"/>
              <w:bottom w:val="single" w:sz="8" w:space="0" w:color="auto"/>
              <w:right w:val="single" w:sz="8" w:space="0" w:color="auto"/>
            </w:tcBorders>
            <w:shd w:val="clear" w:color="000000" w:fill="FFFFFF"/>
            <w:vAlign w:val="center"/>
            <w:hideMark/>
          </w:tcPr>
          <w:p w14:paraId="09FBE0C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10,000.00 </w:t>
            </w:r>
          </w:p>
        </w:tc>
        <w:tc>
          <w:tcPr>
            <w:tcW w:w="405" w:type="pct"/>
            <w:tcBorders>
              <w:top w:val="nil"/>
              <w:left w:val="nil"/>
              <w:bottom w:val="single" w:sz="8" w:space="0" w:color="auto"/>
              <w:right w:val="single" w:sz="8" w:space="0" w:color="auto"/>
            </w:tcBorders>
            <w:shd w:val="clear" w:color="000000" w:fill="FFFFFF"/>
            <w:vAlign w:val="center"/>
            <w:hideMark/>
          </w:tcPr>
          <w:p w14:paraId="1EEADB9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single" w:sz="8" w:space="0" w:color="auto"/>
              <w:right w:val="single" w:sz="8" w:space="0" w:color="auto"/>
            </w:tcBorders>
            <w:shd w:val="clear" w:color="000000" w:fill="FFFFFF"/>
            <w:vAlign w:val="center"/>
            <w:hideMark/>
          </w:tcPr>
          <w:p w14:paraId="32F699D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GIZ</w:t>
            </w:r>
          </w:p>
        </w:tc>
        <w:tc>
          <w:tcPr>
            <w:tcW w:w="441" w:type="pct"/>
            <w:tcBorders>
              <w:top w:val="nil"/>
              <w:left w:val="nil"/>
              <w:bottom w:val="nil"/>
              <w:right w:val="single" w:sz="8" w:space="0" w:color="auto"/>
            </w:tcBorders>
            <w:shd w:val="clear" w:color="000000" w:fill="FFFFFF"/>
            <w:vAlign w:val="center"/>
            <w:hideMark/>
          </w:tcPr>
          <w:p w14:paraId="3978246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MESPI</w:t>
            </w:r>
          </w:p>
        </w:tc>
        <w:tc>
          <w:tcPr>
            <w:tcW w:w="367" w:type="pct"/>
            <w:tcBorders>
              <w:top w:val="nil"/>
              <w:left w:val="nil"/>
              <w:bottom w:val="nil"/>
              <w:right w:val="single" w:sz="8" w:space="0" w:color="auto"/>
            </w:tcBorders>
            <w:shd w:val="clear" w:color="000000" w:fill="FFFFFF"/>
            <w:vAlign w:val="center"/>
            <w:hideMark/>
          </w:tcPr>
          <w:p w14:paraId="511A04DF" w14:textId="72437275"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NCEP has been finalized and adopted</w:t>
            </w:r>
          </w:p>
        </w:tc>
        <w:tc>
          <w:tcPr>
            <w:tcW w:w="392" w:type="pct"/>
            <w:tcBorders>
              <w:top w:val="nil"/>
              <w:left w:val="nil"/>
              <w:bottom w:val="single" w:sz="8" w:space="0" w:color="auto"/>
              <w:right w:val="single" w:sz="8" w:space="0" w:color="auto"/>
            </w:tcBorders>
            <w:shd w:val="clear" w:color="000000" w:fill="FFFFFF"/>
            <w:vAlign w:val="center"/>
            <w:hideMark/>
          </w:tcPr>
          <w:p w14:paraId="6E39BD58"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center"/>
            <w:hideMark/>
          </w:tcPr>
          <w:p w14:paraId="3821CD1C" w14:textId="77777777" w:rsidR="00571EAF" w:rsidRPr="0014539F" w:rsidRDefault="005F26CD" w:rsidP="00863836">
            <w:pPr>
              <w:spacing w:after="0" w:line="240" w:lineRule="auto"/>
              <w:rPr>
                <w:rFonts w:ascii="Times New Roman" w:eastAsia="Times New Roman" w:hAnsi="Times New Roman" w:cs="Times New Roman"/>
                <w:sz w:val="18"/>
                <w:szCs w:val="18"/>
              </w:rPr>
            </w:pPr>
            <w:r>
              <w:rPr>
                <w:rFonts w:ascii="Times New Roman" w:hAnsi="Times New Roman"/>
                <w:sz w:val="18"/>
              </w:rPr>
              <w:t>The preliminary discussion of the document has ended, it is in the stage of handling comments and is expected to be sent for public discussion.</w:t>
            </w:r>
          </w:p>
        </w:tc>
      </w:tr>
      <w:tr w:rsidR="005D6B3A" w:rsidRPr="0086165A" w14:paraId="6E5C1F46" w14:textId="77777777" w:rsidTr="002E72A1">
        <w:trPr>
          <w:trHeight w:val="735"/>
        </w:trPr>
        <w:tc>
          <w:tcPr>
            <w:tcW w:w="232" w:type="pct"/>
            <w:tcBorders>
              <w:top w:val="nil"/>
              <w:left w:val="single" w:sz="8" w:space="0" w:color="auto"/>
              <w:bottom w:val="nil"/>
              <w:right w:val="single" w:sz="8" w:space="0" w:color="auto"/>
            </w:tcBorders>
            <w:shd w:val="clear" w:color="000000" w:fill="FFFFFF"/>
            <w:vAlign w:val="center"/>
            <w:hideMark/>
          </w:tcPr>
          <w:p w14:paraId="6F4EB3C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II.2.6</w:t>
            </w:r>
          </w:p>
        </w:tc>
        <w:tc>
          <w:tcPr>
            <w:tcW w:w="458" w:type="pct"/>
            <w:tcBorders>
              <w:top w:val="nil"/>
              <w:left w:val="nil"/>
              <w:bottom w:val="single" w:sz="8" w:space="0" w:color="auto"/>
              <w:right w:val="single" w:sz="8" w:space="0" w:color="auto"/>
            </w:tcBorders>
            <w:shd w:val="clear" w:color="000000" w:fill="FFFFFF"/>
            <w:vAlign w:val="center"/>
            <w:hideMark/>
          </w:tcPr>
          <w:p w14:paraId="39533C99"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Announcement of the first pilot auction </w:t>
            </w:r>
          </w:p>
        </w:tc>
        <w:tc>
          <w:tcPr>
            <w:tcW w:w="229" w:type="pct"/>
            <w:tcBorders>
              <w:top w:val="nil"/>
              <w:left w:val="nil"/>
              <w:bottom w:val="single" w:sz="8" w:space="0" w:color="auto"/>
              <w:right w:val="single" w:sz="8" w:space="0" w:color="auto"/>
            </w:tcBorders>
            <w:shd w:val="clear" w:color="000000" w:fill="FFFFFF"/>
            <w:vAlign w:val="center"/>
            <w:hideMark/>
          </w:tcPr>
          <w:p w14:paraId="49487DB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76" w:type="pct"/>
            <w:tcBorders>
              <w:top w:val="nil"/>
              <w:left w:val="nil"/>
              <w:bottom w:val="single" w:sz="8" w:space="0" w:color="auto"/>
              <w:right w:val="single" w:sz="8" w:space="0" w:color="auto"/>
            </w:tcBorders>
            <w:shd w:val="clear" w:color="000000" w:fill="FFFFFF"/>
            <w:vAlign w:val="center"/>
            <w:hideMark/>
          </w:tcPr>
          <w:p w14:paraId="7D0ACD6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4,000.00 </w:t>
            </w:r>
          </w:p>
        </w:tc>
        <w:tc>
          <w:tcPr>
            <w:tcW w:w="376" w:type="pct"/>
            <w:tcBorders>
              <w:top w:val="nil"/>
              <w:left w:val="nil"/>
              <w:bottom w:val="single" w:sz="8" w:space="0" w:color="auto"/>
              <w:right w:val="single" w:sz="8" w:space="0" w:color="auto"/>
            </w:tcBorders>
            <w:shd w:val="clear" w:color="000000" w:fill="FFFFFF"/>
            <w:vAlign w:val="center"/>
            <w:hideMark/>
          </w:tcPr>
          <w:p w14:paraId="2277146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20,000.00 </w:t>
            </w:r>
          </w:p>
        </w:tc>
        <w:tc>
          <w:tcPr>
            <w:tcW w:w="402" w:type="pct"/>
            <w:tcBorders>
              <w:top w:val="nil"/>
              <w:left w:val="nil"/>
              <w:bottom w:val="single" w:sz="8" w:space="0" w:color="auto"/>
              <w:right w:val="single" w:sz="8" w:space="0" w:color="auto"/>
            </w:tcBorders>
            <w:shd w:val="clear" w:color="000000" w:fill="FFFFFF"/>
            <w:vAlign w:val="center"/>
            <w:hideMark/>
          </w:tcPr>
          <w:p w14:paraId="4D55A1F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405" w:type="pct"/>
            <w:tcBorders>
              <w:top w:val="nil"/>
              <w:left w:val="nil"/>
              <w:bottom w:val="single" w:sz="8" w:space="0" w:color="auto"/>
              <w:right w:val="single" w:sz="8" w:space="0" w:color="auto"/>
            </w:tcBorders>
            <w:shd w:val="clear" w:color="000000" w:fill="FFFFFF"/>
            <w:vAlign w:val="center"/>
            <w:hideMark/>
          </w:tcPr>
          <w:p w14:paraId="693404B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single" w:sz="8" w:space="0" w:color="auto"/>
              <w:right w:val="single" w:sz="8" w:space="0" w:color="auto"/>
            </w:tcBorders>
            <w:shd w:val="clear" w:color="000000" w:fill="FFFFFF"/>
            <w:vAlign w:val="center"/>
            <w:hideMark/>
          </w:tcPr>
          <w:p w14:paraId="0BA65F0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441" w:type="pct"/>
            <w:tcBorders>
              <w:top w:val="single" w:sz="8" w:space="0" w:color="auto"/>
              <w:left w:val="nil"/>
              <w:bottom w:val="nil"/>
              <w:right w:val="single" w:sz="8" w:space="0" w:color="auto"/>
            </w:tcBorders>
            <w:shd w:val="clear" w:color="000000" w:fill="FFFFFF"/>
            <w:vAlign w:val="center"/>
            <w:hideMark/>
          </w:tcPr>
          <w:p w14:paraId="0897D135" w14:textId="77777777" w:rsidR="00571EAF" w:rsidRPr="0086165A" w:rsidRDefault="00910351"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w:t>
            </w:r>
          </w:p>
        </w:tc>
        <w:tc>
          <w:tcPr>
            <w:tcW w:w="367" w:type="pct"/>
            <w:vMerge w:val="restart"/>
            <w:tcBorders>
              <w:top w:val="single" w:sz="8" w:space="0" w:color="auto"/>
              <w:left w:val="single" w:sz="8" w:space="0" w:color="auto"/>
              <w:bottom w:val="nil"/>
              <w:right w:val="single" w:sz="8" w:space="0" w:color="auto"/>
            </w:tcBorders>
            <w:shd w:val="clear" w:color="000000" w:fill="FFFFFF"/>
            <w:vAlign w:val="center"/>
            <w:hideMark/>
          </w:tcPr>
          <w:p w14:paraId="43418CE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Organizing competitive auctions to increase the share of RES starting with 100 MW</w:t>
            </w:r>
          </w:p>
        </w:tc>
        <w:tc>
          <w:tcPr>
            <w:tcW w:w="392" w:type="pct"/>
            <w:tcBorders>
              <w:top w:val="nil"/>
              <w:left w:val="nil"/>
              <w:bottom w:val="single" w:sz="8" w:space="0" w:color="auto"/>
              <w:right w:val="single" w:sz="8" w:space="0" w:color="auto"/>
            </w:tcBorders>
            <w:shd w:val="clear" w:color="000000" w:fill="FFFFFF"/>
            <w:vAlign w:val="center"/>
            <w:hideMark/>
          </w:tcPr>
          <w:p w14:paraId="44C88CE2"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center"/>
            <w:hideMark/>
          </w:tcPr>
          <w:p w14:paraId="5CD18EB2" w14:textId="77777777" w:rsidR="00571EAF" w:rsidRPr="006D6D77" w:rsidRDefault="00571EAF" w:rsidP="00571EAF">
            <w:pPr>
              <w:spacing w:after="0" w:line="240" w:lineRule="auto"/>
              <w:jc w:val="center"/>
              <w:rPr>
                <w:rFonts w:ascii="Times New Roman" w:eastAsia="Times New Roman" w:hAnsi="Times New Roman" w:cs="Times New Roman"/>
                <w:sz w:val="20"/>
                <w:szCs w:val="20"/>
              </w:rPr>
            </w:pPr>
          </w:p>
        </w:tc>
      </w:tr>
      <w:tr w:rsidR="005D6B3A" w:rsidRPr="0086165A" w14:paraId="42137683" w14:textId="77777777" w:rsidTr="002E72A1">
        <w:trPr>
          <w:trHeight w:val="735"/>
        </w:trPr>
        <w:tc>
          <w:tcPr>
            <w:tcW w:w="23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F28ADC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II.2.7</w:t>
            </w:r>
          </w:p>
        </w:tc>
        <w:tc>
          <w:tcPr>
            <w:tcW w:w="458" w:type="pct"/>
            <w:tcBorders>
              <w:top w:val="nil"/>
              <w:left w:val="nil"/>
              <w:bottom w:val="single" w:sz="8" w:space="0" w:color="auto"/>
              <w:right w:val="single" w:sz="8" w:space="0" w:color="auto"/>
            </w:tcBorders>
            <w:shd w:val="clear" w:color="000000" w:fill="FFFFFF"/>
            <w:vAlign w:val="center"/>
            <w:hideMark/>
          </w:tcPr>
          <w:p w14:paraId="369E7930"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Awarding and contracting of the first pilot auction</w:t>
            </w:r>
          </w:p>
        </w:tc>
        <w:tc>
          <w:tcPr>
            <w:tcW w:w="229" w:type="pct"/>
            <w:tcBorders>
              <w:top w:val="nil"/>
              <w:left w:val="nil"/>
              <w:bottom w:val="nil"/>
              <w:right w:val="single" w:sz="8" w:space="0" w:color="auto"/>
            </w:tcBorders>
            <w:shd w:val="clear" w:color="000000" w:fill="FFFFFF"/>
            <w:vAlign w:val="center"/>
            <w:hideMark/>
          </w:tcPr>
          <w:p w14:paraId="789C097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76" w:type="pct"/>
            <w:tcBorders>
              <w:top w:val="nil"/>
              <w:left w:val="nil"/>
              <w:bottom w:val="nil"/>
              <w:right w:val="single" w:sz="8" w:space="0" w:color="auto"/>
            </w:tcBorders>
            <w:shd w:val="clear" w:color="000000" w:fill="FFFFFF"/>
            <w:vAlign w:val="center"/>
            <w:hideMark/>
          </w:tcPr>
          <w:p w14:paraId="1525059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6" w:type="pct"/>
            <w:tcBorders>
              <w:top w:val="nil"/>
              <w:left w:val="nil"/>
              <w:bottom w:val="nil"/>
              <w:right w:val="single" w:sz="8" w:space="0" w:color="auto"/>
            </w:tcBorders>
            <w:shd w:val="clear" w:color="000000" w:fill="FFFFFF"/>
            <w:vAlign w:val="center"/>
            <w:hideMark/>
          </w:tcPr>
          <w:p w14:paraId="4853103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4,000.00 </w:t>
            </w:r>
          </w:p>
        </w:tc>
        <w:tc>
          <w:tcPr>
            <w:tcW w:w="402" w:type="pct"/>
            <w:tcBorders>
              <w:top w:val="nil"/>
              <w:left w:val="nil"/>
              <w:bottom w:val="nil"/>
              <w:right w:val="single" w:sz="8" w:space="0" w:color="auto"/>
            </w:tcBorders>
            <w:shd w:val="clear" w:color="000000" w:fill="FFFFFF"/>
            <w:vAlign w:val="center"/>
            <w:hideMark/>
          </w:tcPr>
          <w:p w14:paraId="35A31DC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405" w:type="pct"/>
            <w:tcBorders>
              <w:top w:val="nil"/>
              <w:left w:val="nil"/>
              <w:bottom w:val="single" w:sz="8" w:space="0" w:color="auto"/>
              <w:right w:val="single" w:sz="8" w:space="0" w:color="auto"/>
            </w:tcBorders>
            <w:shd w:val="clear" w:color="000000" w:fill="FFFFFF"/>
            <w:vAlign w:val="center"/>
            <w:hideMark/>
          </w:tcPr>
          <w:p w14:paraId="4DBAFDF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nil"/>
              <w:right w:val="single" w:sz="8" w:space="0" w:color="auto"/>
            </w:tcBorders>
            <w:shd w:val="clear" w:color="000000" w:fill="FFFFFF"/>
            <w:vAlign w:val="center"/>
            <w:hideMark/>
          </w:tcPr>
          <w:p w14:paraId="19ACD06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441" w:type="pct"/>
            <w:tcBorders>
              <w:top w:val="single" w:sz="8" w:space="0" w:color="auto"/>
              <w:left w:val="nil"/>
              <w:bottom w:val="nil"/>
              <w:right w:val="single" w:sz="8" w:space="0" w:color="auto"/>
            </w:tcBorders>
            <w:shd w:val="clear" w:color="000000" w:fill="FFFFFF"/>
            <w:vAlign w:val="center"/>
            <w:hideMark/>
          </w:tcPr>
          <w:p w14:paraId="15C4E98D" w14:textId="77777777" w:rsidR="00571EAF" w:rsidRPr="0086165A" w:rsidRDefault="00910351"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w:t>
            </w:r>
          </w:p>
        </w:tc>
        <w:tc>
          <w:tcPr>
            <w:tcW w:w="367" w:type="pct"/>
            <w:vMerge/>
            <w:tcBorders>
              <w:top w:val="single" w:sz="8" w:space="0" w:color="auto"/>
              <w:left w:val="single" w:sz="8" w:space="0" w:color="auto"/>
              <w:bottom w:val="nil"/>
              <w:right w:val="single" w:sz="8" w:space="0" w:color="auto"/>
            </w:tcBorders>
            <w:vAlign w:val="center"/>
            <w:hideMark/>
          </w:tcPr>
          <w:p w14:paraId="3E4074AE" w14:textId="77777777" w:rsidR="00571EAF" w:rsidRPr="0086165A" w:rsidRDefault="00571EAF" w:rsidP="00571EAF">
            <w:pPr>
              <w:spacing w:after="0" w:line="240" w:lineRule="auto"/>
              <w:rPr>
                <w:rFonts w:ascii="Times New Roman" w:eastAsia="Times New Roman" w:hAnsi="Times New Roman" w:cs="Times New Roman"/>
                <w:sz w:val="18"/>
                <w:szCs w:val="18"/>
              </w:rPr>
            </w:pPr>
          </w:p>
        </w:tc>
        <w:tc>
          <w:tcPr>
            <w:tcW w:w="392" w:type="pct"/>
            <w:tcBorders>
              <w:top w:val="nil"/>
              <w:left w:val="nil"/>
              <w:bottom w:val="single" w:sz="8" w:space="0" w:color="auto"/>
              <w:right w:val="single" w:sz="8" w:space="0" w:color="auto"/>
            </w:tcBorders>
            <w:shd w:val="clear" w:color="000000" w:fill="FFFFFF"/>
            <w:vAlign w:val="center"/>
            <w:hideMark/>
          </w:tcPr>
          <w:p w14:paraId="49C9025D"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bottom"/>
            <w:hideMark/>
          </w:tcPr>
          <w:p w14:paraId="3F6C8ABE" w14:textId="77777777" w:rsidR="00571EAF" w:rsidRPr="00D94C33" w:rsidRDefault="00571EAF" w:rsidP="00571EAF">
            <w:pPr>
              <w:spacing w:after="0" w:line="240" w:lineRule="auto"/>
              <w:rPr>
                <w:rFonts w:ascii="Times New Roman" w:eastAsia="Times New Roman" w:hAnsi="Times New Roman" w:cs="Times New Roman"/>
                <w:sz w:val="20"/>
                <w:szCs w:val="20"/>
              </w:rPr>
            </w:pPr>
            <w:r>
              <w:rPr>
                <w:rFonts w:ascii="Times New Roman" w:hAnsi="Times New Roman"/>
                <w:sz w:val="20"/>
              </w:rPr>
              <w:t xml:space="preserve">            </w:t>
            </w:r>
          </w:p>
        </w:tc>
      </w:tr>
      <w:tr w:rsidR="005D6B3A" w:rsidRPr="0086165A" w14:paraId="2D5F5E2F" w14:textId="77777777" w:rsidTr="002E72A1">
        <w:trPr>
          <w:trHeight w:val="2745"/>
        </w:trPr>
        <w:tc>
          <w:tcPr>
            <w:tcW w:w="232" w:type="pct"/>
            <w:tcBorders>
              <w:top w:val="nil"/>
              <w:left w:val="single" w:sz="8" w:space="0" w:color="auto"/>
              <w:bottom w:val="single" w:sz="8" w:space="0" w:color="auto"/>
              <w:right w:val="single" w:sz="8" w:space="0" w:color="auto"/>
            </w:tcBorders>
            <w:shd w:val="clear" w:color="000000" w:fill="FFFFFF"/>
            <w:vAlign w:val="center"/>
            <w:hideMark/>
          </w:tcPr>
          <w:p w14:paraId="7FB6511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II.2.8</w:t>
            </w:r>
          </w:p>
        </w:tc>
        <w:tc>
          <w:tcPr>
            <w:tcW w:w="458" w:type="pct"/>
            <w:tcBorders>
              <w:top w:val="nil"/>
              <w:left w:val="nil"/>
              <w:bottom w:val="nil"/>
              <w:right w:val="nil"/>
            </w:tcBorders>
            <w:shd w:val="clear" w:color="000000" w:fill="FFFFFF"/>
            <w:vAlign w:val="center"/>
            <w:hideMark/>
          </w:tcPr>
          <w:p w14:paraId="105290FE"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Construction of capacities of 100 MW</w:t>
            </w:r>
          </w:p>
        </w:tc>
        <w:tc>
          <w:tcPr>
            <w:tcW w:w="229"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A91107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14:paraId="179CEA00" w14:textId="77777777" w:rsidR="00A800E0"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3A31041D" w14:textId="52801B1C"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376" w:type="pct"/>
            <w:tcBorders>
              <w:top w:val="single" w:sz="8" w:space="0" w:color="auto"/>
              <w:left w:val="nil"/>
              <w:bottom w:val="nil"/>
              <w:right w:val="single" w:sz="8" w:space="0" w:color="auto"/>
            </w:tcBorders>
            <w:shd w:val="clear" w:color="000000" w:fill="FFFFFF"/>
            <w:vAlign w:val="center"/>
            <w:hideMark/>
          </w:tcPr>
          <w:p w14:paraId="05779B7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2" w:type="pct"/>
            <w:tcBorders>
              <w:top w:val="single" w:sz="8" w:space="0" w:color="auto"/>
              <w:left w:val="nil"/>
              <w:bottom w:val="single" w:sz="8" w:space="0" w:color="auto"/>
              <w:right w:val="single" w:sz="8" w:space="0" w:color="auto"/>
            </w:tcBorders>
            <w:shd w:val="clear" w:color="000000" w:fill="FFFFFF"/>
            <w:vAlign w:val="center"/>
            <w:hideMark/>
          </w:tcPr>
          <w:p w14:paraId="5892D56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75,000,000.00 </w:t>
            </w:r>
          </w:p>
        </w:tc>
        <w:tc>
          <w:tcPr>
            <w:tcW w:w="405" w:type="pct"/>
            <w:tcBorders>
              <w:top w:val="nil"/>
              <w:left w:val="nil"/>
              <w:bottom w:val="single" w:sz="8" w:space="0" w:color="auto"/>
              <w:right w:val="single" w:sz="8" w:space="0" w:color="auto"/>
            </w:tcBorders>
            <w:shd w:val="clear" w:color="000000" w:fill="FFFFFF"/>
            <w:vAlign w:val="center"/>
            <w:hideMark/>
          </w:tcPr>
          <w:p w14:paraId="1412AA3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single" w:sz="8" w:space="0" w:color="auto"/>
              <w:left w:val="nil"/>
              <w:bottom w:val="single" w:sz="8" w:space="0" w:color="auto"/>
              <w:right w:val="single" w:sz="8" w:space="0" w:color="auto"/>
            </w:tcBorders>
            <w:shd w:val="clear" w:color="000000" w:fill="FFFFFF"/>
            <w:vAlign w:val="center"/>
            <w:hideMark/>
          </w:tcPr>
          <w:p w14:paraId="2B18BDDF" w14:textId="208AE7EB"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Private investment.</w:t>
            </w:r>
          </w:p>
        </w:tc>
        <w:tc>
          <w:tcPr>
            <w:tcW w:w="441" w:type="pct"/>
            <w:tcBorders>
              <w:top w:val="single" w:sz="8" w:space="0" w:color="auto"/>
              <w:left w:val="nil"/>
              <w:bottom w:val="single" w:sz="8" w:space="0" w:color="auto"/>
              <w:right w:val="single" w:sz="8" w:space="0" w:color="auto"/>
            </w:tcBorders>
            <w:shd w:val="clear" w:color="000000" w:fill="FFFFFF"/>
            <w:vAlign w:val="center"/>
            <w:hideMark/>
          </w:tcPr>
          <w:p w14:paraId="6F38EF32" w14:textId="77777777" w:rsidR="00571EAF" w:rsidRPr="0086165A" w:rsidRDefault="008B13E7"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w:t>
            </w:r>
          </w:p>
        </w:tc>
        <w:tc>
          <w:tcPr>
            <w:tcW w:w="367" w:type="pct"/>
            <w:tcBorders>
              <w:top w:val="single" w:sz="8" w:space="0" w:color="auto"/>
              <w:left w:val="nil"/>
              <w:bottom w:val="single" w:sz="8" w:space="0" w:color="auto"/>
              <w:right w:val="single" w:sz="8" w:space="0" w:color="auto"/>
            </w:tcBorders>
            <w:shd w:val="clear" w:color="000000" w:fill="FFFFFF"/>
            <w:vAlign w:val="center"/>
            <w:hideMark/>
          </w:tcPr>
          <w:p w14:paraId="763D5389" w14:textId="4A407CAB"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Construction of the 100 MW PV solar power plant</w:t>
            </w:r>
          </w:p>
        </w:tc>
        <w:tc>
          <w:tcPr>
            <w:tcW w:w="392" w:type="pct"/>
            <w:tcBorders>
              <w:top w:val="nil"/>
              <w:left w:val="nil"/>
              <w:bottom w:val="single" w:sz="8" w:space="0" w:color="auto"/>
              <w:right w:val="single" w:sz="8" w:space="0" w:color="auto"/>
            </w:tcBorders>
            <w:shd w:val="clear" w:color="000000" w:fill="FFFFFF"/>
            <w:vAlign w:val="center"/>
            <w:hideMark/>
          </w:tcPr>
          <w:p w14:paraId="29BAB112"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bottom"/>
            <w:hideMark/>
          </w:tcPr>
          <w:p w14:paraId="7A27D494" w14:textId="3FEF9B45"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 xml:space="preserve">One (1) competitive auction was organized to increase RES share, starting with 100 MW of photovoltaics (PV); the deadline for bid submissions was 31 January 2024. On 3 February 2024, the Commission opened the bids. A total of six (6) bids were received and reviewed by the Bid Evaluation Commission. Five (5) bidders were found to be compliant and, on 29.03.2024, a public auction was held, announcing the winner of the first 100 MW solar photovoltaic (PV) auction. </w:t>
            </w:r>
          </w:p>
          <w:p w14:paraId="6513382F" w14:textId="31B8C6A1" w:rsidR="00571EAF"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On 31.05.2024, the project development agreement and other relevant agreements based on the tender dossier were signed. The bidder that has entered into the Project Agreements must complete the financial close within one (1) year from the date of entering into the Project Agreements and must commission the photovoltaic (PV) solar power plant within two (2) years from the date of entering into the Project Agreements.</w:t>
            </w:r>
          </w:p>
        </w:tc>
      </w:tr>
      <w:tr w:rsidR="005D6B3A" w:rsidRPr="0086165A" w14:paraId="185C2636" w14:textId="77777777" w:rsidTr="002E72A1">
        <w:trPr>
          <w:trHeight w:val="1215"/>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3EACF54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II.2.9</w:t>
            </w:r>
          </w:p>
        </w:tc>
        <w:tc>
          <w:tcPr>
            <w:tcW w:w="458" w:type="pct"/>
            <w:tcBorders>
              <w:top w:val="single" w:sz="8" w:space="0" w:color="auto"/>
              <w:left w:val="nil"/>
              <w:bottom w:val="single" w:sz="8" w:space="0" w:color="auto"/>
              <w:right w:val="single" w:sz="8" w:space="0" w:color="auto"/>
            </w:tcBorders>
            <w:shd w:val="clear" w:color="000000" w:fill="FFFFFF"/>
            <w:vAlign w:val="center"/>
            <w:hideMark/>
          </w:tcPr>
          <w:p w14:paraId="0C49CA0F" w14:textId="53548005"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Establishment of a unit for the development of new capacities</w:t>
            </w:r>
          </w:p>
        </w:tc>
        <w:tc>
          <w:tcPr>
            <w:tcW w:w="229" w:type="pct"/>
            <w:tcBorders>
              <w:top w:val="nil"/>
              <w:left w:val="nil"/>
              <w:bottom w:val="single" w:sz="8" w:space="0" w:color="auto"/>
              <w:right w:val="single" w:sz="8" w:space="0" w:color="auto"/>
            </w:tcBorders>
            <w:shd w:val="clear" w:color="000000" w:fill="FFFFFF"/>
            <w:vAlign w:val="center"/>
            <w:hideMark/>
          </w:tcPr>
          <w:p w14:paraId="05D9563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76" w:type="pct"/>
            <w:tcBorders>
              <w:top w:val="nil"/>
              <w:left w:val="nil"/>
              <w:bottom w:val="single" w:sz="8" w:space="0" w:color="auto"/>
              <w:right w:val="single" w:sz="8" w:space="0" w:color="auto"/>
            </w:tcBorders>
            <w:shd w:val="clear" w:color="000000" w:fill="FFFFFF"/>
            <w:vAlign w:val="center"/>
            <w:hideMark/>
          </w:tcPr>
          <w:p w14:paraId="7B5AAAF6" w14:textId="77777777" w:rsidR="00835485"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7DCCB791" w14:textId="35222E65"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14:paraId="31AB3C1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2" w:type="pct"/>
            <w:tcBorders>
              <w:top w:val="nil"/>
              <w:left w:val="nil"/>
              <w:bottom w:val="single" w:sz="8" w:space="0" w:color="auto"/>
              <w:right w:val="single" w:sz="8" w:space="0" w:color="auto"/>
            </w:tcBorders>
            <w:shd w:val="clear" w:color="000000" w:fill="FFFFFF"/>
            <w:vAlign w:val="center"/>
            <w:hideMark/>
          </w:tcPr>
          <w:p w14:paraId="112D5FD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36,000.00 </w:t>
            </w:r>
          </w:p>
        </w:tc>
        <w:tc>
          <w:tcPr>
            <w:tcW w:w="405" w:type="pct"/>
            <w:tcBorders>
              <w:top w:val="nil"/>
              <w:left w:val="nil"/>
              <w:bottom w:val="single" w:sz="8" w:space="0" w:color="auto"/>
              <w:right w:val="single" w:sz="8" w:space="0" w:color="auto"/>
            </w:tcBorders>
            <w:shd w:val="clear" w:color="000000" w:fill="FFFFFF"/>
            <w:vAlign w:val="center"/>
            <w:hideMark/>
          </w:tcPr>
          <w:p w14:paraId="14C20C3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single" w:sz="8" w:space="0" w:color="auto"/>
              <w:right w:val="single" w:sz="8" w:space="0" w:color="auto"/>
            </w:tcBorders>
            <w:shd w:val="clear" w:color="000000" w:fill="FFFFFF"/>
            <w:vAlign w:val="center"/>
            <w:hideMark/>
          </w:tcPr>
          <w:p w14:paraId="735AE59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441" w:type="pct"/>
            <w:tcBorders>
              <w:top w:val="nil"/>
              <w:left w:val="nil"/>
              <w:bottom w:val="single" w:sz="8" w:space="0" w:color="auto"/>
              <w:right w:val="single" w:sz="8" w:space="0" w:color="auto"/>
            </w:tcBorders>
            <w:shd w:val="clear" w:color="000000" w:fill="FFFFFF"/>
            <w:vAlign w:val="center"/>
            <w:hideMark/>
          </w:tcPr>
          <w:p w14:paraId="0127466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367" w:type="pct"/>
            <w:tcBorders>
              <w:top w:val="nil"/>
              <w:left w:val="nil"/>
              <w:bottom w:val="single" w:sz="8" w:space="0" w:color="auto"/>
              <w:right w:val="single" w:sz="8" w:space="0" w:color="auto"/>
            </w:tcBorders>
            <w:shd w:val="clear" w:color="000000" w:fill="FFFFFF"/>
            <w:vAlign w:val="center"/>
            <w:hideMark/>
          </w:tcPr>
          <w:p w14:paraId="5AC57247" w14:textId="0BEFEE21"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BRE Capacity Development Unit established</w:t>
            </w:r>
          </w:p>
        </w:tc>
        <w:tc>
          <w:tcPr>
            <w:tcW w:w="392" w:type="pct"/>
            <w:tcBorders>
              <w:top w:val="nil"/>
              <w:left w:val="nil"/>
              <w:bottom w:val="single" w:sz="8" w:space="0" w:color="auto"/>
              <w:right w:val="single" w:sz="8" w:space="0" w:color="auto"/>
            </w:tcBorders>
            <w:shd w:val="clear" w:color="000000" w:fill="FFFFFF"/>
            <w:vAlign w:val="center"/>
            <w:hideMark/>
          </w:tcPr>
          <w:p w14:paraId="63BDEDDA" w14:textId="37AF18BB"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bottom"/>
            <w:hideMark/>
          </w:tcPr>
          <w:p w14:paraId="085AA442" w14:textId="7E033651" w:rsidR="00571EAF" w:rsidRPr="0014539F" w:rsidRDefault="00B36062" w:rsidP="00EC7F4A">
            <w:pPr>
              <w:spacing w:after="0" w:line="240" w:lineRule="auto"/>
              <w:rPr>
                <w:rFonts w:ascii="Times New Roman" w:eastAsia="Times New Roman" w:hAnsi="Times New Roman" w:cs="Times New Roman"/>
                <w:sz w:val="18"/>
                <w:szCs w:val="18"/>
              </w:rPr>
            </w:pPr>
            <w:r>
              <w:rPr>
                <w:rFonts w:ascii="Times New Roman" w:hAnsi="Times New Roman"/>
                <w:sz w:val="18"/>
              </w:rPr>
              <w:t xml:space="preserve">The Unit was established by approval of the ME’s internal regulation in March 2023. In February 2024, a civil servant from the Department of Energy (DE) was transferred into the Unit as a replacement for the Administrative Support Division. In December, the Head of the </w:t>
            </w:r>
            <w:r>
              <w:rPr>
                <w:rFonts w:ascii="Times New Roman" w:hAnsi="Times New Roman"/>
                <w:sz w:val="18"/>
              </w:rPr>
              <w:lastRenderedPageBreak/>
              <w:t>RES Project Implementation Unit was selected, and a Division Head for Administrative Support of RES Projects was also hired. The recruitment of the Division Head for Technical Support of RES Projects is in progress.</w:t>
            </w:r>
          </w:p>
        </w:tc>
      </w:tr>
      <w:tr w:rsidR="005D6B3A" w:rsidRPr="0086165A" w14:paraId="357869E5" w14:textId="77777777" w:rsidTr="002E72A1">
        <w:trPr>
          <w:trHeight w:val="2145"/>
        </w:trPr>
        <w:tc>
          <w:tcPr>
            <w:tcW w:w="232" w:type="pct"/>
            <w:tcBorders>
              <w:top w:val="nil"/>
              <w:left w:val="single" w:sz="8" w:space="0" w:color="auto"/>
              <w:bottom w:val="nil"/>
              <w:right w:val="single" w:sz="8" w:space="0" w:color="auto"/>
            </w:tcBorders>
            <w:shd w:val="clear" w:color="auto" w:fill="auto"/>
            <w:vAlign w:val="center"/>
            <w:hideMark/>
          </w:tcPr>
          <w:p w14:paraId="22329BD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II.2.10</w:t>
            </w:r>
          </w:p>
        </w:tc>
        <w:tc>
          <w:tcPr>
            <w:tcW w:w="458" w:type="pct"/>
            <w:tcBorders>
              <w:top w:val="nil"/>
              <w:left w:val="nil"/>
              <w:bottom w:val="single" w:sz="8" w:space="0" w:color="auto"/>
              <w:right w:val="single" w:sz="8" w:space="0" w:color="auto"/>
            </w:tcBorders>
            <w:shd w:val="clear" w:color="000000" w:fill="FFFFFF"/>
            <w:vAlign w:val="center"/>
            <w:hideMark/>
          </w:tcPr>
          <w:p w14:paraId="0A925A9C" w14:textId="6BC02198"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Construction of the 100 MW solar power plant in KEK</w:t>
            </w:r>
          </w:p>
        </w:tc>
        <w:tc>
          <w:tcPr>
            <w:tcW w:w="229" w:type="pct"/>
            <w:tcBorders>
              <w:top w:val="nil"/>
              <w:left w:val="nil"/>
              <w:bottom w:val="single" w:sz="8" w:space="0" w:color="auto"/>
              <w:right w:val="single" w:sz="8" w:space="0" w:color="auto"/>
            </w:tcBorders>
            <w:shd w:val="clear" w:color="000000" w:fill="FFFFFF"/>
            <w:vAlign w:val="center"/>
            <w:hideMark/>
          </w:tcPr>
          <w:p w14:paraId="2BAAC6A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76" w:type="pct"/>
            <w:tcBorders>
              <w:top w:val="nil"/>
              <w:left w:val="nil"/>
              <w:bottom w:val="single" w:sz="8" w:space="0" w:color="auto"/>
              <w:right w:val="single" w:sz="8" w:space="0" w:color="auto"/>
            </w:tcBorders>
            <w:shd w:val="clear" w:color="000000" w:fill="FFFFFF"/>
            <w:vAlign w:val="center"/>
            <w:hideMark/>
          </w:tcPr>
          <w:p w14:paraId="7F895AC5" w14:textId="77777777" w:rsidR="00835485"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51949092" w14:textId="605D8A23"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376" w:type="pct"/>
            <w:tcBorders>
              <w:top w:val="nil"/>
              <w:left w:val="nil"/>
              <w:bottom w:val="single" w:sz="8" w:space="0" w:color="auto"/>
              <w:right w:val="single" w:sz="8" w:space="0" w:color="auto"/>
            </w:tcBorders>
            <w:shd w:val="clear" w:color="000000" w:fill="FFFFFF"/>
            <w:vAlign w:val="center"/>
            <w:hideMark/>
          </w:tcPr>
          <w:p w14:paraId="4B7B13F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500,000.00 </w:t>
            </w:r>
          </w:p>
        </w:tc>
        <w:tc>
          <w:tcPr>
            <w:tcW w:w="402" w:type="pct"/>
            <w:tcBorders>
              <w:top w:val="nil"/>
              <w:left w:val="nil"/>
              <w:bottom w:val="single" w:sz="8" w:space="0" w:color="auto"/>
              <w:right w:val="single" w:sz="8" w:space="0" w:color="auto"/>
            </w:tcBorders>
            <w:shd w:val="clear" w:color="000000" w:fill="FFFFFF"/>
            <w:vAlign w:val="center"/>
            <w:hideMark/>
          </w:tcPr>
          <w:p w14:paraId="4BB8FBC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65,000,000.00 </w:t>
            </w:r>
          </w:p>
        </w:tc>
        <w:tc>
          <w:tcPr>
            <w:tcW w:w="405" w:type="pct"/>
            <w:tcBorders>
              <w:top w:val="nil"/>
              <w:left w:val="nil"/>
              <w:bottom w:val="single" w:sz="8" w:space="0" w:color="auto"/>
              <w:right w:val="single" w:sz="8" w:space="0" w:color="auto"/>
            </w:tcBorders>
            <w:shd w:val="clear" w:color="000000" w:fill="FFFFFF"/>
            <w:vAlign w:val="center"/>
            <w:hideMark/>
          </w:tcPr>
          <w:p w14:paraId="129F414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40,000,000.00 </w:t>
            </w:r>
          </w:p>
        </w:tc>
        <w:tc>
          <w:tcPr>
            <w:tcW w:w="398" w:type="pct"/>
            <w:tcBorders>
              <w:top w:val="nil"/>
              <w:left w:val="nil"/>
              <w:bottom w:val="nil"/>
              <w:right w:val="single" w:sz="8" w:space="0" w:color="auto"/>
            </w:tcBorders>
            <w:shd w:val="clear" w:color="000000" w:fill="FFFFFF"/>
            <w:vAlign w:val="center"/>
            <w:hideMark/>
          </w:tcPr>
          <w:p w14:paraId="0299228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10,000,000  € KEK</w:t>
            </w:r>
            <w:r>
              <w:rPr>
                <w:rFonts w:ascii="Times New Roman" w:hAnsi="Times New Roman"/>
                <w:sz w:val="18"/>
              </w:rPr>
              <w:br/>
              <w:t xml:space="preserve">Donation from </w:t>
            </w:r>
            <w:proofErr w:type="spellStart"/>
            <w:r>
              <w:rPr>
                <w:rFonts w:ascii="Times New Roman" w:hAnsi="Times New Roman"/>
                <w:sz w:val="18"/>
              </w:rPr>
              <w:t>KfW</w:t>
            </w:r>
            <w:proofErr w:type="spellEnd"/>
            <w:r>
              <w:rPr>
                <w:rFonts w:ascii="Times New Roman" w:hAnsi="Times New Roman"/>
                <w:sz w:val="18"/>
              </w:rPr>
              <w:t>, EIB</w:t>
            </w:r>
          </w:p>
        </w:tc>
        <w:tc>
          <w:tcPr>
            <w:tcW w:w="441" w:type="pct"/>
            <w:tcBorders>
              <w:top w:val="nil"/>
              <w:left w:val="nil"/>
              <w:bottom w:val="nil"/>
              <w:right w:val="single" w:sz="8" w:space="0" w:color="auto"/>
            </w:tcBorders>
            <w:shd w:val="clear" w:color="000000" w:fill="FFFFFF"/>
            <w:vAlign w:val="center"/>
            <w:hideMark/>
          </w:tcPr>
          <w:p w14:paraId="47CE830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KEK</w:t>
            </w:r>
          </w:p>
        </w:tc>
        <w:tc>
          <w:tcPr>
            <w:tcW w:w="367" w:type="pct"/>
            <w:tcBorders>
              <w:top w:val="nil"/>
              <w:left w:val="nil"/>
              <w:bottom w:val="nil"/>
              <w:right w:val="single" w:sz="8" w:space="0" w:color="auto"/>
            </w:tcBorders>
            <w:shd w:val="clear" w:color="000000" w:fill="FFFFFF"/>
            <w:vAlign w:val="center"/>
            <w:hideMark/>
          </w:tcPr>
          <w:p w14:paraId="5885E2FC" w14:textId="0E8F0D9B"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Construction of the 100 MW solar plant, which is expected to be operational in 2025</w:t>
            </w:r>
          </w:p>
        </w:tc>
        <w:tc>
          <w:tcPr>
            <w:tcW w:w="392" w:type="pct"/>
            <w:tcBorders>
              <w:top w:val="nil"/>
              <w:left w:val="nil"/>
              <w:bottom w:val="nil"/>
              <w:right w:val="single" w:sz="8" w:space="0" w:color="auto"/>
            </w:tcBorders>
            <w:shd w:val="clear" w:color="000000" w:fill="FFFFFF"/>
            <w:vAlign w:val="center"/>
            <w:hideMark/>
          </w:tcPr>
          <w:p w14:paraId="0B5E728A" w14:textId="77777777" w:rsidR="00937B03"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p w14:paraId="2361D1EA" w14:textId="2109ADD4"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t>KEK Development Strategy for the period 2021-2025.</w:t>
            </w:r>
          </w:p>
        </w:tc>
        <w:tc>
          <w:tcPr>
            <w:tcW w:w="922" w:type="pct"/>
            <w:tcBorders>
              <w:top w:val="nil"/>
              <w:left w:val="nil"/>
              <w:bottom w:val="single" w:sz="8" w:space="0" w:color="auto"/>
              <w:right w:val="single" w:sz="8" w:space="0" w:color="auto"/>
            </w:tcBorders>
            <w:shd w:val="clear" w:color="000000" w:fill="FFFFFF"/>
            <w:vAlign w:val="bottom"/>
            <w:hideMark/>
          </w:tcPr>
          <w:p w14:paraId="7ABEB4DA" w14:textId="219137F4"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 xml:space="preserve">In the process of being included in the Municipal Development Plan (MDP) – </w:t>
            </w:r>
            <w:proofErr w:type="spellStart"/>
            <w:r>
              <w:rPr>
                <w:rFonts w:ascii="Times New Roman" w:hAnsi="Times New Roman"/>
                <w:sz w:val="18"/>
              </w:rPr>
              <w:t>Fushe-Kosova</w:t>
            </w:r>
            <w:proofErr w:type="spellEnd"/>
            <w:r>
              <w:rPr>
                <w:rFonts w:ascii="Times New Roman" w:hAnsi="Times New Roman"/>
                <w:sz w:val="18"/>
              </w:rPr>
              <w:t xml:space="preserve"> Municipality and in the Zonal Maps – Municipality of </w:t>
            </w:r>
            <w:proofErr w:type="spellStart"/>
            <w:r>
              <w:rPr>
                <w:rFonts w:ascii="Times New Roman" w:hAnsi="Times New Roman"/>
                <w:sz w:val="18"/>
              </w:rPr>
              <w:t>Obiliq</w:t>
            </w:r>
            <w:proofErr w:type="spellEnd"/>
            <w:r>
              <w:rPr>
                <w:rFonts w:ascii="Times New Roman" w:hAnsi="Times New Roman"/>
                <w:sz w:val="18"/>
              </w:rPr>
              <w:t xml:space="preserve">. </w:t>
            </w:r>
          </w:p>
          <w:p w14:paraId="012D0DE7" w14:textId="77777777"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 xml:space="preserve">The selection process of the Implementation Consultant, who will prepare the tender dossier for the project implementation, is being completed. </w:t>
            </w:r>
          </w:p>
          <w:p w14:paraId="387B1064" w14:textId="5C47C500" w:rsidR="00B36062" w:rsidRPr="0014539F" w:rsidRDefault="00D5270C" w:rsidP="00B36062">
            <w:pPr>
              <w:spacing w:after="0" w:line="240" w:lineRule="auto"/>
              <w:rPr>
                <w:rFonts w:ascii="Times New Roman" w:eastAsia="Times New Roman" w:hAnsi="Times New Roman" w:cs="Times New Roman"/>
                <w:sz w:val="18"/>
                <w:szCs w:val="18"/>
              </w:rPr>
            </w:pPr>
            <w:r>
              <w:rPr>
                <w:rFonts w:ascii="Times New Roman" w:hAnsi="Times New Roman"/>
                <w:sz w:val="18"/>
              </w:rPr>
              <w:t xml:space="preserve">A loan agreement was signed with the EIB between the Ministry of Finance, </w:t>
            </w:r>
            <w:proofErr w:type="spellStart"/>
            <w:r>
              <w:rPr>
                <w:rFonts w:ascii="Times New Roman" w:hAnsi="Times New Roman"/>
                <w:sz w:val="18"/>
              </w:rPr>
              <w:t>Labour</w:t>
            </w:r>
            <w:proofErr w:type="spellEnd"/>
            <w:r>
              <w:rPr>
                <w:rFonts w:ascii="Times New Roman" w:hAnsi="Times New Roman"/>
                <w:sz w:val="18"/>
              </w:rPr>
              <w:t xml:space="preserve"> and Transfers (MFLT), KEK, and the EIB in March 2024. </w:t>
            </w:r>
          </w:p>
          <w:p w14:paraId="64308C04" w14:textId="485D6957" w:rsidR="00571EAF" w:rsidRPr="0086165A" w:rsidRDefault="004870DE" w:rsidP="00B36062">
            <w:pPr>
              <w:spacing w:after="0" w:line="240" w:lineRule="auto"/>
              <w:rPr>
                <w:rFonts w:ascii="Times New Roman" w:eastAsia="Times New Roman" w:hAnsi="Times New Roman" w:cs="Times New Roman"/>
                <w:sz w:val="18"/>
                <w:szCs w:val="18"/>
              </w:rPr>
            </w:pPr>
            <w:r>
              <w:rPr>
                <w:rFonts w:ascii="Times New Roman" w:hAnsi="Times New Roman"/>
                <w:sz w:val="18"/>
              </w:rPr>
              <w:t xml:space="preserve">The loan agreement with </w:t>
            </w:r>
            <w:proofErr w:type="spellStart"/>
            <w:r>
              <w:rPr>
                <w:rFonts w:ascii="Times New Roman" w:hAnsi="Times New Roman"/>
                <w:sz w:val="18"/>
              </w:rPr>
              <w:t>KfW</w:t>
            </w:r>
            <w:proofErr w:type="spellEnd"/>
            <w:r>
              <w:rPr>
                <w:rFonts w:ascii="Times New Roman" w:hAnsi="Times New Roman"/>
                <w:sz w:val="18"/>
              </w:rPr>
              <w:t xml:space="preserve"> was ratified in the Assembly of the Republic of Kosovo in June 2024.</w:t>
            </w:r>
            <w:r>
              <w:rPr>
                <w:rFonts w:ascii="Times New Roman" w:hAnsi="Times New Roman"/>
                <w:sz w:val="18"/>
              </w:rPr>
              <w:br/>
            </w:r>
            <w:r>
              <w:rPr>
                <w:rFonts w:ascii="Times New Roman" w:hAnsi="Times New Roman"/>
                <w:sz w:val="18"/>
              </w:rPr>
              <w:br/>
              <w:t>In August 2024, a sub-loan agreement for the loan  and grant was signed with the Ministry of Finance.</w:t>
            </w:r>
            <w:r>
              <w:rPr>
                <w:rFonts w:ascii="Times New Roman" w:hAnsi="Times New Roman"/>
                <w:sz w:val="18"/>
              </w:rPr>
              <w:br/>
            </w:r>
            <w:r>
              <w:rPr>
                <w:rFonts w:ascii="Times New Roman" w:hAnsi="Times New Roman"/>
                <w:sz w:val="18"/>
              </w:rPr>
              <w:br/>
              <w:t xml:space="preserve">In October 2024, the consulting firm was selected to prepare the tender dossier and supervise project implementation.           </w:t>
            </w:r>
          </w:p>
        </w:tc>
      </w:tr>
      <w:tr w:rsidR="005D6B3A" w:rsidRPr="0086165A" w14:paraId="6337C7D7" w14:textId="77777777" w:rsidTr="002E72A1">
        <w:trPr>
          <w:trHeight w:val="2580"/>
        </w:trPr>
        <w:tc>
          <w:tcPr>
            <w:tcW w:w="23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783340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II.2.11</w:t>
            </w:r>
          </w:p>
        </w:tc>
        <w:tc>
          <w:tcPr>
            <w:tcW w:w="458" w:type="pct"/>
            <w:tcBorders>
              <w:top w:val="nil"/>
              <w:left w:val="nil"/>
              <w:bottom w:val="nil"/>
              <w:right w:val="nil"/>
            </w:tcBorders>
            <w:shd w:val="clear" w:color="000000" w:fill="FFFFFF"/>
            <w:vAlign w:val="center"/>
            <w:hideMark/>
          </w:tcPr>
          <w:p w14:paraId="2F6F04F3" w14:textId="714D9A06"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Feasibility study for identification of public lands suitable for PV and wind (third phase)</w:t>
            </w:r>
          </w:p>
        </w:tc>
        <w:tc>
          <w:tcPr>
            <w:tcW w:w="229" w:type="pct"/>
            <w:tcBorders>
              <w:top w:val="nil"/>
              <w:left w:val="single" w:sz="8" w:space="0" w:color="auto"/>
              <w:bottom w:val="single" w:sz="8" w:space="0" w:color="auto"/>
              <w:right w:val="single" w:sz="8" w:space="0" w:color="auto"/>
            </w:tcBorders>
            <w:shd w:val="clear" w:color="000000" w:fill="FFFFFF"/>
            <w:vAlign w:val="center"/>
            <w:hideMark/>
          </w:tcPr>
          <w:p w14:paraId="511D980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76" w:type="pct"/>
            <w:tcBorders>
              <w:top w:val="nil"/>
              <w:left w:val="nil"/>
              <w:bottom w:val="single" w:sz="8" w:space="0" w:color="auto"/>
              <w:right w:val="single" w:sz="8" w:space="0" w:color="auto"/>
            </w:tcBorders>
            <w:shd w:val="clear" w:color="000000" w:fill="FFFFFF"/>
            <w:vAlign w:val="center"/>
            <w:hideMark/>
          </w:tcPr>
          <w:p w14:paraId="68565C73" w14:textId="77777777" w:rsidR="00AC290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775EDFEB" w14:textId="10D2215B"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376" w:type="pct"/>
            <w:tcBorders>
              <w:top w:val="nil"/>
              <w:left w:val="nil"/>
              <w:bottom w:val="single" w:sz="8" w:space="0" w:color="auto"/>
              <w:right w:val="single" w:sz="8" w:space="0" w:color="auto"/>
            </w:tcBorders>
            <w:shd w:val="clear" w:color="000000" w:fill="FFFFFF"/>
            <w:vAlign w:val="center"/>
            <w:hideMark/>
          </w:tcPr>
          <w:p w14:paraId="0DC1393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299,000.00 </w:t>
            </w:r>
          </w:p>
        </w:tc>
        <w:tc>
          <w:tcPr>
            <w:tcW w:w="402" w:type="pct"/>
            <w:tcBorders>
              <w:top w:val="nil"/>
              <w:left w:val="nil"/>
              <w:bottom w:val="single" w:sz="8" w:space="0" w:color="auto"/>
              <w:right w:val="single" w:sz="8" w:space="0" w:color="auto"/>
            </w:tcBorders>
            <w:shd w:val="clear" w:color="000000" w:fill="FFFFFF"/>
            <w:vAlign w:val="center"/>
            <w:hideMark/>
          </w:tcPr>
          <w:p w14:paraId="48BD2D7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405" w:type="pct"/>
            <w:tcBorders>
              <w:top w:val="nil"/>
              <w:left w:val="nil"/>
              <w:bottom w:val="single" w:sz="8" w:space="0" w:color="auto"/>
              <w:right w:val="single" w:sz="8" w:space="0" w:color="auto"/>
            </w:tcBorders>
            <w:shd w:val="clear" w:color="000000" w:fill="FFFFFF"/>
            <w:vAlign w:val="center"/>
            <w:hideMark/>
          </w:tcPr>
          <w:p w14:paraId="1C867F2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single" w:sz="8" w:space="0" w:color="auto"/>
              <w:left w:val="nil"/>
              <w:bottom w:val="single" w:sz="8" w:space="0" w:color="auto"/>
              <w:right w:val="single" w:sz="8" w:space="0" w:color="auto"/>
            </w:tcBorders>
            <w:shd w:val="clear" w:color="000000" w:fill="FFFFFF"/>
            <w:vAlign w:val="center"/>
            <w:hideMark/>
          </w:tcPr>
          <w:p w14:paraId="6EC7FEB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European Commission</w:t>
            </w:r>
          </w:p>
        </w:tc>
        <w:tc>
          <w:tcPr>
            <w:tcW w:w="441" w:type="pct"/>
            <w:tcBorders>
              <w:top w:val="single" w:sz="8" w:space="0" w:color="auto"/>
              <w:left w:val="nil"/>
              <w:bottom w:val="single" w:sz="8" w:space="0" w:color="auto"/>
              <w:right w:val="single" w:sz="8" w:space="0" w:color="auto"/>
            </w:tcBorders>
            <w:shd w:val="clear" w:color="000000" w:fill="FFFFFF"/>
            <w:vAlign w:val="center"/>
            <w:hideMark/>
          </w:tcPr>
          <w:p w14:paraId="0983714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ME, MESPI  </w:t>
            </w:r>
          </w:p>
        </w:tc>
        <w:tc>
          <w:tcPr>
            <w:tcW w:w="367" w:type="pct"/>
            <w:tcBorders>
              <w:top w:val="single" w:sz="8" w:space="0" w:color="auto"/>
              <w:left w:val="nil"/>
              <w:bottom w:val="single" w:sz="8" w:space="0" w:color="auto"/>
              <w:right w:val="single" w:sz="8" w:space="0" w:color="auto"/>
            </w:tcBorders>
            <w:shd w:val="clear" w:color="000000" w:fill="FFFFFF"/>
            <w:vAlign w:val="center"/>
            <w:hideMark/>
          </w:tcPr>
          <w:p w14:paraId="129D464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Assessment of appropriate publicly-owned RES locations</w:t>
            </w:r>
          </w:p>
        </w:tc>
        <w:tc>
          <w:tcPr>
            <w:tcW w:w="392" w:type="pct"/>
            <w:tcBorders>
              <w:top w:val="single" w:sz="8" w:space="0" w:color="auto"/>
              <w:left w:val="nil"/>
              <w:bottom w:val="single" w:sz="8" w:space="0" w:color="auto"/>
              <w:right w:val="single" w:sz="8" w:space="0" w:color="auto"/>
            </w:tcBorders>
            <w:shd w:val="clear" w:color="000000" w:fill="FFFFFF"/>
            <w:vAlign w:val="center"/>
            <w:hideMark/>
          </w:tcPr>
          <w:p w14:paraId="369EB078"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bottom"/>
            <w:hideMark/>
          </w:tcPr>
          <w:p w14:paraId="00E4C3CA" w14:textId="77777777" w:rsidR="00571EAF" w:rsidRPr="00D94C33" w:rsidRDefault="00571EAF" w:rsidP="00571EAF">
            <w:pPr>
              <w:spacing w:after="0" w:line="240" w:lineRule="auto"/>
              <w:rPr>
                <w:rFonts w:ascii="Times New Roman" w:eastAsia="Times New Roman" w:hAnsi="Times New Roman" w:cs="Times New Roman"/>
                <w:sz w:val="20"/>
                <w:szCs w:val="20"/>
              </w:rPr>
            </w:pPr>
            <w:r>
              <w:rPr>
                <w:rFonts w:ascii="Times New Roman" w:hAnsi="Times New Roman"/>
                <w:sz w:val="20"/>
              </w:rPr>
              <w:t> </w:t>
            </w:r>
          </w:p>
        </w:tc>
      </w:tr>
      <w:tr w:rsidR="005D6B3A" w:rsidRPr="0086165A" w14:paraId="62D98CFC" w14:textId="77777777" w:rsidTr="002E72A1">
        <w:trPr>
          <w:trHeight w:val="3850"/>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6DFA6A6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II.2.12</w:t>
            </w:r>
          </w:p>
        </w:tc>
        <w:tc>
          <w:tcPr>
            <w:tcW w:w="458" w:type="pct"/>
            <w:tcBorders>
              <w:top w:val="single" w:sz="8" w:space="0" w:color="auto"/>
              <w:left w:val="nil"/>
              <w:bottom w:val="single" w:sz="8" w:space="0" w:color="auto"/>
              <w:right w:val="single" w:sz="8" w:space="0" w:color="auto"/>
            </w:tcBorders>
            <w:shd w:val="clear" w:color="000000" w:fill="FFFFFF"/>
            <w:vAlign w:val="center"/>
            <w:hideMark/>
          </w:tcPr>
          <w:p w14:paraId="3AD1F5C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Preparatory work for launching the second technology-specific auction</w:t>
            </w:r>
          </w:p>
        </w:tc>
        <w:tc>
          <w:tcPr>
            <w:tcW w:w="229" w:type="pct"/>
            <w:tcBorders>
              <w:top w:val="nil"/>
              <w:left w:val="nil"/>
              <w:bottom w:val="single" w:sz="8" w:space="0" w:color="auto"/>
              <w:right w:val="single" w:sz="8" w:space="0" w:color="auto"/>
            </w:tcBorders>
            <w:shd w:val="clear" w:color="000000" w:fill="FFFFFF"/>
            <w:vAlign w:val="center"/>
            <w:hideMark/>
          </w:tcPr>
          <w:p w14:paraId="23CE717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2023-2024</w:t>
            </w:r>
          </w:p>
        </w:tc>
        <w:tc>
          <w:tcPr>
            <w:tcW w:w="376" w:type="pct"/>
            <w:tcBorders>
              <w:top w:val="nil"/>
              <w:left w:val="nil"/>
              <w:bottom w:val="single" w:sz="8" w:space="0" w:color="auto"/>
              <w:right w:val="single" w:sz="8" w:space="0" w:color="auto"/>
            </w:tcBorders>
            <w:shd w:val="clear" w:color="000000" w:fill="FFFFFF"/>
            <w:vAlign w:val="center"/>
            <w:hideMark/>
          </w:tcPr>
          <w:p w14:paraId="41E4A9F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376" w:type="pct"/>
            <w:tcBorders>
              <w:top w:val="nil"/>
              <w:left w:val="nil"/>
              <w:bottom w:val="single" w:sz="8" w:space="0" w:color="auto"/>
              <w:right w:val="single" w:sz="8" w:space="0" w:color="auto"/>
            </w:tcBorders>
            <w:shd w:val="clear" w:color="000000" w:fill="FFFFFF"/>
            <w:vAlign w:val="center"/>
            <w:hideMark/>
          </w:tcPr>
          <w:p w14:paraId="7C59559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9,000.00 </w:t>
            </w:r>
          </w:p>
        </w:tc>
        <w:tc>
          <w:tcPr>
            <w:tcW w:w="402" w:type="pct"/>
            <w:tcBorders>
              <w:top w:val="nil"/>
              <w:left w:val="nil"/>
              <w:bottom w:val="single" w:sz="8" w:space="0" w:color="auto"/>
              <w:right w:val="single" w:sz="8" w:space="0" w:color="auto"/>
            </w:tcBorders>
            <w:shd w:val="clear" w:color="000000" w:fill="FFFFFF"/>
            <w:vAlign w:val="center"/>
            <w:hideMark/>
          </w:tcPr>
          <w:p w14:paraId="0A35CBD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9,000.00 </w:t>
            </w:r>
          </w:p>
        </w:tc>
        <w:tc>
          <w:tcPr>
            <w:tcW w:w="405" w:type="pct"/>
            <w:tcBorders>
              <w:top w:val="nil"/>
              <w:left w:val="nil"/>
              <w:bottom w:val="single" w:sz="8" w:space="0" w:color="auto"/>
              <w:right w:val="single" w:sz="8" w:space="0" w:color="auto"/>
            </w:tcBorders>
            <w:shd w:val="clear" w:color="000000" w:fill="FFFFFF"/>
            <w:vAlign w:val="center"/>
            <w:hideMark/>
          </w:tcPr>
          <w:p w14:paraId="4CDAABB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single" w:sz="8" w:space="0" w:color="auto"/>
              <w:right w:val="single" w:sz="8" w:space="0" w:color="auto"/>
            </w:tcBorders>
            <w:shd w:val="clear" w:color="000000" w:fill="FFFFFF"/>
            <w:vAlign w:val="center"/>
            <w:hideMark/>
          </w:tcPr>
          <w:p w14:paraId="7BFB2BF3" w14:textId="169455DA"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Donors</w:t>
            </w:r>
          </w:p>
        </w:tc>
        <w:tc>
          <w:tcPr>
            <w:tcW w:w="441" w:type="pct"/>
            <w:tcBorders>
              <w:top w:val="nil"/>
              <w:left w:val="nil"/>
              <w:bottom w:val="single" w:sz="8" w:space="0" w:color="auto"/>
              <w:right w:val="single" w:sz="8" w:space="0" w:color="auto"/>
            </w:tcBorders>
            <w:shd w:val="clear" w:color="000000" w:fill="FFFFFF"/>
            <w:vAlign w:val="center"/>
            <w:hideMark/>
          </w:tcPr>
          <w:p w14:paraId="6DD2159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367" w:type="pct"/>
            <w:tcBorders>
              <w:top w:val="nil"/>
              <w:left w:val="nil"/>
              <w:bottom w:val="single" w:sz="8" w:space="0" w:color="auto"/>
              <w:right w:val="single" w:sz="8" w:space="0" w:color="auto"/>
            </w:tcBorders>
            <w:shd w:val="clear" w:color="000000" w:fill="FFFFFF"/>
            <w:vAlign w:val="center"/>
            <w:hideMark/>
          </w:tcPr>
          <w:p w14:paraId="2F94307B"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Drafting the Tender Dossier and Announcing the Auction</w:t>
            </w:r>
          </w:p>
        </w:tc>
        <w:tc>
          <w:tcPr>
            <w:tcW w:w="392" w:type="pct"/>
            <w:tcBorders>
              <w:top w:val="nil"/>
              <w:left w:val="nil"/>
              <w:bottom w:val="single" w:sz="8" w:space="0" w:color="auto"/>
              <w:right w:val="single" w:sz="8" w:space="0" w:color="auto"/>
            </w:tcBorders>
            <w:shd w:val="clear" w:color="000000" w:fill="FFFFFF"/>
            <w:vAlign w:val="center"/>
            <w:hideMark/>
          </w:tcPr>
          <w:p w14:paraId="6314AFAE"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bottom"/>
            <w:hideMark/>
          </w:tcPr>
          <w:p w14:paraId="2BA48D9D" w14:textId="49E4F392" w:rsidR="00571EAF" w:rsidRPr="0086165A" w:rsidRDefault="00B36062" w:rsidP="0016786A">
            <w:pPr>
              <w:spacing w:after="0" w:line="240" w:lineRule="auto"/>
              <w:rPr>
                <w:rFonts w:ascii="Times New Roman" w:eastAsia="Times New Roman" w:hAnsi="Times New Roman" w:cs="Times New Roman"/>
                <w:sz w:val="18"/>
                <w:szCs w:val="18"/>
              </w:rPr>
            </w:pPr>
            <w:r>
              <w:rPr>
                <w:rFonts w:ascii="Times New Roman" w:hAnsi="Times New Roman"/>
                <w:sz w:val="18"/>
              </w:rPr>
              <w:t xml:space="preserve">With the support of the International Finance Corporation (IFC) as the main transaction advisor and USAID, the Government of the Republic of Kosovo (GRK) plans to initiate new competitive projects for building 150 MW of wind energy capacities during 2024. The first project is expected to be announced this year, and the second project is expected to be published next year. Each project is foreseen to have a capacity of around 75 MW, but this may be lower or higher depending on competition and the capacity levels offered. The tender documentation and the scheme will be prepared in the coming months, proposed, and addressed under the Public-Private Partnership (PPP) Committee. Construction of 150 MW wind capacities will be divided into two (2) competitive processes and will offer power purchase agreements for at least fifteen (15) years. In this way, it is intended to ensure competition while enabling the utilization of reliable existing data on wind measurements to optimize and select locations for the feasibility of the projects. The projects are planned to include a Public-Private Partnership (PPP) component, which will be the first time such a project is carried out in the region. On 23.04.2024, the Ministry of Economy (ME) submitted a request to the Energy Regulatory Office (ERO) to evaluate the attainment of RES targets and Strategy objectives through authorization procedures. Afterward, on 31.05.2024, the Board of the Energy Regulatory Office (ERO) </w:t>
            </w:r>
            <w:r>
              <w:rPr>
                <w:rFonts w:ascii="Times New Roman" w:hAnsi="Times New Roman"/>
                <w:sz w:val="18"/>
              </w:rPr>
              <w:lastRenderedPageBreak/>
              <w:t>decided that the 150 MW wind auction project would not be subject to the authorization procedure and will be implemented in accordance with the Law on Public-Private Partnership (PPP). On 10.07.2024, a decision was made authorizing the start of tendering procedures for constructing new wind generation capacities and providing support for these capacities up to 150 MW. On 21.11.2024, a decision was made approving the commencement of the competitive process for wind-based renewable energy. In December 2024, the first auction was opened for constructing 100 MW of wind energy capacities. We are in the process of receiving proposals from potential investors who have expressed interest through the official RES portal. During this period, communication has been carried out with interested parties intending to apply for the wind auction of up to 100 MW according to the official announcement. So far, fifteen (15) companies have requested qualification requirements via email in the virtual data room. Meanwhile, we have received various questions that have been addressed with IFC’s support, and they have been periodically published in the virtual data room.</w:t>
            </w:r>
          </w:p>
        </w:tc>
      </w:tr>
      <w:tr w:rsidR="005D6B3A" w:rsidRPr="0086165A" w14:paraId="76BFA0F4" w14:textId="77777777" w:rsidTr="002E72A1">
        <w:trPr>
          <w:trHeight w:val="1035"/>
        </w:trPr>
        <w:tc>
          <w:tcPr>
            <w:tcW w:w="232" w:type="pct"/>
            <w:tcBorders>
              <w:top w:val="nil"/>
              <w:left w:val="single" w:sz="8" w:space="0" w:color="auto"/>
              <w:bottom w:val="single" w:sz="8" w:space="0" w:color="auto"/>
              <w:right w:val="single" w:sz="8" w:space="0" w:color="auto"/>
            </w:tcBorders>
            <w:shd w:val="clear" w:color="000000" w:fill="FFFFFF"/>
            <w:vAlign w:val="center"/>
            <w:hideMark/>
          </w:tcPr>
          <w:p w14:paraId="4F028E4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II.2.13</w:t>
            </w:r>
          </w:p>
        </w:tc>
        <w:tc>
          <w:tcPr>
            <w:tcW w:w="458" w:type="pct"/>
            <w:tcBorders>
              <w:top w:val="nil"/>
              <w:left w:val="nil"/>
              <w:bottom w:val="single" w:sz="8" w:space="0" w:color="auto"/>
              <w:right w:val="single" w:sz="8" w:space="0" w:color="auto"/>
            </w:tcBorders>
            <w:shd w:val="clear" w:color="000000" w:fill="FFFFFF"/>
            <w:vAlign w:val="center"/>
            <w:hideMark/>
          </w:tcPr>
          <w:p w14:paraId="3019988E"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Support for wind generating capacities, including technical preparation of specific projects </w:t>
            </w:r>
          </w:p>
        </w:tc>
        <w:tc>
          <w:tcPr>
            <w:tcW w:w="229" w:type="pct"/>
            <w:tcBorders>
              <w:top w:val="nil"/>
              <w:left w:val="nil"/>
              <w:bottom w:val="single" w:sz="8" w:space="0" w:color="auto"/>
              <w:right w:val="single" w:sz="8" w:space="0" w:color="auto"/>
            </w:tcBorders>
            <w:shd w:val="clear" w:color="000000" w:fill="FFFFFF"/>
            <w:vAlign w:val="center"/>
            <w:hideMark/>
          </w:tcPr>
          <w:p w14:paraId="60FE5A1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76" w:type="pct"/>
            <w:tcBorders>
              <w:top w:val="nil"/>
              <w:left w:val="nil"/>
              <w:bottom w:val="single" w:sz="8" w:space="0" w:color="auto"/>
              <w:right w:val="single" w:sz="8" w:space="0" w:color="auto"/>
            </w:tcBorders>
            <w:shd w:val="clear" w:color="000000" w:fill="FFFFFF"/>
            <w:vAlign w:val="center"/>
            <w:hideMark/>
          </w:tcPr>
          <w:p w14:paraId="1B70F5BB" w14:textId="77777777" w:rsidR="00007B6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18D35B1C" w14:textId="0E9F9703"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376" w:type="pct"/>
            <w:tcBorders>
              <w:top w:val="nil"/>
              <w:left w:val="nil"/>
              <w:bottom w:val="single" w:sz="8" w:space="0" w:color="auto"/>
              <w:right w:val="single" w:sz="8" w:space="0" w:color="auto"/>
            </w:tcBorders>
            <w:shd w:val="clear" w:color="000000" w:fill="FFFFFF"/>
            <w:vAlign w:val="center"/>
            <w:hideMark/>
          </w:tcPr>
          <w:p w14:paraId="7F5AF57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500,000.00 </w:t>
            </w:r>
          </w:p>
        </w:tc>
        <w:tc>
          <w:tcPr>
            <w:tcW w:w="402" w:type="pct"/>
            <w:tcBorders>
              <w:top w:val="nil"/>
              <w:left w:val="nil"/>
              <w:bottom w:val="single" w:sz="8" w:space="0" w:color="auto"/>
              <w:right w:val="single" w:sz="8" w:space="0" w:color="auto"/>
            </w:tcBorders>
            <w:shd w:val="clear" w:color="000000" w:fill="FFFFFF"/>
            <w:vAlign w:val="center"/>
            <w:hideMark/>
          </w:tcPr>
          <w:p w14:paraId="5F87F48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1,000,000.00 </w:t>
            </w:r>
          </w:p>
        </w:tc>
        <w:tc>
          <w:tcPr>
            <w:tcW w:w="405" w:type="pct"/>
            <w:tcBorders>
              <w:top w:val="nil"/>
              <w:left w:val="nil"/>
              <w:bottom w:val="single" w:sz="8" w:space="0" w:color="auto"/>
              <w:right w:val="single" w:sz="8" w:space="0" w:color="auto"/>
            </w:tcBorders>
            <w:shd w:val="clear" w:color="000000" w:fill="FFFFFF"/>
            <w:vAlign w:val="center"/>
            <w:hideMark/>
          </w:tcPr>
          <w:p w14:paraId="7DBDBE1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500,000.00 </w:t>
            </w:r>
          </w:p>
        </w:tc>
        <w:tc>
          <w:tcPr>
            <w:tcW w:w="398" w:type="pct"/>
            <w:tcBorders>
              <w:top w:val="nil"/>
              <w:left w:val="nil"/>
              <w:bottom w:val="single" w:sz="8" w:space="0" w:color="auto"/>
              <w:right w:val="single" w:sz="8" w:space="0" w:color="auto"/>
            </w:tcBorders>
            <w:shd w:val="clear" w:color="000000" w:fill="FFFFFF"/>
            <w:vAlign w:val="center"/>
            <w:hideMark/>
          </w:tcPr>
          <w:p w14:paraId="733204F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441" w:type="pct"/>
            <w:tcBorders>
              <w:top w:val="nil"/>
              <w:left w:val="nil"/>
              <w:bottom w:val="single" w:sz="8" w:space="0" w:color="auto"/>
              <w:right w:val="single" w:sz="8" w:space="0" w:color="auto"/>
            </w:tcBorders>
            <w:shd w:val="clear" w:color="000000" w:fill="FFFFFF"/>
            <w:vAlign w:val="center"/>
            <w:hideMark/>
          </w:tcPr>
          <w:p w14:paraId="60F47F2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367" w:type="pct"/>
            <w:tcBorders>
              <w:top w:val="nil"/>
              <w:left w:val="nil"/>
              <w:bottom w:val="single" w:sz="8" w:space="0" w:color="auto"/>
              <w:right w:val="single" w:sz="8" w:space="0" w:color="auto"/>
            </w:tcBorders>
            <w:shd w:val="clear" w:color="000000" w:fill="FFFFFF"/>
            <w:vAlign w:val="center"/>
            <w:hideMark/>
          </w:tcPr>
          <w:p w14:paraId="1EBF8AE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Technical studies, wind measuring equipment and other relevant technical assistance</w:t>
            </w:r>
          </w:p>
        </w:tc>
        <w:tc>
          <w:tcPr>
            <w:tcW w:w="392" w:type="pct"/>
            <w:tcBorders>
              <w:top w:val="nil"/>
              <w:left w:val="nil"/>
              <w:bottom w:val="single" w:sz="8" w:space="0" w:color="auto"/>
              <w:right w:val="single" w:sz="8" w:space="0" w:color="auto"/>
            </w:tcBorders>
            <w:shd w:val="clear" w:color="000000" w:fill="FFFFFF"/>
            <w:vAlign w:val="center"/>
            <w:hideMark/>
          </w:tcPr>
          <w:p w14:paraId="3541C565" w14:textId="57A8B44E"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922" w:type="pct"/>
            <w:tcBorders>
              <w:top w:val="nil"/>
              <w:left w:val="nil"/>
              <w:bottom w:val="single" w:sz="8" w:space="0" w:color="auto"/>
              <w:right w:val="single" w:sz="8" w:space="0" w:color="auto"/>
            </w:tcBorders>
            <w:shd w:val="clear" w:color="000000" w:fill="FFFFFF"/>
            <w:noWrap/>
            <w:vAlign w:val="bottom"/>
            <w:hideMark/>
          </w:tcPr>
          <w:p w14:paraId="373E93FA" w14:textId="777D39F5" w:rsidR="00571EAF" w:rsidRPr="00BC270C" w:rsidRDefault="00571EAF" w:rsidP="00571EAF">
            <w:pPr>
              <w:spacing w:after="0" w:line="240" w:lineRule="auto"/>
              <w:rPr>
                <w:rFonts w:ascii="Times New Roman" w:eastAsia="Times New Roman" w:hAnsi="Times New Roman" w:cs="Times New Roman"/>
                <w:sz w:val="18"/>
                <w:szCs w:val="20"/>
              </w:rPr>
            </w:pPr>
            <w:r>
              <w:rPr>
                <w:rFonts w:ascii="Times New Roman" w:hAnsi="Times New Roman"/>
                <w:sz w:val="18"/>
              </w:rPr>
              <w:t xml:space="preserve"> In December 2024, the Ministry of Economy (ME) launched the First Wind Auction with a capacity of 100 MW, with the support of the International Finance Corporation (IFC) and the United States Agency for International Development (USAID). This auction </w:t>
            </w:r>
            <w:r>
              <w:rPr>
                <w:rFonts w:ascii="Times New Roman" w:hAnsi="Times New Roman"/>
                <w:sz w:val="18"/>
              </w:rPr>
              <w:lastRenderedPageBreak/>
              <w:t>constitutes an important step toward meeting Kosovo’s renewable energy targets.</w:t>
            </w:r>
            <w:r>
              <w:rPr>
                <w:rFonts w:ascii="Times New Roman" w:hAnsi="Times New Roman"/>
                <w:sz w:val="18"/>
              </w:rPr>
              <w:br/>
            </w:r>
            <w:r>
              <w:rPr>
                <w:rFonts w:ascii="Times New Roman" w:hAnsi="Times New Roman"/>
                <w:sz w:val="18"/>
              </w:rPr>
              <w:br/>
              <w:t xml:space="preserve">During 2024, potential sites were analyzed by a wind energy expert engaged by the World Bank (WB). Based on his evaluation and expertise, four (4) locations were selected as most suitable for further study: </w:t>
            </w:r>
            <w:proofErr w:type="spellStart"/>
            <w:r>
              <w:rPr>
                <w:rFonts w:ascii="Times New Roman" w:hAnsi="Times New Roman"/>
                <w:sz w:val="18"/>
              </w:rPr>
              <w:t>Gjakova</w:t>
            </w:r>
            <w:proofErr w:type="spellEnd"/>
            <w:r>
              <w:rPr>
                <w:rFonts w:ascii="Times New Roman" w:hAnsi="Times New Roman"/>
                <w:sz w:val="18"/>
              </w:rPr>
              <w:t xml:space="preserve">, </w:t>
            </w:r>
            <w:proofErr w:type="spellStart"/>
            <w:r>
              <w:rPr>
                <w:rFonts w:ascii="Times New Roman" w:hAnsi="Times New Roman"/>
                <w:sz w:val="18"/>
              </w:rPr>
              <w:t>Kukavica</w:t>
            </w:r>
            <w:proofErr w:type="spellEnd"/>
            <w:r>
              <w:rPr>
                <w:rFonts w:ascii="Times New Roman" w:hAnsi="Times New Roman"/>
                <w:sz w:val="18"/>
              </w:rPr>
              <w:t xml:space="preserve">, </w:t>
            </w:r>
            <w:proofErr w:type="spellStart"/>
            <w:r>
              <w:rPr>
                <w:rFonts w:ascii="Times New Roman" w:hAnsi="Times New Roman"/>
                <w:sz w:val="18"/>
              </w:rPr>
              <w:t>Koshutova</w:t>
            </w:r>
            <w:proofErr w:type="spellEnd"/>
            <w:r>
              <w:rPr>
                <w:rFonts w:ascii="Times New Roman" w:hAnsi="Times New Roman"/>
                <w:sz w:val="18"/>
              </w:rPr>
              <w:t xml:space="preserve">, and </w:t>
            </w:r>
            <w:proofErr w:type="spellStart"/>
            <w:r>
              <w:rPr>
                <w:rFonts w:ascii="Times New Roman" w:hAnsi="Times New Roman"/>
                <w:sz w:val="18"/>
              </w:rPr>
              <w:t>Kamenica</w:t>
            </w:r>
            <w:proofErr w:type="spellEnd"/>
            <w:r>
              <w:rPr>
                <w:rFonts w:ascii="Times New Roman" w:hAnsi="Times New Roman"/>
                <w:sz w:val="18"/>
              </w:rPr>
              <w:t xml:space="preserve">. For the </w:t>
            </w:r>
            <w:proofErr w:type="spellStart"/>
            <w:r>
              <w:rPr>
                <w:rFonts w:ascii="Times New Roman" w:hAnsi="Times New Roman"/>
                <w:sz w:val="18"/>
              </w:rPr>
              <w:t>Gjakova</w:t>
            </w:r>
            <w:proofErr w:type="spellEnd"/>
            <w:r>
              <w:rPr>
                <w:rFonts w:ascii="Times New Roman" w:hAnsi="Times New Roman"/>
                <w:sz w:val="18"/>
              </w:rPr>
              <w:t xml:space="preserve"> location, parcels were identified based on graphic data received from the World Bank (WB) expert. The parcels were then filtered by ownership, taking into account only public properties. Regarding ownership, data was obtained from the </w:t>
            </w:r>
            <w:proofErr w:type="spellStart"/>
            <w:r>
              <w:rPr>
                <w:rFonts w:ascii="Times New Roman" w:hAnsi="Times New Roman"/>
                <w:sz w:val="18"/>
              </w:rPr>
              <w:t>Cadastre</w:t>
            </w:r>
            <w:proofErr w:type="spellEnd"/>
            <w:r>
              <w:rPr>
                <w:rFonts w:ascii="Times New Roman" w:hAnsi="Times New Roman"/>
                <w:sz w:val="18"/>
              </w:rPr>
              <w:t xml:space="preserve"> Directorate in the Municipality of </w:t>
            </w:r>
            <w:proofErr w:type="spellStart"/>
            <w:r>
              <w:rPr>
                <w:rFonts w:ascii="Times New Roman" w:hAnsi="Times New Roman"/>
                <w:sz w:val="18"/>
              </w:rPr>
              <w:t>Gjakova</w:t>
            </w:r>
            <w:proofErr w:type="spellEnd"/>
            <w:r>
              <w:rPr>
                <w:rFonts w:ascii="Times New Roman" w:hAnsi="Times New Roman"/>
                <w:sz w:val="18"/>
              </w:rPr>
              <w:t xml:space="preserve"> and from the Kosovo Cadastral Agency (KCA). Additionally, the polygon of this location was sent to the Kosovo Forest Agency (KFA) to verify whether there are existing lease contracts in that location with private investors. The Independent Commission for Mines and Minerals (ICMM) was also informed about the ME’s plans for these locations.</w:t>
            </w:r>
          </w:p>
        </w:tc>
      </w:tr>
      <w:tr w:rsidR="005D6B3A" w:rsidRPr="0086165A" w14:paraId="35AD6520" w14:textId="77777777" w:rsidTr="002E72A1">
        <w:trPr>
          <w:trHeight w:val="2250"/>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308EA74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II.2.14</w:t>
            </w:r>
          </w:p>
        </w:tc>
        <w:tc>
          <w:tcPr>
            <w:tcW w:w="458" w:type="pct"/>
            <w:tcBorders>
              <w:top w:val="nil"/>
              <w:left w:val="nil"/>
              <w:bottom w:val="single" w:sz="8" w:space="0" w:color="auto"/>
              <w:right w:val="single" w:sz="8" w:space="0" w:color="auto"/>
            </w:tcBorders>
            <w:shd w:val="clear" w:color="000000" w:fill="FFFFFF"/>
            <w:vAlign w:val="center"/>
            <w:hideMark/>
          </w:tcPr>
          <w:p w14:paraId="6BB330C4"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Promoting and facilitating the integration of Renewable Energy Sources and energy efficiency (EE) practices</w:t>
            </w:r>
          </w:p>
        </w:tc>
        <w:tc>
          <w:tcPr>
            <w:tcW w:w="229" w:type="pct"/>
            <w:tcBorders>
              <w:top w:val="nil"/>
              <w:left w:val="nil"/>
              <w:bottom w:val="single" w:sz="8" w:space="0" w:color="auto"/>
              <w:right w:val="single" w:sz="8" w:space="0" w:color="auto"/>
            </w:tcBorders>
            <w:shd w:val="clear" w:color="000000" w:fill="FFFFFF"/>
            <w:vAlign w:val="center"/>
            <w:hideMark/>
          </w:tcPr>
          <w:p w14:paraId="5462CC5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2026</w:t>
            </w:r>
          </w:p>
        </w:tc>
        <w:tc>
          <w:tcPr>
            <w:tcW w:w="376" w:type="pct"/>
            <w:tcBorders>
              <w:top w:val="nil"/>
              <w:left w:val="nil"/>
              <w:bottom w:val="single" w:sz="8" w:space="0" w:color="auto"/>
              <w:right w:val="nil"/>
            </w:tcBorders>
            <w:shd w:val="clear" w:color="000000" w:fill="FFFFFF"/>
            <w:noWrap/>
            <w:vAlign w:val="bottom"/>
            <w:hideMark/>
          </w:tcPr>
          <w:p w14:paraId="6D45BFE7"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376" w:type="pct"/>
            <w:tcBorders>
              <w:top w:val="nil"/>
              <w:left w:val="single" w:sz="8" w:space="0" w:color="auto"/>
              <w:bottom w:val="single" w:sz="8" w:space="0" w:color="auto"/>
              <w:right w:val="single" w:sz="8" w:space="0" w:color="auto"/>
            </w:tcBorders>
            <w:shd w:val="clear" w:color="000000" w:fill="FFFFFF"/>
            <w:vAlign w:val="center"/>
            <w:hideMark/>
          </w:tcPr>
          <w:p w14:paraId="27DFF7C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264,100.00 </w:t>
            </w:r>
          </w:p>
        </w:tc>
        <w:tc>
          <w:tcPr>
            <w:tcW w:w="402" w:type="pct"/>
            <w:tcBorders>
              <w:top w:val="nil"/>
              <w:left w:val="nil"/>
              <w:bottom w:val="single" w:sz="8" w:space="0" w:color="auto"/>
              <w:right w:val="single" w:sz="8" w:space="0" w:color="auto"/>
            </w:tcBorders>
            <w:shd w:val="clear" w:color="000000" w:fill="FFFFFF"/>
            <w:vAlign w:val="center"/>
            <w:hideMark/>
          </w:tcPr>
          <w:p w14:paraId="5630844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2,413,100.00 </w:t>
            </w:r>
          </w:p>
        </w:tc>
        <w:tc>
          <w:tcPr>
            <w:tcW w:w="405" w:type="pct"/>
            <w:tcBorders>
              <w:top w:val="nil"/>
              <w:left w:val="nil"/>
              <w:bottom w:val="single" w:sz="8" w:space="0" w:color="auto"/>
              <w:right w:val="single" w:sz="8" w:space="0" w:color="auto"/>
            </w:tcBorders>
            <w:shd w:val="clear" w:color="000000" w:fill="FFFFFF"/>
            <w:vAlign w:val="center"/>
            <w:hideMark/>
          </w:tcPr>
          <w:p w14:paraId="1E4E5CA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1,715,300.00 </w:t>
            </w:r>
          </w:p>
        </w:tc>
        <w:tc>
          <w:tcPr>
            <w:tcW w:w="398" w:type="pct"/>
            <w:tcBorders>
              <w:top w:val="nil"/>
              <w:left w:val="nil"/>
              <w:bottom w:val="single" w:sz="8" w:space="0" w:color="auto"/>
              <w:right w:val="single" w:sz="8" w:space="0" w:color="auto"/>
            </w:tcBorders>
            <w:shd w:val="clear" w:color="000000" w:fill="FFFFFF"/>
            <w:vAlign w:val="center"/>
            <w:hideMark/>
          </w:tcPr>
          <w:p w14:paraId="3F4423A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Lux Dev</w:t>
            </w:r>
          </w:p>
        </w:tc>
        <w:tc>
          <w:tcPr>
            <w:tcW w:w="441" w:type="pct"/>
            <w:tcBorders>
              <w:top w:val="nil"/>
              <w:left w:val="nil"/>
              <w:bottom w:val="single" w:sz="8" w:space="0" w:color="auto"/>
              <w:right w:val="single" w:sz="8" w:space="0" w:color="auto"/>
            </w:tcBorders>
            <w:shd w:val="clear" w:color="000000" w:fill="FFFFFF"/>
            <w:vAlign w:val="center"/>
            <w:hideMark/>
          </w:tcPr>
          <w:p w14:paraId="3418294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KFEE, MESPI</w:t>
            </w:r>
          </w:p>
        </w:tc>
        <w:tc>
          <w:tcPr>
            <w:tcW w:w="367" w:type="pct"/>
            <w:tcBorders>
              <w:top w:val="nil"/>
              <w:left w:val="nil"/>
              <w:bottom w:val="single" w:sz="8" w:space="0" w:color="auto"/>
              <w:right w:val="single" w:sz="8" w:space="0" w:color="auto"/>
            </w:tcBorders>
            <w:shd w:val="clear" w:color="000000" w:fill="FFFFFF"/>
            <w:vAlign w:val="center"/>
            <w:hideMark/>
          </w:tcPr>
          <w:p w14:paraId="1DF4C62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Implementation of EE &amp; RES measures, assisting in the design of the EE &amp; RES regulatory framework and ensuring access to financing mechanism</w:t>
            </w:r>
            <w:r>
              <w:rPr>
                <w:rFonts w:ascii="Times New Roman" w:hAnsi="Times New Roman"/>
                <w:sz w:val="18"/>
              </w:rPr>
              <w:lastRenderedPageBreak/>
              <w:t>s for small-scale RES and EE</w:t>
            </w:r>
          </w:p>
        </w:tc>
        <w:tc>
          <w:tcPr>
            <w:tcW w:w="392" w:type="pct"/>
            <w:tcBorders>
              <w:top w:val="nil"/>
              <w:left w:val="nil"/>
              <w:bottom w:val="single" w:sz="8" w:space="0" w:color="auto"/>
              <w:right w:val="single" w:sz="8" w:space="0" w:color="auto"/>
            </w:tcBorders>
            <w:shd w:val="clear" w:color="000000" w:fill="FFFFFF"/>
            <w:vAlign w:val="center"/>
            <w:hideMark/>
          </w:tcPr>
          <w:p w14:paraId="526206C7"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 xml:space="preserve">Energy Strategy for the period 2022-2031 </w:t>
            </w:r>
          </w:p>
        </w:tc>
        <w:tc>
          <w:tcPr>
            <w:tcW w:w="922" w:type="pct"/>
            <w:tcBorders>
              <w:top w:val="nil"/>
              <w:left w:val="nil"/>
              <w:bottom w:val="single" w:sz="8" w:space="0" w:color="auto"/>
              <w:right w:val="single" w:sz="8" w:space="0" w:color="auto"/>
            </w:tcBorders>
            <w:shd w:val="clear" w:color="000000" w:fill="FFFFFF"/>
            <w:vAlign w:val="bottom"/>
            <w:hideMark/>
          </w:tcPr>
          <w:p w14:paraId="2B7D4256" w14:textId="77777777" w:rsidR="003F390A" w:rsidRPr="00D94C33" w:rsidRDefault="003F390A" w:rsidP="00B36062">
            <w:pPr>
              <w:spacing w:after="0" w:line="240" w:lineRule="auto"/>
              <w:rPr>
                <w:rFonts w:ascii="Times New Roman" w:eastAsia="Times New Roman" w:hAnsi="Times New Roman" w:cs="Times New Roman"/>
                <w:sz w:val="18"/>
                <w:szCs w:val="18"/>
              </w:rPr>
            </w:pPr>
            <w:r>
              <w:rPr>
                <w:rFonts w:ascii="Times New Roman" w:hAnsi="Times New Roman"/>
                <w:sz w:val="18"/>
              </w:rPr>
              <w:t xml:space="preserve"> In November 2023, a Bilateral Agreement was signed between the Government of the Republic of Kosovo and the Government of the Grand Duchy of Luxembourg regarding the Development Cooperation Project.</w:t>
            </w:r>
          </w:p>
          <w:p w14:paraId="15AAE6DF" w14:textId="5A8AEF2E"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 xml:space="preserve"> “KSV/024: Energy Transition and Climate Mitigation in Kosovo.” This project is implemented by </w:t>
            </w:r>
            <w:proofErr w:type="spellStart"/>
            <w:r>
              <w:rPr>
                <w:rFonts w:ascii="Times New Roman" w:hAnsi="Times New Roman"/>
                <w:sz w:val="18"/>
              </w:rPr>
              <w:t>LuxDev</w:t>
            </w:r>
            <w:proofErr w:type="spellEnd"/>
            <w:r>
              <w:rPr>
                <w:rFonts w:ascii="Times New Roman" w:hAnsi="Times New Roman"/>
                <w:sz w:val="18"/>
              </w:rPr>
              <w:t xml:space="preserve">. The following are the main achievements during 2024: </w:t>
            </w:r>
          </w:p>
          <w:p w14:paraId="5867C609" w14:textId="77777777"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lastRenderedPageBreak/>
              <w:t>1. Institutional Strengthening and Regulatory Framework:</w:t>
            </w:r>
          </w:p>
          <w:p w14:paraId="20253CFC" w14:textId="69400CCC"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 Provision of technical and legal expertise to the Ministry of Economy (ME), supporting the creation of the Project Implementation Unit (PIU) to facilitate auction schemes for renewable energy.</w:t>
            </w:r>
          </w:p>
          <w:p w14:paraId="4FA150BC" w14:textId="5F10EDDC"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 Support in the development of the legal framework through an Administrative Instruction (AI) that has simplified the approval process for renewable energy capacities for households, SMEs, and public buildings, contributing to an increase of 17,811 kW of RES capacity—surpassing the 2024 target ahead of schedule.</w:t>
            </w:r>
          </w:p>
          <w:p w14:paraId="7AA3172E" w14:textId="364B73E7"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 Facilitating the creation of the Chamber of Engineers, resulting in the licensing of over eight hundred (800) engineers by the end of 2024.</w:t>
            </w:r>
          </w:p>
          <w:p w14:paraId="5DBD4C93" w14:textId="77777777" w:rsidR="00B36062"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2. Development of the Kosovo Energy Efficiency Fund (KEEF):</w:t>
            </w:r>
          </w:p>
          <w:p w14:paraId="422F8FD3" w14:textId="7165F03A" w:rsidR="00571EAF" w:rsidRPr="0014539F" w:rsidRDefault="00B36062" w:rsidP="00B36062">
            <w:pPr>
              <w:spacing w:after="0" w:line="240" w:lineRule="auto"/>
              <w:rPr>
                <w:rFonts w:ascii="Times New Roman" w:eastAsia="Times New Roman" w:hAnsi="Times New Roman" w:cs="Times New Roman"/>
                <w:sz w:val="18"/>
                <w:szCs w:val="18"/>
              </w:rPr>
            </w:pPr>
            <w:r>
              <w:rPr>
                <w:rFonts w:ascii="Times New Roman" w:hAnsi="Times New Roman"/>
                <w:sz w:val="18"/>
              </w:rPr>
              <w:t>• Successfully drafting the Business Plan (BP) for the Kosovo Energy Efficiency Fund (KEEF) for the period 2025–2027, setting strategic priorities to ensure financial independence, expand operations, and integrate digitalization into core functions.</w:t>
            </w:r>
          </w:p>
        </w:tc>
      </w:tr>
      <w:tr w:rsidR="00571EAF" w:rsidRPr="0086165A" w14:paraId="04814034" w14:textId="77777777" w:rsidTr="002E72A1">
        <w:trPr>
          <w:trHeight w:val="315"/>
        </w:trPr>
        <w:tc>
          <w:tcPr>
            <w:tcW w:w="232" w:type="pct"/>
            <w:tcBorders>
              <w:top w:val="nil"/>
              <w:left w:val="single" w:sz="8" w:space="0" w:color="auto"/>
              <w:bottom w:val="single" w:sz="8" w:space="0" w:color="auto"/>
              <w:right w:val="single" w:sz="8" w:space="0" w:color="auto"/>
            </w:tcBorders>
            <w:shd w:val="clear" w:color="000000" w:fill="D9D9D9"/>
            <w:vAlign w:val="center"/>
            <w:hideMark/>
          </w:tcPr>
          <w:p w14:paraId="580D3D70"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lastRenderedPageBreak/>
              <w:t>II.3</w:t>
            </w:r>
          </w:p>
        </w:tc>
        <w:tc>
          <w:tcPr>
            <w:tcW w:w="3846" w:type="pct"/>
            <w:gridSpan w:val="10"/>
            <w:tcBorders>
              <w:top w:val="single" w:sz="8" w:space="0" w:color="auto"/>
              <w:left w:val="nil"/>
              <w:bottom w:val="single" w:sz="8" w:space="0" w:color="auto"/>
              <w:right w:val="single" w:sz="8" w:space="0" w:color="000000"/>
            </w:tcBorders>
            <w:shd w:val="clear" w:color="000000" w:fill="D9D9D9"/>
            <w:vAlign w:val="center"/>
            <w:hideMark/>
          </w:tcPr>
          <w:p w14:paraId="0EFAD01A"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Promotion of sustainable use of renewable energy for heating</w:t>
            </w:r>
          </w:p>
        </w:tc>
        <w:tc>
          <w:tcPr>
            <w:tcW w:w="922" w:type="pct"/>
            <w:tcBorders>
              <w:top w:val="nil"/>
              <w:left w:val="nil"/>
              <w:bottom w:val="nil"/>
              <w:right w:val="nil"/>
            </w:tcBorders>
            <w:shd w:val="clear" w:color="auto" w:fill="auto"/>
            <w:noWrap/>
            <w:vAlign w:val="bottom"/>
            <w:hideMark/>
          </w:tcPr>
          <w:p w14:paraId="470E23D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0532B1" w:rsidRPr="0086165A" w14:paraId="41161F95" w14:textId="77777777" w:rsidTr="002E72A1">
        <w:trPr>
          <w:trHeight w:val="735"/>
        </w:trPr>
        <w:tc>
          <w:tcPr>
            <w:tcW w:w="232" w:type="pct"/>
            <w:tcBorders>
              <w:top w:val="nil"/>
              <w:left w:val="single" w:sz="8" w:space="0" w:color="auto"/>
              <w:bottom w:val="single" w:sz="8" w:space="0" w:color="auto"/>
              <w:right w:val="single" w:sz="8" w:space="0" w:color="auto"/>
            </w:tcBorders>
            <w:shd w:val="clear" w:color="000000" w:fill="D0CECE"/>
            <w:vAlign w:val="center"/>
            <w:hideMark/>
          </w:tcPr>
          <w:p w14:paraId="6D88C99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458" w:type="pct"/>
            <w:tcBorders>
              <w:top w:val="nil"/>
              <w:left w:val="nil"/>
              <w:bottom w:val="nil"/>
              <w:right w:val="single" w:sz="8" w:space="0" w:color="auto"/>
            </w:tcBorders>
            <w:shd w:val="clear" w:color="000000" w:fill="D0CECE"/>
            <w:vAlign w:val="center"/>
            <w:hideMark/>
          </w:tcPr>
          <w:p w14:paraId="33AB1A6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82" w:type="pct"/>
            <w:gridSpan w:val="3"/>
            <w:tcBorders>
              <w:top w:val="single" w:sz="8" w:space="0" w:color="auto"/>
              <w:left w:val="nil"/>
              <w:bottom w:val="single" w:sz="8" w:space="0" w:color="auto"/>
              <w:right w:val="nil"/>
            </w:tcBorders>
            <w:shd w:val="clear" w:color="000000" w:fill="D9D9D9"/>
            <w:vAlign w:val="center"/>
            <w:hideMark/>
          </w:tcPr>
          <w:p w14:paraId="4621764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808" w:type="pct"/>
            <w:gridSpan w:val="2"/>
            <w:tcBorders>
              <w:top w:val="single" w:sz="8" w:space="0" w:color="auto"/>
              <w:left w:val="single" w:sz="8" w:space="0" w:color="auto"/>
              <w:bottom w:val="single" w:sz="8" w:space="0" w:color="auto"/>
              <w:right w:val="nil"/>
            </w:tcBorders>
            <w:shd w:val="clear" w:color="000000" w:fill="D9D9D9"/>
            <w:vAlign w:val="center"/>
            <w:hideMark/>
          </w:tcPr>
          <w:p w14:paraId="0CC361D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398" w:type="pct"/>
            <w:tcBorders>
              <w:top w:val="nil"/>
              <w:left w:val="single" w:sz="8" w:space="0" w:color="auto"/>
              <w:bottom w:val="single" w:sz="8" w:space="0" w:color="auto"/>
              <w:right w:val="single" w:sz="8" w:space="0" w:color="auto"/>
            </w:tcBorders>
            <w:shd w:val="clear" w:color="000000" w:fill="D9D9D9"/>
            <w:vAlign w:val="center"/>
            <w:hideMark/>
          </w:tcPr>
          <w:p w14:paraId="3E8DBCC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201" w:type="pct"/>
            <w:gridSpan w:val="3"/>
            <w:tcBorders>
              <w:top w:val="single" w:sz="8" w:space="0" w:color="auto"/>
              <w:left w:val="nil"/>
              <w:bottom w:val="single" w:sz="8" w:space="0" w:color="auto"/>
              <w:right w:val="single" w:sz="8" w:space="0" w:color="000000"/>
            </w:tcBorders>
            <w:shd w:val="clear" w:color="000000" w:fill="D9D9D9"/>
            <w:vAlign w:val="center"/>
            <w:hideMark/>
          </w:tcPr>
          <w:p w14:paraId="5E906DF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922" w:type="pct"/>
            <w:tcBorders>
              <w:top w:val="nil"/>
              <w:left w:val="nil"/>
              <w:bottom w:val="nil"/>
              <w:right w:val="nil"/>
            </w:tcBorders>
            <w:shd w:val="clear" w:color="auto" w:fill="auto"/>
            <w:noWrap/>
            <w:vAlign w:val="bottom"/>
            <w:hideMark/>
          </w:tcPr>
          <w:p w14:paraId="65D8969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0532B1" w:rsidRPr="0086165A" w14:paraId="4EEA3D84" w14:textId="77777777" w:rsidTr="002E72A1">
        <w:trPr>
          <w:trHeight w:val="735"/>
        </w:trPr>
        <w:tc>
          <w:tcPr>
            <w:tcW w:w="232" w:type="pct"/>
            <w:tcBorders>
              <w:top w:val="nil"/>
              <w:left w:val="single" w:sz="8" w:space="0" w:color="auto"/>
              <w:bottom w:val="nil"/>
              <w:right w:val="single" w:sz="8" w:space="0" w:color="auto"/>
            </w:tcBorders>
            <w:shd w:val="clear" w:color="auto" w:fill="auto"/>
            <w:vAlign w:val="center"/>
            <w:hideMark/>
          </w:tcPr>
          <w:p w14:paraId="08C6733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58" w:type="pct"/>
            <w:tcBorders>
              <w:top w:val="single" w:sz="8" w:space="0" w:color="auto"/>
              <w:left w:val="nil"/>
              <w:bottom w:val="nil"/>
              <w:right w:val="single" w:sz="8" w:space="0" w:color="auto"/>
            </w:tcBorders>
            <w:shd w:val="clear" w:color="auto" w:fill="auto"/>
            <w:vAlign w:val="center"/>
            <w:hideMark/>
          </w:tcPr>
          <w:p w14:paraId="403EE7E3"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Installed capacity of RES in District Heating (DH) systems</w:t>
            </w:r>
          </w:p>
        </w:tc>
        <w:tc>
          <w:tcPr>
            <w:tcW w:w="982" w:type="pct"/>
            <w:gridSpan w:val="3"/>
            <w:tcBorders>
              <w:top w:val="single" w:sz="8" w:space="0" w:color="auto"/>
              <w:left w:val="nil"/>
              <w:bottom w:val="nil"/>
              <w:right w:val="single" w:sz="8" w:space="0" w:color="000000"/>
            </w:tcBorders>
            <w:shd w:val="clear" w:color="auto" w:fill="auto"/>
            <w:vAlign w:val="center"/>
            <w:hideMark/>
          </w:tcPr>
          <w:p w14:paraId="4852C05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15 </w:t>
            </w:r>
            <w:proofErr w:type="spellStart"/>
            <w:r>
              <w:rPr>
                <w:rFonts w:ascii="Times New Roman" w:hAnsi="Times New Roman"/>
                <w:sz w:val="18"/>
              </w:rPr>
              <w:t>MWth</w:t>
            </w:r>
            <w:proofErr w:type="spellEnd"/>
            <w:r>
              <w:rPr>
                <w:rFonts w:ascii="Times New Roman" w:hAnsi="Times New Roman"/>
                <w:sz w:val="18"/>
              </w:rPr>
              <w:t xml:space="preserve"> </w:t>
            </w:r>
          </w:p>
        </w:tc>
        <w:tc>
          <w:tcPr>
            <w:tcW w:w="808" w:type="pct"/>
            <w:gridSpan w:val="2"/>
            <w:tcBorders>
              <w:top w:val="single" w:sz="8" w:space="0" w:color="auto"/>
              <w:left w:val="nil"/>
              <w:bottom w:val="nil"/>
              <w:right w:val="single" w:sz="8" w:space="0" w:color="000000"/>
            </w:tcBorders>
            <w:shd w:val="clear" w:color="auto" w:fill="auto"/>
            <w:vAlign w:val="center"/>
            <w:hideMark/>
          </w:tcPr>
          <w:p w14:paraId="29A8968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Minimum 65 </w:t>
            </w:r>
            <w:proofErr w:type="spellStart"/>
            <w:r>
              <w:rPr>
                <w:rFonts w:ascii="Times New Roman" w:hAnsi="Times New Roman"/>
                <w:sz w:val="18"/>
              </w:rPr>
              <w:t>MWth</w:t>
            </w:r>
            <w:proofErr w:type="spellEnd"/>
          </w:p>
        </w:tc>
        <w:tc>
          <w:tcPr>
            <w:tcW w:w="398" w:type="pct"/>
            <w:tcBorders>
              <w:top w:val="nil"/>
              <w:left w:val="nil"/>
              <w:bottom w:val="nil"/>
              <w:right w:val="single" w:sz="8" w:space="0" w:color="auto"/>
            </w:tcBorders>
            <w:shd w:val="clear" w:color="auto" w:fill="auto"/>
            <w:vAlign w:val="center"/>
            <w:hideMark/>
          </w:tcPr>
          <w:p w14:paraId="43A38E3D" w14:textId="487F25B9"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To be determined </w:t>
            </w:r>
            <w:r>
              <w:rPr>
                <w:rFonts w:ascii="Times New Roman" w:hAnsi="Times New Roman"/>
                <w:sz w:val="18"/>
              </w:rPr>
              <w:br/>
              <w:t>by the feasibility study.</w:t>
            </w:r>
          </w:p>
        </w:tc>
        <w:tc>
          <w:tcPr>
            <w:tcW w:w="1201" w:type="pct"/>
            <w:gridSpan w:val="3"/>
            <w:tcBorders>
              <w:top w:val="single" w:sz="8" w:space="0" w:color="auto"/>
              <w:left w:val="nil"/>
              <w:bottom w:val="nil"/>
              <w:right w:val="single" w:sz="8" w:space="0" w:color="000000"/>
            </w:tcBorders>
            <w:shd w:val="clear" w:color="auto" w:fill="auto"/>
            <w:vAlign w:val="center"/>
            <w:hideMark/>
          </w:tcPr>
          <w:p w14:paraId="749481CA"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922" w:type="pct"/>
            <w:tcBorders>
              <w:top w:val="nil"/>
              <w:left w:val="nil"/>
              <w:bottom w:val="nil"/>
              <w:right w:val="nil"/>
            </w:tcBorders>
            <w:shd w:val="clear" w:color="auto" w:fill="auto"/>
            <w:noWrap/>
            <w:vAlign w:val="bottom"/>
            <w:hideMark/>
          </w:tcPr>
          <w:p w14:paraId="0044151A" w14:textId="77777777" w:rsidR="00571EAF" w:rsidRPr="006D6D77" w:rsidRDefault="00571EAF" w:rsidP="00571EAF">
            <w:pPr>
              <w:spacing w:after="0" w:line="240" w:lineRule="auto"/>
              <w:rPr>
                <w:rFonts w:ascii="Times New Roman" w:eastAsia="Times New Roman" w:hAnsi="Times New Roman" w:cs="Times New Roman"/>
                <w:sz w:val="18"/>
                <w:szCs w:val="18"/>
              </w:rPr>
            </w:pPr>
          </w:p>
        </w:tc>
      </w:tr>
      <w:tr w:rsidR="00405811" w:rsidRPr="0086165A" w14:paraId="471D1A1C" w14:textId="77777777" w:rsidTr="002E72A1">
        <w:trPr>
          <w:trHeight w:val="315"/>
        </w:trPr>
        <w:tc>
          <w:tcPr>
            <w:tcW w:w="23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B46DE3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5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8C72C4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2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BFBAE1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560" w:type="pct"/>
            <w:gridSpan w:val="4"/>
            <w:tcBorders>
              <w:top w:val="single" w:sz="8" w:space="0" w:color="auto"/>
              <w:left w:val="nil"/>
              <w:bottom w:val="single" w:sz="8" w:space="0" w:color="auto"/>
              <w:right w:val="nil"/>
            </w:tcBorders>
            <w:shd w:val="clear" w:color="000000" w:fill="D9D9D9"/>
            <w:vAlign w:val="center"/>
            <w:hideMark/>
          </w:tcPr>
          <w:p w14:paraId="1153591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58D96E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44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3E3FE8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36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CA95C1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9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83F85C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922"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7FCC4F7" w14:textId="7AC072AE" w:rsidR="00571EAF" w:rsidRPr="0086165A" w:rsidRDefault="000532B1" w:rsidP="005D6B3A">
            <w:pPr>
              <w:spacing w:after="0" w:line="240" w:lineRule="auto"/>
              <w:jc w:val="center"/>
              <w:rPr>
                <w:rFonts w:ascii="Times New Roman" w:eastAsia="Times New Roman" w:hAnsi="Times New Roman" w:cs="Times New Roman"/>
                <w:b/>
                <w:bCs/>
                <w:sz w:val="20"/>
                <w:szCs w:val="20"/>
              </w:rPr>
            </w:pPr>
            <w:r>
              <w:rPr>
                <w:rFonts w:ascii="Times New Roman" w:hAnsi="Times New Roman"/>
                <w:b/>
                <w:sz w:val="20"/>
              </w:rPr>
              <w:t>Implementation progress for 2024</w:t>
            </w:r>
          </w:p>
        </w:tc>
      </w:tr>
      <w:tr w:rsidR="005D6B3A" w:rsidRPr="0086165A" w14:paraId="3D1DB097" w14:textId="77777777" w:rsidTr="002E72A1">
        <w:trPr>
          <w:trHeight w:val="300"/>
        </w:trPr>
        <w:tc>
          <w:tcPr>
            <w:tcW w:w="232" w:type="pct"/>
            <w:vMerge/>
            <w:tcBorders>
              <w:top w:val="single" w:sz="8" w:space="0" w:color="auto"/>
              <w:left w:val="single" w:sz="8" w:space="0" w:color="auto"/>
              <w:bottom w:val="single" w:sz="8" w:space="0" w:color="000000"/>
              <w:right w:val="single" w:sz="8" w:space="0" w:color="auto"/>
            </w:tcBorders>
            <w:vAlign w:val="center"/>
            <w:hideMark/>
          </w:tcPr>
          <w:p w14:paraId="427F90F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32E94A0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9" w:type="pct"/>
            <w:vMerge/>
            <w:tcBorders>
              <w:top w:val="single" w:sz="8" w:space="0" w:color="auto"/>
              <w:left w:val="single" w:sz="8" w:space="0" w:color="auto"/>
              <w:bottom w:val="single" w:sz="8" w:space="0" w:color="000000"/>
              <w:right w:val="single" w:sz="8" w:space="0" w:color="auto"/>
            </w:tcBorders>
            <w:vAlign w:val="center"/>
            <w:hideMark/>
          </w:tcPr>
          <w:p w14:paraId="3ACA5A9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76" w:type="pct"/>
            <w:tcBorders>
              <w:top w:val="nil"/>
              <w:left w:val="nil"/>
              <w:bottom w:val="nil"/>
              <w:right w:val="single" w:sz="8" w:space="0" w:color="auto"/>
            </w:tcBorders>
            <w:shd w:val="clear" w:color="000000" w:fill="D9D9D9"/>
            <w:vAlign w:val="center"/>
            <w:hideMark/>
          </w:tcPr>
          <w:p w14:paraId="00014CF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76" w:type="pct"/>
            <w:tcBorders>
              <w:top w:val="nil"/>
              <w:left w:val="nil"/>
              <w:bottom w:val="nil"/>
              <w:right w:val="single" w:sz="8" w:space="0" w:color="auto"/>
            </w:tcBorders>
            <w:shd w:val="clear" w:color="000000" w:fill="D9D9D9"/>
            <w:vAlign w:val="center"/>
            <w:hideMark/>
          </w:tcPr>
          <w:p w14:paraId="4CF23C8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2" w:type="pct"/>
            <w:tcBorders>
              <w:top w:val="nil"/>
              <w:left w:val="nil"/>
              <w:bottom w:val="nil"/>
              <w:right w:val="single" w:sz="8" w:space="0" w:color="auto"/>
            </w:tcBorders>
            <w:shd w:val="clear" w:color="000000" w:fill="D9D9D9"/>
            <w:vAlign w:val="center"/>
            <w:hideMark/>
          </w:tcPr>
          <w:p w14:paraId="0407F11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5" w:type="pct"/>
            <w:tcBorders>
              <w:top w:val="nil"/>
              <w:left w:val="nil"/>
              <w:bottom w:val="nil"/>
              <w:right w:val="single" w:sz="8" w:space="0" w:color="auto"/>
            </w:tcBorders>
            <w:shd w:val="clear" w:color="000000" w:fill="D9D9D9"/>
            <w:vAlign w:val="center"/>
            <w:hideMark/>
          </w:tcPr>
          <w:p w14:paraId="3FB9BB7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98" w:type="pct"/>
            <w:vMerge/>
            <w:tcBorders>
              <w:top w:val="single" w:sz="8" w:space="0" w:color="auto"/>
              <w:left w:val="single" w:sz="8" w:space="0" w:color="auto"/>
              <w:bottom w:val="single" w:sz="8" w:space="0" w:color="000000"/>
              <w:right w:val="single" w:sz="8" w:space="0" w:color="auto"/>
            </w:tcBorders>
            <w:vAlign w:val="center"/>
            <w:hideMark/>
          </w:tcPr>
          <w:p w14:paraId="535A1E45"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41" w:type="pct"/>
            <w:vMerge/>
            <w:tcBorders>
              <w:top w:val="single" w:sz="8" w:space="0" w:color="auto"/>
              <w:left w:val="single" w:sz="8" w:space="0" w:color="auto"/>
              <w:bottom w:val="single" w:sz="8" w:space="0" w:color="000000"/>
              <w:right w:val="single" w:sz="8" w:space="0" w:color="auto"/>
            </w:tcBorders>
            <w:vAlign w:val="center"/>
            <w:hideMark/>
          </w:tcPr>
          <w:p w14:paraId="43482CE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14:paraId="42F0ADE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92" w:type="pct"/>
            <w:vMerge/>
            <w:tcBorders>
              <w:top w:val="single" w:sz="8" w:space="0" w:color="auto"/>
              <w:left w:val="single" w:sz="8" w:space="0" w:color="auto"/>
              <w:bottom w:val="single" w:sz="8" w:space="0" w:color="000000"/>
              <w:right w:val="single" w:sz="8" w:space="0" w:color="auto"/>
            </w:tcBorders>
            <w:vAlign w:val="center"/>
            <w:hideMark/>
          </w:tcPr>
          <w:p w14:paraId="264D6CE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22" w:type="pct"/>
            <w:vMerge/>
            <w:tcBorders>
              <w:top w:val="single" w:sz="8" w:space="0" w:color="auto"/>
              <w:left w:val="single" w:sz="8" w:space="0" w:color="auto"/>
              <w:bottom w:val="single" w:sz="8" w:space="0" w:color="000000"/>
              <w:right w:val="single" w:sz="8" w:space="0" w:color="auto"/>
            </w:tcBorders>
            <w:vAlign w:val="center"/>
            <w:hideMark/>
          </w:tcPr>
          <w:p w14:paraId="035709C0" w14:textId="77777777" w:rsidR="00571EAF" w:rsidRPr="0086165A" w:rsidRDefault="00571EAF" w:rsidP="00571EAF">
            <w:pPr>
              <w:spacing w:after="0" w:line="240" w:lineRule="auto"/>
              <w:rPr>
                <w:rFonts w:ascii="Times New Roman" w:eastAsia="Times New Roman" w:hAnsi="Times New Roman" w:cs="Times New Roman"/>
                <w:b/>
                <w:bCs/>
              </w:rPr>
            </w:pPr>
          </w:p>
        </w:tc>
      </w:tr>
      <w:tr w:rsidR="005D6B3A" w:rsidRPr="0086165A" w14:paraId="772B4BF2" w14:textId="77777777" w:rsidTr="002E72A1">
        <w:trPr>
          <w:trHeight w:val="840"/>
        </w:trPr>
        <w:tc>
          <w:tcPr>
            <w:tcW w:w="232" w:type="pct"/>
            <w:vMerge/>
            <w:tcBorders>
              <w:top w:val="single" w:sz="8" w:space="0" w:color="auto"/>
              <w:left w:val="single" w:sz="8" w:space="0" w:color="auto"/>
              <w:bottom w:val="single" w:sz="8" w:space="0" w:color="000000"/>
              <w:right w:val="single" w:sz="8" w:space="0" w:color="auto"/>
            </w:tcBorders>
            <w:vAlign w:val="center"/>
            <w:hideMark/>
          </w:tcPr>
          <w:p w14:paraId="370C604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70D6724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29" w:type="pct"/>
            <w:vMerge/>
            <w:tcBorders>
              <w:top w:val="single" w:sz="8" w:space="0" w:color="auto"/>
              <w:left w:val="single" w:sz="8" w:space="0" w:color="auto"/>
              <w:bottom w:val="single" w:sz="8" w:space="0" w:color="000000"/>
              <w:right w:val="single" w:sz="8" w:space="0" w:color="auto"/>
            </w:tcBorders>
            <w:vAlign w:val="center"/>
            <w:hideMark/>
          </w:tcPr>
          <w:p w14:paraId="6DEC3DD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76" w:type="pct"/>
            <w:tcBorders>
              <w:top w:val="nil"/>
              <w:left w:val="nil"/>
              <w:bottom w:val="single" w:sz="8" w:space="0" w:color="auto"/>
              <w:right w:val="single" w:sz="8" w:space="0" w:color="auto"/>
            </w:tcBorders>
            <w:shd w:val="clear" w:color="000000" w:fill="D9D9D9"/>
            <w:vAlign w:val="center"/>
            <w:hideMark/>
          </w:tcPr>
          <w:p w14:paraId="1B0CD50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376" w:type="pct"/>
            <w:tcBorders>
              <w:top w:val="nil"/>
              <w:left w:val="nil"/>
              <w:bottom w:val="single" w:sz="8" w:space="0" w:color="auto"/>
              <w:right w:val="single" w:sz="8" w:space="0" w:color="auto"/>
            </w:tcBorders>
            <w:shd w:val="clear" w:color="000000" w:fill="D9D9D9"/>
            <w:vAlign w:val="center"/>
            <w:hideMark/>
          </w:tcPr>
          <w:p w14:paraId="5655D78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402" w:type="pct"/>
            <w:tcBorders>
              <w:top w:val="nil"/>
              <w:left w:val="nil"/>
              <w:bottom w:val="single" w:sz="8" w:space="0" w:color="auto"/>
              <w:right w:val="single" w:sz="8" w:space="0" w:color="auto"/>
            </w:tcBorders>
            <w:shd w:val="clear" w:color="000000" w:fill="D9D9D9"/>
            <w:vAlign w:val="center"/>
            <w:hideMark/>
          </w:tcPr>
          <w:p w14:paraId="363AD37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405" w:type="pct"/>
            <w:tcBorders>
              <w:top w:val="nil"/>
              <w:left w:val="nil"/>
              <w:bottom w:val="single" w:sz="8" w:space="0" w:color="auto"/>
              <w:right w:val="single" w:sz="8" w:space="0" w:color="auto"/>
            </w:tcBorders>
            <w:shd w:val="clear" w:color="000000" w:fill="D9D9D9"/>
            <w:vAlign w:val="center"/>
            <w:hideMark/>
          </w:tcPr>
          <w:p w14:paraId="09CEC87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98" w:type="pct"/>
            <w:vMerge/>
            <w:tcBorders>
              <w:top w:val="single" w:sz="8" w:space="0" w:color="auto"/>
              <w:left w:val="single" w:sz="8" w:space="0" w:color="auto"/>
              <w:bottom w:val="single" w:sz="8" w:space="0" w:color="000000"/>
              <w:right w:val="single" w:sz="8" w:space="0" w:color="auto"/>
            </w:tcBorders>
            <w:vAlign w:val="center"/>
            <w:hideMark/>
          </w:tcPr>
          <w:p w14:paraId="5CECF6A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41" w:type="pct"/>
            <w:vMerge/>
            <w:tcBorders>
              <w:top w:val="single" w:sz="8" w:space="0" w:color="auto"/>
              <w:left w:val="single" w:sz="8" w:space="0" w:color="auto"/>
              <w:bottom w:val="single" w:sz="8" w:space="0" w:color="000000"/>
              <w:right w:val="single" w:sz="8" w:space="0" w:color="auto"/>
            </w:tcBorders>
            <w:vAlign w:val="center"/>
            <w:hideMark/>
          </w:tcPr>
          <w:p w14:paraId="09BEA5A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14:paraId="71E5DAB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92" w:type="pct"/>
            <w:vMerge/>
            <w:tcBorders>
              <w:top w:val="single" w:sz="8" w:space="0" w:color="auto"/>
              <w:left w:val="single" w:sz="8" w:space="0" w:color="auto"/>
              <w:bottom w:val="single" w:sz="8" w:space="0" w:color="000000"/>
              <w:right w:val="single" w:sz="8" w:space="0" w:color="auto"/>
            </w:tcBorders>
            <w:vAlign w:val="center"/>
            <w:hideMark/>
          </w:tcPr>
          <w:p w14:paraId="1A04C9F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22" w:type="pct"/>
            <w:vMerge/>
            <w:tcBorders>
              <w:top w:val="single" w:sz="8" w:space="0" w:color="auto"/>
              <w:left w:val="single" w:sz="8" w:space="0" w:color="auto"/>
              <w:bottom w:val="single" w:sz="8" w:space="0" w:color="000000"/>
              <w:right w:val="single" w:sz="8" w:space="0" w:color="auto"/>
            </w:tcBorders>
            <w:vAlign w:val="center"/>
            <w:hideMark/>
          </w:tcPr>
          <w:p w14:paraId="44C5E692" w14:textId="77777777" w:rsidR="00571EAF" w:rsidRPr="0086165A" w:rsidRDefault="00571EAF" w:rsidP="00571EAF">
            <w:pPr>
              <w:spacing w:after="0" w:line="240" w:lineRule="auto"/>
              <w:rPr>
                <w:rFonts w:ascii="Times New Roman" w:eastAsia="Times New Roman" w:hAnsi="Times New Roman" w:cs="Times New Roman"/>
                <w:b/>
                <w:bCs/>
              </w:rPr>
            </w:pPr>
          </w:p>
        </w:tc>
      </w:tr>
      <w:tr w:rsidR="005D6B3A" w:rsidRPr="0086165A" w14:paraId="0288776B" w14:textId="77777777" w:rsidTr="002E72A1">
        <w:trPr>
          <w:trHeight w:val="1695"/>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530D8C1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II.3.1</w:t>
            </w:r>
          </w:p>
        </w:tc>
        <w:tc>
          <w:tcPr>
            <w:tcW w:w="458" w:type="pct"/>
            <w:tcBorders>
              <w:top w:val="nil"/>
              <w:left w:val="nil"/>
              <w:bottom w:val="nil"/>
              <w:right w:val="single" w:sz="8" w:space="0" w:color="auto"/>
            </w:tcBorders>
            <w:shd w:val="clear" w:color="auto" w:fill="auto"/>
            <w:vAlign w:val="center"/>
            <w:hideMark/>
          </w:tcPr>
          <w:p w14:paraId="49C4D820" w14:textId="535ED993"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Feasibility Study &amp; Environmental and Social Impact Assessment (ESIA) for District Heating (DH) systems in 9 municipalities of Kosovo (</w:t>
            </w:r>
            <w:proofErr w:type="spellStart"/>
            <w:r>
              <w:rPr>
                <w:rFonts w:ascii="Times New Roman" w:hAnsi="Times New Roman"/>
                <w:sz w:val="18"/>
              </w:rPr>
              <w:t>Gjilan</w:t>
            </w:r>
            <w:proofErr w:type="spellEnd"/>
            <w:r>
              <w:rPr>
                <w:rFonts w:ascii="Times New Roman" w:hAnsi="Times New Roman"/>
                <w:sz w:val="18"/>
              </w:rPr>
              <w:t xml:space="preserve">, </w:t>
            </w:r>
            <w:proofErr w:type="spellStart"/>
            <w:r>
              <w:rPr>
                <w:rFonts w:ascii="Times New Roman" w:hAnsi="Times New Roman"/>
                <w:sz w:val="18"/>
              </w:rPr>
              <w:t>Ferizaj</w:t>
            </w:r>
            <w:proofErr w:type="spellEnd"/>
            <w:r>
              <w:rPr>
                <w:rFonts w:ascii="Times New Roman" w:hAnsi="Times New Roman"/>
                <w:sz w:val="18"/>
              </w:rPr>
              <w:t xml:space="preserve">, </w:t>
            </w:r>
            <w:proofErr w:type="spellStart"/>
            <w:r>
              <w:rPr>
                <w:rFonts w:ascii="Times New Roman" w:hAnsi="Times New Roman"/>
                <w:sz w:val="18"/>
              </w:rPr>
              <w:t>Prizren</w:t>
            </w:r>
            <w:proofErr w:type="spellEnd"/>
            <w:r>
              <w:rPr>
                <w:rFonts w:ascii="Times New Roman" w:hAnsi="Times New Roman"/>
                <w:sz w:val="18"/>
              </w:rPr>
              <w:t xml:space="preserve">, </w:t>
            </w:r>
            <w:proofErr w:type="spellStart"/>
            <w:r>
              <w:rPr>
                <w:rFonts w:ascii="Times New Roman" w:hAnsi="Times New Roman"/>
                <w:sz w:val="18"/>
              </w:rPr>
              <w:t>Peja</w:t>
            </w:r>
            <w:proofErr w:type="spellEnd"/>
            <w:r>
              <w:rPr>
                <w:rFonts w:ascii="Times New Roman" w:hAnsi="Times New Roman"/>
                <w:sz w:val="18"/>
              </w:rPr>
              <w:t xml:space="preserve">, </w:t>
            </w:r>
            <w:proofErr w:type="spellStart"/>
            <w:r>
              <w:rPr>
                <w:rFonts w:ascii="Times New Roman" w:hAnsi="Times New Roman"/>
                <w:sz w:val="18"/>
              </w:rPr>
              <w:t>Drenas</w:t>
            </w:r>
            <w:proofErr w:type="spellEnd"/>
            <w:r>
              <w:rPr>
                <w:rFonts w:ascii="Times New Roman" w:hAnsi="Times New Roman"/>
                <w:sz w:val="18"/>
              </w:rPr>
              <w:t xml:space="preserve">, </w:t>
            </w:r>
            <w:proofErr w:type="spellStart"/>
            <w:r>
              <w:rPr>
                <w:rFonts w:ascii="Times New Roman" w:hAnsi="Times New Roman"/>
                <w:sz w:val="18"/>
              </w:rPr>
              <w:t>Obiliq</w:t>
            </w:r>
            <w:proofErr w:type="spellEnd"/>
            <w:r>
              <w:rPr>
                <w:rFonts w:ascii="Times New Roman" w:hAnsi="Times New Roman"/>
                <w:sz w:val="18"/>
              </w:rPr>
              <w:t xml:space="preserve">, North and South Mitrovica &amp; </w:t>
            </w:r>
            <w:proofErr w:type="spellStart"/>
            <w:r>
              <w:rPr>
                <w:rFonts w:ascii="Times New Roman" w:hAnsi="Times New Roman"/>
                <w:sz w:val="18"/>
              </w:rPr>
              <w:t>Zveçan</w:t>
            </w:r>
            <w:proofErr w:type="spellEnd"/>
            <w:r>
              <w:rPr>
                <w:rFonts w:ascii="Times New Roman" w:hAnsi="Times New Roman"/>
                <w:sz w:val="18"/>
              </w:rPr>
              <w:t>)</w:t>
            </w:r>
          </w:p>
        </w:tc>
        <w:tc>
          <w:tcPr>
            <w:tcW w:w="229" w:type="pct"/>
            <w:tcBorders>
              <w:top w:val="nil"/>
              <w:left w:val="nil"/>
              <w:bottom w:val="nil"/>
              <w:right w:val="single" w:sz="8" w:space="0" w:color="auto"/>
            </w:tcBorders>
            <w:shd w:val="clear" w:color="000000" w:fill="FFFFFF"/>
            <w:vAlign w:val="center"/>
            <w:hideMark/>
          </w:tcPr>
          <w:p w14:paraId="1FA4282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76" w:type="pct"/>
            <w:tcBorders>
              <w:top w:val="nil"/>
              <w:left w:val="nil"/>
              <w:bottom w:val="nil"/>
              <w:right w:val="single" w:sz="8" w:space="0" w:color="auto"/>
            </w:tcBorders>
            <w:shd w:val="clear" w:color="000000" w:fill="FFFFFF"/>
            <w:vAlign w:val="center"/>
            <w:hideMark/>
          </w:tcPr>
          <w:p w14:paraId="77A63D68" w14:textId="77777777" w:rsidR="00571EAF" w:rsidRPr="0086165A" w:rsidRDefault="008116E8"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€ 1,000,000.00</w:t>
            </w:r>
          </w:p>
        </w:tc>
        <w:tc>
          <w:tcPr>
            <w:tcW w:w="376" w:type="pct"/>
            <w:tcBorders>
              <w:top w:val="nil"/>
              <w:left w:val="nil"/>
              <w:bottom w:val="nil"/>
              <w:right w:val="single" w:sz="8" w:space="0" w:color="auto"/>
            </w:tcBorders>
            <w:shd w:val="clear" w:color="000000" w:fill="FFFFFF"/>
            <w:vAlign w:val="center"/>
            <w:hideMark/>
          </w:tcPr>
          <w:p w14:paraId="3F8EB0AC" w14:textId="77777777" w:rsidR="00571EAF" w:rsidRPr="0086165A" w:rsidRDefault="008116E8"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€ 1,350,000.00</w:t>
            </w:r>
          </w:p>
        </w:tc>
        <w:tc>
          <w:tcPr>
            <w:tcW w:w="402" w:type="pct"/>
            <w:tcBorders>
              <w:top w:val="nil"/>
              <w:left w:val="nil"/>
              <w:bottom w:val="nil"/>
              <w:right w:val="single" w:sz="8" w:space="0" w:color="auto"/>
            </w:tcBorders>
            <w:shd w:val="clear" w:color="000000" w:fill="FFFFFF"/>
            <w:vAlign w:val="center"/>
            <w:hideMark/>
          </w:tcPr>
          <w:p w14:paraId="601C93E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405" w:type="pct"/>
            <w:tcBorders>
              <w:top w:val="nil"/>
              <w:left w:val="nil"/>
              <w:bottom w:val="nil"/>
              <w:right w:val="single" w:sz="8" w:space="0" w:color="auto"/>
            </w:tcBorders>
            <w:shd w:val="clear" w:color="000000" w:fill="FFFFFF"/>
            <w:vAlign w:val="center"/>
            <w:hideMark/>
          </w:tcPr>
          <w:p w14:paraId="43638B9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nil"/>
              <w:left w:val="nil"/>
              <w:bottom w:val="nil"/>
              <w:right w:val="single" w:sz="8" w:space="0" w:color="auto"/>
            </w:tcBorders>
            <w:shd w:val="clear" w:color="000000" w:fill="FFFFFF"/>
            <w:vAlign w:val="center"/>
            <w:hideMark/>
          </w:tcPr>
          <w:p w14:paraId="5CEFFFC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WBIF/IPF10</w:t>
            </w:r>
          </w:p>
        </w:tc>
        <w:tc>
          <w:tcPr>
            <w:tcW w:w="441" w:type="pct"/>
            <w:tcBorders>
              <w:top w:val="nil"/>
              <w:left w:val="nil"/>
              <w:bottom w:val="nil"/>
              <w:right w:val="single" w:sz="8" w:space="0" w:color="auto"/>
            </w:tcBorders>
            <w:shd w:val="clear" w:color="000000" w:fill="FFFFFF"/>
            <w:vAlign w:val="center"/>
            <w:hideMark/>
          </w:tcPr>
          <w:p w14:paraId="7E34EEF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MESPI, Municipalities, MFLT</w:t>
            </w:r>
          </w:p>
        </w:tc>
        <w:tc>
          <w:tcPr>
            <w:tcW w:w="367" w:type="pct"/>
            <w:tcBorders>
              <w:top w:val="nil"/>
              <w:left w:val="nil"/>
              <w:bottom w:val="single" w:sz="8" w:space="0" w:color="auto"/>
              <w:right w:val="single" w:sz="8" w:space="0" w:color="auto"/>
            </w:tcBorders>
            <w:shd w:val="clear" w:color="000000" w:fill="FFFFFF"/>
            <w:vAlign w:val="center"/>
            <w:hideMark/>
          </w:tcPr>
          <w:p w14:paraId="4FBFE92C" w14:textId="5DF189ED"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Feasibility Study &amp; ESIA completed</w:t>
            </w:r>
          </w:p>
        </w:tc>
        <w:tc>
          <w:tcPr>
            <w:tcW w:w="392" w:type="pct"/>
            <w:tcBorders>
              <w:top w:val="nil"/>
              <w:left w:val="nil"/>
              <w:bottom w:val="single" w:sz="8" w:space="0" w:color="auto"/>
              <w:right w:val="single" w:sz="8" w:space="0" w:color="auto"/>
            </w:tcBorders>
            <w:shd w:val="clear" w:color="000000" w:fill="FFFFFF"/>
            <w:vAlign w:val="center"/>
            <w:hideMark/>
          </w:tcPr>
          <w:p w14:paraId="1061116F"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22" w:type="pct"/>
            <w:tcBorders>
              <w:top w:val="nil"/>
              <w:left w:val="nil"/>
              <w:bottom w:val="single" w:sz="8" w:space="0" w:color="auto"/>
              <w:right w:val="single" w:sz="8" w:space="0" w:color="auto"/>
            </w:tcBorders>
            <w:shd w:val="clear" w:color="auto" w:fill="auto"/>
            <w:vAlign w:val="center"/>
            <w:hideMark/>
          </w:tcPr>
          <w:p w14:paraId="76E677A2" w14:textId="41D5D6A9" w:rsidR="00571EAF" w:rsidRPr="0014539F"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Environmental and Social Impact Assessment (ESIA) finalized.     </w:t>
            </w:r>
          </w:p>
        </w:tc>
      </w:tr>
      <w:tr w:rsidR="005D6B3A" w:rsidRPr="0086165A" w14:paraId="13A8BAFE" w14:textId="77777777" w:rsidTr="002E72A1">
        <w:trPr>
          <w:trHeight w:val="2050"/>
        </w:trPr>
        <w:tc>
          <w:tcPr>
            <w:tcW w:w="232" w:type="pct"/>
            <w:tcBorders>
              <w:top w:val="nil"/>
              <w:left w:val="single" w:sz="8" w:space="0" w:color="auto"/>
              <w:bottom w:val="single" w:sz="8" w:space="0" w:color="auto"/>
              <w:right w:val="single" w:sz="8" w:space="0" w:color="auto"/>
            </w:tcBorders>
            <w:shd w:val="clear" w:color="auto" w:fill="auto"/>
            <w:vAlign w:val="center"/>
            <w:hideMark/>
          </w:tcPr>
          <w:p w14:paraId="4859F73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II.3.2</w:t>
            </w:r>
          </w:p>
        </w:tc>
        <w:tc>
          <w:tcPr>
            <w:tcW w:w="458" w:type="pct"/>
            <w:tcBorders>
              <w:top w:val="single" w:sz="8" w:space="0" w:color="auto"/>
              <w:left w:val="nil"/>
              <w:bottom w:val="nil"/>
              <w:right w:val="single" w:sz="8" w:space="0" w:color="auto"/>
            </w:tcBorders>
            <w:shd w:val="clear" w:color="auto" w:fill="auto"/>
            <w:vAlign w:val="center"/>
            <w:hideMark/>
          </w:tcPr>
          <w:p w14:paraId="3E6D2344"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Solar4Kosovo – Feasibility study for the development of the solar central heating project</w:t>
            </w:r>
          </w:p>
        </w:tc>
        <w:tc>
          <w:tcPr>
            <w:tcW w:w="229" w:type="pct"/>
            <w:tcBorders>
              <w:top w:val="single" w:sz="8" w:space="0" w:color="auto"/>
              <w:left w:val="nil"/>
              <w:bottom w:val="nil"/>
              <w:right w:val="single" w:sz="8" w:space="0" w:color="auto"/>
            </w:tcBorders>
            <w:shd w:val="clear" w:color="000000" w:fill="FFFFFF"/>
            <w:vAlign w:val="center"/>
            <w:hideMark/>
          </w:tcPr>
          <w:p w14:paraId="7BEEB9F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76" w:type="pct"/>
            <w:tcBorders>
              <w:top w:val="single" w:sz="8" w:space="0" w:color="auto"/>
              <w:left w:val="nil"/>
              <w:bottom w:val="nil"/>
              <w:right w:val="single" w:sz="8" w:space="0" w:color="auto"/>
            </w:tcBorders>
            <w:shd w:val="clear" w:color="000000" w:fill="FFFFFF"/>
            <w:vAlign w:val="center"/>
            <w:hideMark/>
          </w:tcPr>
          <w:p w14:paraId="1061703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6" w:type="pct"/>
            <w:tcBorders>
              <w:top w:val="single" w:sz="8" w:space="0" w:color="auto"/>
              <w:left w:val="nil"/>
              <w:bottom w:val="nil"/>
              <w:right w:val="single" w:sz="8" w:space="0" w:color="auto"/>
            </w:tcBorders>
            <w:shd w:val="clear" w:color="000000" w:fill="FFFFFF"/>
            <w:vAlign w:val="center"/>
            <w:hideMark/>
          </w:tcPr>
          <w:p w14:paraId="051B5B2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2" w:type="pct"/>
            <w:tcBorders>
              <w:top w:val="single" w:sz="8" w:space="0" w:color="auto"/>
              <w:left w:val="nil"/>
              <w:bottom w:val="nil"/>
              <w:right w:val="single" w:sz="8" w:space="0" w:color="auto"/>
            </w:tcBorders>
            <w:shd w:val="clear" w:color="000000" w:fill="FFFFFF"/>
            <w:vAlign w:val="center"/>
            <w:hideMark/>
          </w:tcPr>
          <w:p w14:paraId="0583D6B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1,000,000.00 </w:t>
            </w:r>
          </w:p>
        </w:tc>
        <w:tc>
          <w:tcPr>
            <w:tcW w:w="405" w:type="pct"/>
            <w:tcBorders>
              <w:top w:val="single" w:sz="8" w:space="0" w:color="auto"/>
              <w:left w:val="nil"/>
              <w:bottom w:val="nil"/>
              <w:right w:val="single" w:sz="8" w:space="0" w:color="auto"/>
            </w:tcBorders>
            <w:shd w:val="clear" w:color="000000" w:fill="FFFFFF"/>
            <w:vAlign w:val="center"/>
            <w:hideMark/>
          </w:tcPr>
          <w:p w14:paraId="2DD0AFC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98" w:type="pct"/>
            <w:tcBorders>
              <w:top w:val="single" w:sz="8" w:space="0" w:color="auto"/>
              <w:left w:val="nil"/>
              <w:bottom w:val="single" w:sz="8" w:space="0" w:color="auto"/>
              <w:right w:val="single" w:sz="8" w:space="0" w:color="auto"/>
            </w:tcBorders>
            <w:shd w:val="clear" w:color="000000" w:fill="FFFFFF"/>
            <w:vAlign w:val="center"/>
            <w:hideMark/>
          </w:tcPr>
          <w:p w14:paraId="39F5215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proofErr w:type="spellStart"/>
            <w:r>
              <w:rPr>
                <w:rFonts w:ascii="Times New Roman" w:hAnsi="Times New Roman"/>
                <w:sz w:val="18"/>
              </w:rPr>
              <w:t>KfW</w:t>
            </w:r>
            <w:proofErr w:type="spellEnd"/>
            <w:r>
              <w:rPr>
                <w:rFonts w:ascii="Times New Roman" w:hAnsi="Times New Roman"/>
                <w:sz w:val="18"/>
              </w:rPr>
              <w:t>, EBRD</w:t>
            </w:r>
          </w:p>
        </w:tc>
        <w:tc>
          <w:tcPr>
            <w:tcW w:w="441" w:type="pct"/>
            <w:tcBorders>
              <w:top w:val="single" w:sz="8" w:space="0" w:color="auto"/>
              <w:left w:val="nil"/>
              <w:bottom w:val="nil"/>
              <w:right w:val="single" w:sz="8" w:space="0" w:color="auto"/>
            </w:tcBorders>
            <w:shd w:val="clear" w:color="000000" w:fill="FFFFFF"/>
            <w:vAlign w:val="center"/>
            <w:hideMark/>
          </w:tcPr>
          <w:p w14:paraId="0C0CE69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proofErr w:type="spellStart"/>
            <w:r>
              <w:rPr>
                <w:rFonts w:ascii="Times New Roman" w:hAnsi="Times New Roman"/>
                <w:sz w:val="18"/>
              </w:rPr>
              <w:t>Termokos</w:t>
            </w:r>
            <w:proofErr w:type="spellEnd"/>
          </w:p>
        </w:tc>
        <w:tc>
          <w:tcPr>
            <w:tcW w:w="367" w:type="pct"/>
            <w:tcBorders>
              <w:top w:val="nil"/>
              <w:left w:val="nil"/>
              <w:bottom w:val="nil"/>
              <w:right w:val="nil"/>
            </w:tcBorders>
            <w:shd w:val="clear" w:color="000000" w:fill="FFFFFF"/>
            <w:vAlign w:val="center"/>
            <w:hideMark/>
          </w:tcPr>
          <w:p w14:paraId="65F6FC7B"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Feasibility study completed</w:t>
            </w:r>
          </w:p>
        </w:tc>
        <w:tc>
          <w:tcPr>
            <w:tcW w:w="392" w:type="pct"/>
            <w:tcBorders>
              <w:top w:val="nil"/>
              <w:left w:val="single" w:sz="8" w:space="0" w:color="auto"/>
              <w:bottom w:val="nil"/>
              <w:right w:val="single" w:sz="8" w:space="0" w:color="auto"/>
            </w:tcBorders>
            <w:shd w:val="clear" w:color="000000" w:fill="FFFFFF"/>
            <w:vAlign w:val="center"/>
            <w:hideMark/>
          </w:tcPr>
          <w:p w14:paraId="18743441" w14:textId="77777777" w:rsidR="0081461E"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2022 - 2031</w:t>
            </w:r>
          </w:p>
          <w:p w14:paraId="4F40DB6A" w14:textId="264AA3A2"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r>
            <w:proofErr w:type="spellStart"/>
            <w:r>
              <w:rPr>
                <w:rFonts w:ascii="Times New Roman" w:hAnsi="Times New Roman"/>
                <w:sz w:val="18"/>
              </w:rPr>
              <w:t>Termokos</w:t>
            </w:r>
            <w:proofErr w:type="spellEnd"/>
            <w:r>
              <w:rPr>
                <w:rFonts w:ascii="Times New Roman" w:hAnsi="Times New Roman"/>
                <w:sz w:val="18"/>
              </w:rPr>
              <w:t xml:space="preserve"> Development Plan for the period 2022-2031</w:t>
            </w:r>
          </w:p>
        </w:tc>
        <w:tc>
          <w:tcPr>
            <w:tcW w:w="922" w:type="pct"/>
            <w:tcBorders>
              <w:top w:val="nil"/>
              <w:left w:val="nil"/>
              <w:bottom w:val="single" w:sz="8" w:space="0" w:color="auto"/>
              <w:right w:val="single" w:sz="8" w:space="0" w:color="auto"/>
            </w:tcBorders>
            <w:shd w:val="clear" w:color="auto" w:fill="auto"/>
            <w:vAlign w:val="center"/>
            <w:hideMark/>
          </w:tcPr>
          <w:p w14:paraId="062E5E75" w14:textId="36A19CC1"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The project includes the construction of a solar thermal plant and its integration into the existing District Heating (DH) system, including network expansion of up to 50 </w:t>
            </w:r>
            <w:proofErr w:type="spellStart"/>
            <w:r>
              <w:rPr>
                <w:rFonts w:ascii="Times New Roman" w:hAnsi="Times New Roman"/>
                <w:sz w:val="18"/>
              </w:rPr>
              <w:t>MWth</w:t>
            </w:r>
            <w:proofErr w:type="spellEnd"/>
            <w:r>
              <w:rPr>
                <w:rFonts w:ascii="Times New Roman" w:hAnsi="Times New Roman"/>
                <w:sz w:val="18"/>
              </w:rPr>
              <w:t>. In terms of developments for this project, the following have been completed:</w:t>
            </w:r>
          </w:p>
          <w:p w14:paraId="3BEA6607" w14:textId="7ECB1B53"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Feasibility study; </w:t>
            </w:r>
          </w:p>
          <w:p w14:paraId="2A58E4E0" w14:textId="394EF40F"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Environmental and Social Impact Assessment (ESIA) Project, carried out by CES-</w:t>
            </w:r>
            <w:proofErr w:type="spellStart"/>
            <w:r>
              <w:rPr>
                <w:rFonts w:ascii="Times New Roman" w:hAnsi="Times New Roman"/>
                <w:sz w:val="18"/>
              </w:rPr>
              <w:t>iC</w:t>
            </w:r>
            <w:proofErr w:type="spellEnd"/>
            <w:r>
              <w:rPr>
                <w:rFonts w:ascii="Times New Roman" w:hAnsi="Times New Roman"/>
                <w:sz w:val="18"/>
              </w:rPr>
              <w:t xml:space="preserve"> and financed by </w:t>
            </w:r>
            <w:proofErr w:type="spellStart"/>
            <w:r>
              <w:rPr>
                <w:rFonts w:ascii="Times New Roman" w:hAnsi="Times New Roman"/>
                <w:sz w:val="18"/>
              </w:rPr>
              <w:t>KfW</w:t>
            </w:r>
            <w:proofErr w:type="spellEnd"/>
            <w:r>
              <w:rPr>
                <w:rFonts w:ascii="Times New Roman" w:hAnsi="Times New Roman"/>
                <w:sz w:val="18"/>
              </w:rPr>
              <w:t xml:space="preserve">; </w:t>
            </w:r>
          </w:p>
          <w:p w14:paraId="2F51200C" w14:textId="3CC13583"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 Definition and approval of the site in the Hade e Re area of twenty-five (25) hectares of land, for installing solar panels and a thermal energy storage facility; </w:t>
            </w:r>
          </w:p>
          <w:p w14:paraId="56472873" w14:textId="0E76D287"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 Signing of the contract with the consultancy company </w:t>
            </w:r>
            <w:proofErr w:type="spellStart"/>
            <w:r>
              <w:rPr>
                <w:rFonts w:ascii="Times New Roman" w:hAnsi="Times New Roman"/>
                <w:sz w:val="18"/>
              </w:rPr>
              <w:t>iC</w:t>
            </w:r>
            <w:proofErr w:type="spellEnd"/>
            <w:r>
              <w:rPr>
                <w:rFonts w:ascii="Times New Roman" w:hAnsi="Times New Roman"/>
                <w:sz w:val="18"/>
              </w:rPr>
              <w:t xml:space="preserve">–CES </w:t>
            </w:r>
            <w:proofErr w:type="spellStart"/>
            <w:r>
              <w:rPr>
                <w:rFonts w:ascii="Times New Roman" w:hAnsi="Times New Roman"/>
                <w:sz w:val="18"/>
              </w:rPr>
              <w:t>Consulenten</w:t>
            </w:r>
            <w:proofErr w:type="spellEnd"/>
            <w:r>
              <w:rPr>
                <w:rFonts w:ascii="Times New Roman" w:hAnsi="Times New Roman"/>
                <w:sz w:val="18"/>
              </w:rPr>
              <w:t xml:space="preserve"> from Vienna in January 2024; </w:t>
            </w:r>
          </w:p>
          <w:p w14:paraId="02E7B78C" w14:textId="3A2197BD"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lastRenderedPageBreak/>
              <w:t>• Application for electro-energetic consent with KEDS (connection of the plant to the 110/10(20) kV transformer) and for connection conditions to the Prishtina RWC water supply network;</w:t>
            </w:r>
          </w:p>
          <w:p w14:paraId="0E791B54" w14:textId="6FE27F6A"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Approval of the Planning Project Report (PPR);</w:t>
            </w:r>
          </w:p>
          <w:p w14:paraId="571A1219" w14:textId="67C31751"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Preliminary approval of the new Master Plan for network expansion as part of this project;</w:t>
            </w:r>
          </w:p>
          <w:p w14:paraId="1E353CD9" w14:textId="045C2FEC"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Application for the identification of cadastral parcels and for expropriation conditions for areas through which the route passes;</w:t>
            </w:r>
          </w:p>
          <w:p w14:paraId="7B6C1CA8" w14:textId="0AC5607F"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 Approval by </w:t>
            </w:r>
            <w:proofErr w:type="spellStart"/>
            <w:r>
              <w:rPr>
                <w:rFonts w:ascii="Times New Roman" w:hAnsi="Times New Roman"/>
                <w:sz w:val="18"/>
              </w:rPr>
              <w:t>KfW</w:t>
            </w:r>
            <w:proofErr w:type="spellEnd"/>
            <w:r>
              <w:rPr>
                <w:rFonts w:ascii="Times New Roman" w:hAnsi="Times New Roman"/>
                <w:sz w:val="18"/>
              </w:rPr>
              <w:t xml:space="preserve"> of the Terms of Reference for publishing the prequalification tender for companies interested in participating in the project;</w:t>
            </w:r>
          </w:p>
          <w:p w14:paraId="7D945256" w14:textId="7A64EF43" w:rsidR="00B36062"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 Coordination of the necessary alignment of the criteria that companies applying for prequalification must meet; </w:t>
            </w:r>
          </w:p>
          <w:p w14:paraId="3E27B071" w14:textId="5AB775D7" w:rsidR="00571EAF" w:rsidRPr="0086165A" w:rsidRDefault="00B36062"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 </w:t>
            </w:r>
            <w:proofErr w:type="spellStart"/>
            <w:r>
              <w:rPr>
                <w:rFonts w:ascii="Times New Roman" w:hAnsi="Times New Roman"/>
                <w:sz w:val="18"/>
              </w:rPr>
              <w:t>Termokos</w:t>
            </w:r>
            <w:proofErr w:type="spellEnd"/>
            <w:r>
              <w:rPr>
                <w:rFonts w:ascii="Times New Roman" w:hAnsi="Times New Roman"/>
                <w:sz w:val="18"/>
              </w:rPr>
              <w:t xml:space="preserve"> has engaged a licensed consultancy firm for the expropriation/servitude study for pipeline corridors, delivering it to the Ministry of Finance, </w:t>
            </w:r>
            <w:proofErr w:type="spellStart"/>
            <w:r>
              <w:rPr>
                <w:rFonts w:ascii="Times New Roman" w:hAnsi="Times New Roman"/>
                <w:sz w:val="18"/>
              </w:rPr>
              <w:t>Labour</w:t>
            </w:r>
            <w:proofErr w:type="spellEnd"/>
            <w:r>
              <w:rPr>
                <w:rFonts w:ascii="Times New Roman" w:hAnsi="Times New Roman"/>
                <w:sz w:val="18"/>
              </w:rPr>
              <w:t xml:space="preserve"> and Transfers (MFLT).</w:t>
            </w:r>
          </w:p>
        </w:tc>
      </w:tr>
      <w:tr w:rsidR="005D6B3A" w:rsidRPr="0086165A" w14:paraId="04F1828D" w14:textId="77777777" w:rsidTr="002E72A1">
        <w:trPr>
          <w:trHeight w:val="1455"/>
        </w:trPr>
        <w:tc>
          <w:tcPr>
            <w:tcW w:w="232" w:type="pct"/>
            <w:tcBorders>
              <w:top w:val="nil"/>
              <w:left w:val="single" w:sz="8" w:space="0" w:color="auto"/>
              <w:bottom w:val="single" w:sz="8" w:space="0" w:color="auto"/>
              <w:right w:val="single" w:sz="8" w:space="0" w:color="auto"/>
            </w:tcBorders>
            <w:shd w:val="clear" w:color="000000" w:fill="FFFFFF"/>
            <w:vAlign w:val="center"/>
            <w:hideMark/>
          </w:tcPr>
          <w:p w14:paraId="4B1A50E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II.3.3</w:t>
            </w:r>
          </w:p>
        </w:tc>
        <w:tc>
          <w:tcPr>
            <w:tcW w:w="458" w:type="pct"/>
            <w:tcBorders>
              <w:top w:val="single" w:sz="8" w:space="0" w:color="auto"/>
              <w:left w:val="nil"/>
              <w:bottom w:val="single" w:sz="8" w:space="0" w:color="auto"/>
              <w:right w:val="single" w:sz="8" w:space="0" w:color="auto"/>
            </w:tcBorders>
            <w:shd w:val="clear" w:color="000000" w:fill="FFFFFF"/>
            <w:vAlign w:val="center"/>
            <w:hideMark/>
          </w:tcPr>
          <w:p w14:paraId="4B9DA0D4"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Construction of the Solar District Heating Project – Solar4Kosovë</w:t>
            </w:r>
          </w:p>
        </w:tc>
        <w:tc>
          <w:tcPr>
            <w:tcW w:w="229" w:type="pct"/>
            <w:tcBorders>
              <w:top w:val="single" w:sz="8" w:space="0" w:color="auto"/>
              <w:left w:val="nil"/>
              <w:bottom w:val="single" w:sz="8" w:space="0" w:color="auto"/>
              <w:right w:val="single" w:sz="8" w:space="0" w:color="auto"/>
            </w:tcBorders>
            <w:shd w:val="clear" w:color="000000" w:fill="FFFFFF"/>
            <w:vAlign w:val="center"/>
            <w:hideMark/>
          </w:tcPr>
          <w:p w14:paraId="792FBDB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2027</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14:paraId="4C4307F2" w14:textId="77777777" w:rsidR="00092747"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378E8B2C" w14:textId="0505D82E"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14:paraId="727DE18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402" w:type="pct"/>
            <w:tcBorders>
              <w:top w:val="single" w:sz="8" w:space="0" w:color="auto"/>
              <w:left w:val="nil"/>
              <w:bottom w:val="single" w:sz="8" w:space="0" w:color="auto"/>
              <w:right w:val="single" w:sz="8" w:space="0" w:color="auto"/>
            </w:tcBorders>
            <w:shd w:val="clear" w:color="000000" w:fill="FFFFFF"/>
            <w:vAlign w:val="center"/>
            <w:hideMark/>
          </w:tcPr>
          <w:p w14:paraId="62423AB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45,520,162.00 </w:t>
            </w:r>
          </w:p>
        </w:tc>
        <w:tc>
          <w:tcPr>
            <w:tcW w:w="405" w:type="pct"/>
            <w:tcBorders>
              <w:top w:val="single" w:sz="8" w:space="0" w:color="auto"/>
              <w:left w:val="nil"/>
              <w:bottom w:val="single" w:sz="8" w:space="0" w:color="auto"/>
              <w:right w:val="single" w:sz="8" w:space="0" w:color="auto"/>
            </w:tcBorders>
            <w:shd w:val="clear" w:color="000000" w:fill="FFFFFF"/>
            <w:vAlign w:val="center"/>
            <w:hideMark/>
          </w:tcPr>
          <w:p w14:paraId="21D3080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36,000,000.00 </w:t>
            </w:r>
          </w:p>
        </w:tc>
        <w:tc>
          <w:tcPr>
            <w:tcW w:w="398" w:type="pct"/>
            <w:tcBorders>
              <w:top w:val="nil"/>
              <w:left w:val="nil"/>
              <w:bottom w:val="single" w:sz="8" w:space="0" w:color="auto"/>
              <w:right w:val="single" w:sz="8" w:space="0" w:color="auto"/>
            </w:tcBorders>
            <w:shd w:val="clear" w:color="000000" w:fill="FFFFFF"/>
            <w:vAlign w:val="center"/>
            <w:hideMark/>
          </w:tcPr>
          <w:p w14:paraId="37E69E1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proofErr w:type="spellStart"/>
            <w:r>
              <w:rPr>
                <w:rFonts w:ascii="Times New Roman" w:hAnsi="Times New Roman"/>
                <w:sz w:val="18"/>
              </w:rPr>
              <w:t>KfW</w:t>
            </w:r>
            <w:proofErr w:type="spellEnd"/>
            <w:r>
              <w:rPr>
                <w:rFonts w:ascii="Times New Roman" w:hAnsi="Times New Roman"/>
                <w:sz w:val="18"/>
              </w:rPr>
              <w:t>, EBRD,WBIF, National Contribution</w:t>
            </w:r>
          </w:p>
        </w:tc>
        <w:tc>
          <w:tcPr>
            <w:tcW w:w="441" w:type="pct"/>
            <w:tcBorders>
              <w:top w:val="single" w:sz="8" w:space="0" w:color="auto"/>
              <w:left w:val="nil"/>
              <w:bottom w:val="single" w:sz="8" w:space="0" w:color="auto"/>
              <w:right w:val="single" w:sz="8" w:space="0" w:color="auto"/>
            </w:tcBorders>
            <w:shd w:val="clear" w:color="000000" w:fill="FFFFFF"/>
            <w:vAlign w:val="center"/>
            <w:hideMark/>
          </w:tcPr>
          <w:p w14:paraId="254C047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proofErr w:type="spellStart"/>
            <w:r>
              <w:rPr>
                <w:rFonts w:ascii="Times New Roman" w:hAnsi="Times New Roman"/>
                <w:sz w:val="18"/>
              </w:rPr>
              <w:t>Termokos</w:t>
            </w:r>
            <w:proofErr w:type="spellEnd"/>
          </w:p>
        </w:tc>
        <w:tc>
          <w:tcPr>
            <w:tcW w:w="367" w:type="pct"/>
            <w:tcBorders>
              <w:top w:val="single" w:sz="8" w:space="0" w:color="auto"/>
              <w:left w:val="nil"/>
              <w:bottom w:val="single" w:sz="8" w:space="0" w:color="auto"/>
              <w:right w:val="single" w:sz="8" w:space="0" w:color="auto"/>
            </w:tcBorders>
            <w:shd w:val="clear" w:color="000000" w:fill="FFFFFF"/>
            <w:vAlign w:val="center"/>
            <w:hideMark/>
          </w:tcPr>
          <w:p w14:paraId="70542BD5"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Additional 50 </w:t>
            </w:r>
            <w:proofErr w:type="spellStart"/>
            <w:r>
              <w:rPr>
                <w:rFonts w:ascii="Times New Roman" w:hAnsi="Times New Roman"/>
                <w:sz w:val="18"/>
              </w:rPr>
              <w:t>MWth</w:t>
            </w:r>
            <w:proofErr w:type="spellEnd"/>
            <w:r>
              <w:rPr>
                <w:rFonts w:ascii="Times New Roman" w:hAnsi="Times New Roman"/>
                <w:sz w:val="18"/>
              </w:rPr>
              <w:t xml:space="preserve"> of solar energy for </w:t>
            </w:r>
            <w:proofErr w:type="spellStart"/>
            <w:r>
              <w:rPr>
                <w:rFonts w:ascii="Times New Roman" w:hAnsi="Times New Roman"/>
                <w:sz w:val="18"/>
              </w:rPr>
              <w:t>Termokos</w:t>
            </w:r>
            <w:proofErr w:type="spellEnd"/>
            <w:r>
              <w:rPr>
                <w:rFonts w:ascii="Times New Roman" w:hAnsi="Times New Roman"/>
                <w:sz w:val="18"/>
              </w:rPr>
              <w:t xml:space="preserve">, benefiting up to 12,000 households. </w:t>
            </w:r>
          </w:p>
        </w:tc>
        <w:tc>
          <w:tcPr>
            <w:tcW w:w="392" w:type="pct"/>
            <w:tcBorders>
              <w:top w:val="single" w:sz="8" w:space="0" w:color="auto"/>
              <w:left w:val="nil"/>
              <w:bottom w:val="single" w:sz="8" w:space="0" w:color="auto"/>
              <w:right w:val="single" w:sz="8" w:space="0" w:color="auto"/>
            </w:tcBorders>
            <w:shd w:val="clear" w:color="000000" w:fill="FFFFFF"/>
            <w:vAlign w:val="center"/>
            <w:hideMark/>
          </w:tcPr>
          <w:p w14:paraId="736E14CC" w14:textId="77777777" w:rsidR="00261E62"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2022 - 2031</w:t>
            </w:r>
          </w:p>
          <w:p w14:paraId="68228C14" w14:textId="1D983676"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r>
            <w:proofErr w:type="spellStart"/>
            <w:r>
              <w:rPr>
                <w:rFonts w:ascii="Times New Roman" w:hAnsi="Times New Roman"/>
                <w:sz w:val="18"/>
              </w:rPr>
              <w:t>Termokos</w:t>
            </w:r>
            <w:proofErr w:type="spellEnd"/>
            <w:r>
              <w:rPr>
                <w:rFonts w:ascii="Times New Roman" w:hAnsi="Times New Roman"/>
                <w:sz w:val="18"/>
              </w:rPr>
              <w:t xml:space="preserve"> Development Plan for the period 2022-2031</w:t>
            </w:r>
          </w:p>
        </w:tc>
        <w:tc>
          <w:tcPr>
            <w:tcW w:w="922" w:type="pct"/>
            <w:tcBorders>
              <w:top w:val="nil"/>
              <w:left w:val="nil"/>
              <w:bottom w:val="single" w:sz="8" w:space="0" w:color="auto"/>
              <w:right w:val="single" w:sz="8" w:space="0" w:color="auto"/>
            </w:tcBorders>
            <w:shd w:val="clear" w:color="000000" w:fill="FFFFFF"/>
            <w:vAlign w:val="center"/>
            <w:hideMark/>
          </w:tcPr>
          <w:p w14:paraId="1064C54B" w14:textId="77777777" w:rsidR="00571EAF" w:rsidRPr="0086165A" w:rsidRDefault="00721BCE" w:rsidP="00571EAF">
            <w:pPr>
              <w:spacing w:after="0" w:line="240" w:lineRule="auto"/>
              <w:rPr>
                <w:rFonts w:ascii="Times New Roman" w:eastAsia="Times New Roman" w:hAnsi="Times New Roman" w:cs="Times New Roman"/>
                <w:sz w:val="18"/>
                <w:szCs w:val="18"/>
              </w:rPr>
            </w:pPr>
            <w:r>
              <w:rPr>
                <w:rFonts w:ascii="Times New Roman" w:hAnsi="Times New Roman"/>
                <w:sz w:val="18"/>
              </w:rPr>
              <w:t>The implementation of the project has not yet commenced.</w:t>
            </w:r>
          </w:p>
        </w:tc>
      </w:tr>
    </w:tbl>
    <w:p w14:paraId="402A0675" w14:textId="43271C3F" w:rsidR="008D0C63" w:rsidRDefault="008D0C63" w:rsidP="007D1D84">
      <w:pPr>
        <w:pStyle w:val="ListParagraph"/>
        <w:ind w:left="1080"/>
        <w:rPr>
          <w:rFonts w:ascii="Times New Roman" w:hAnsi="Times New Roman" w:cs="Times New Roman"/>
          <w:b/>
          <w:sz w:val="28"/>
          <w:szCs w:val="24"/>
        </w:rPr>
      </w:pPr>
    </w:p>
    <w:p w14:paraId="4E7381F7" w14:textId="404DBBD8" w:rsidR="008B1E87" w:rsidRDefault="008B1E87" w:rsidP="007D1D84">
      <w:pPr>
        <w:pStyle w:val="ListParagraph"/>
        <w:ind w:left="1080"/>
        <w:rPr>
          <w:rFonts w:ascii="Times New Roman" w:hAnsi="Times New Roman" w:cs="Times New Roman"/>
          <w:b/>
          <w:sz w:val="28"/>
          <w:szCs w:val="24"/>
        </w:rPr>
      </w:pPr>
    </w:p>
    <w:p w14:paraId="012C2284" w14:textId="1534DBA7" w:rsidR="008B1E87" w:rsidRDefault="008B1E87" w:rsidP="007D1D84">
      <w:pPr>
        <w:pStyle w:val="ListParagraph"/>
        <w:ind w:left="1080"/>
        <w:rPr>
          <w:rFonts w:ascii="Times New Roman" w:hAnsi="Times New Roman" w:cs="Times New Roman"/>
          <w:b/>
          <w:sz w:val="28"/>
          <w:szCs w:val="24"/>
        </w:rPr>
      </w:pPr>
    </w:p>
    <w:p w14:paraId="27DB43E7" w14:textId="21C8B6AB" w:rsidR="008B1E87" w:rsidRDefault="008B1E87" w:rsidP="007D1D84">
      <w:pPr>
        <w:pStyle w:val="ListParagraph"/>
        <w:ind w:left="1080"/>
        <w:rPr>
          <w:rFonts w:ascii="Times New Roman" w:hAnsi="Times New Roman" w:cs="Times New Roman"/>
          <w:b/>
          <w:sz w:val="28"/>
          <w:szCs w:val="24"/>
        </w:rPr>
      </w:pPr>
    </w:p>
    <w:p w14:paraId="2C1493BA" w14:textId="2C742159" w:rsidR="008B1E87" w:rsidRDefault="008B1E87" w:rsidP="007D1D84">
      <w:pPr>
        <w:pStyle w:val="ListParagraph"/>
        <w:ind w:left="1080"/>
        <w:rPr>
          <w:rFonts w:ascii="Times New Roman" w:hAnsi="Times New Roman" w:cs="Times New Roman"/>
          <w:b/>
          <w:sz w:val="28"/>
          <w:szCs w:val="24"/>
        </w:rPr>
      </w:pPr>
    </w:p>
    <w:p w14:paraId="7E301C32" w14:textId="77777777" w:rsidR="008B1E87" w:rsidRPr="0086165A" w:rsidRDefault="008B1E87" w:rsidP="007D1D84">
      <w:pPr>
        <w:pStyle w:val="ListParagraph"/>
        <w:ind w:left="1080"/>
        <w:rPr>
          <w:rFonts w:ascii="Times New Roman" w:hAnsi="Times New Roman" w:cs="Times New Roman"/>
          <w:b/>
          <w:sz w:val="28"/>
          <w:szCs w:val="24"/>
        </w:rPr>
      </w:pPr>
    </w:p>
    <w:tbl>
      <w:tblPr>
        <w:tblW w:w="4995" w:type="pct"/>
        <w:tblInd w:w="5" w:type="dxa"/>
        <w:tblLook w:val="04A0" w:firstRow="1" w:lastRow="0" w:firstColumn="1" w:lastColumn="0" w:noHBand="0" w:noVBand="1"/>
      </w:tblPr>
      <w:tblGrid>
        <w:gridCol w:w="663"/>
        <w:gridCol w:w="1162"/>
        <w:gridCol w:w="856"/>
        <w:gridCol w:w="1000"/>
        <w:gridCol w:w="1075"/>
        <w:gridCol w:w="1075"/>
        <w:gridCol w:w="813"/>
        <w:gridCol w:w="1469"/>
        <w:gridCol w:w="987"/>
        <w:gridCol w:w="1311"/>
        <w:gridCol w:w="1112"/>
        <w:gridCol w:w="2867"/>
      </w:tblGrid>
      <w:tr w:rsidR="007833F1" w:rsidRPr="0086165A" w14:paraId="0939E6CC" w14:textId="77777777" w:rsidTr="000134C7">
        <w:trPr>
          <w:trHeight w:val="480"/>
        </w:trPr>
        <w:tc>
          <w:tcPr>
            <w:tcW w:w="4004" w:type="pct"/>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274688ED" w14:textId="445115D0" w:rsidR="00571EAF" w:rsidRPr="0014539F" w:rsidRDefault="00571EAF" w:rsidP="00571EAF">
            <w:pPr>
              <w:spacing w:after="0" w:line="240" w:lineRule="auto"/>
              <w:jc w:val="center"/>
              <w:rPr>
                <w:rFonts w:ascii="Times New Roman" w:eastAsia="Times New Roman" w:hAnsi="Times New Roman" w:cs="Times New Roman"/>
                <w:b/>
                <w:bCs/>
                <w:i/>
                <w:iCs/>
                <w:sz w:val="24"/>
                <w:szCs w:val="24"/>
              </w:rPr>
            </w:pPr>
            <w:r>
              <w:rPr>
                <w:rFonts w:ascii="Times New Roman" w:hAnsi="Times New Roman"/>
                <w:b/>
                <w:i/>
                <w:sz w:val="24"/>
              </w:rPr>
              <w:t>MONITORING OF THE IMPLEMENTATION OF KESIP FOR THE PERIOD 2022-2025: STRATEGIC OBJECTIVE 3</w:t>
            </w:r>
          </w:p>
        </w:tc>
        <w:tc>
          <w:tcPr>
            <w:tcW w:w="996" w:type="pct"/>
            <w:tcBorders>
              <w:top w:val="nil"/>
              <w:left w:val="nil"/>
              <w:bottom w:val="nil"/>
              <w:right w:val="nil"/>
            </w:tcBorders>
            <w:shd w:val="clear" w:color="auto" w:fill="auto"/>
            <w:noWrap/>
            <w:vAlign w:val="bottom"/>
            <w:hideMark/>
          </w:tcPr>
          <w:p w14:paraId="57FFBE71" w14:textId="77777777" w:rsidR="00571EAF" w:rsidRPr="0014539F" w:rsidRDefault="00571EAF" w:rsidP="00571EAF">
            <w:pPr>
              <w:spacing w:after="0" w:line="240" w:lineRule="auto"/>
              <w:jc w:val="center"/>
              <w:rPr>
                <w:rFonts w:ascii="Times New Roman" w:eastAsia="Times New Roman" w:hAnsi="Times New Roman" w:cs="Times New Roman"/>
                <w:b/>
                <w:bCs/>
                <w:i/>
                <w:iCs/>
                <w:sz w:val="24"/>
                <w:szCs w:val="24"/>
              </w:rPr>
            </w:pPr>
          </w:p>
        </w:tc>
      </w:tr>
      <w:tr w:rsidR="007833F1" w:rsidRPr="0086165A" w14:paraId="7FF456BB" w14:textId="77777777" w:rsidTr="000134C7">
        <w:trPr>
          <w:trHeight w:val="930"/>
        </w:trPr>
        <w:tc>
          <w:tcPr>
            <w:tcW w:w="4004" w:type="pct"/>
            <w:gridSpan w:val="11"/>
            <w:tcBorders>
              <w:top w:val="nil"/>
              <w:left w:val="nil"/>
              <w:bottom w:val="single" w:sz="8" w:space="0" w:color="auto"/>
              <w:right w:val="nil"/>
            </w:tcBorders>
            <w:shd w:val="clear" w:color="auto" w:fill="auto"/>
            <w:noWrap/>
            <w:vAlign w:val="center"/>
            <w:hideMark/>
          </w:tcPr>
          <w:p w14:paraId="0D57C940" w14:textId="77777777" w:rsidR="00571EAF" w:rsidRPr="0014539F" w:rsidRDefault="00571EAF" w:rsidP="00571EAF">
            <w:pPr>
              <w:spacing w:after="0" w:line="240" w:lineRule="auto"/>
              <w:jc w:val="center"/>
              <w:rPr>
                <w:rFonts w:ascii="Times New Roman" w:eastAsia="Times New Roman" w:hAnsi="Times New Roman" w:cs="Times New Roman"/>
                <w:b/>
                <w:bCs/>
              </w:rPr>
            </w:pPr>
            <w:r>
              <w:rPr>
                <w:rFonts w:ascii="Times New Roman" w:hAnsi="Times New Roman"/>
                <w:b/>
              </w:rPr>
              <w:t>SO3: INCREASING ENERGY EFFICIENCY</w:t>
            </w:r>
          </w:p>
        </w:tc>
        <w:tc>
          <w:tcPr>
            <w:tcW w:w="996" w:type="pct"/>
            <w:tcBorders>
              <w:top w:val="nil"/>
              <w:left w:val="nil"/>
              <w:bottom w:val="nil"/>
              <w:right w:val="nil"/>
            </w:tcBorders>
            <w:shd w:val="clear" w:color="auto" w:fill="auto"/>
            <w:noWrap/>
            <w:vAlign w:val="bottom"/>
            <w:hideMark/>
          </w:tcPr>
          <w:p w14:paraId="7BD04502" w14:textId="77777777" w:rsidR="00571EAF" w:rsidRPr="0014539F" w:rsidRDefault="00571EAF" w:rsidP="00571EAF">
            <w:pPr>
              <w:spacing w:after="0" w:line="240" w:lineRule="auto"/>
              <w:jc w:val="center"/>
              <w:rPr>
                <w:rFonts w:ascii="Times New Roman" w:eastAsia="Times New Roman" w:hAnsi="Times New Roman" w:cs="Times New Roman"/>
                <w:b/>
                <w:bCs/>
              </w:rPr>
            </w:pPr>
          </w:p>
        </w:tc>
      </w:tr>
      <w:tr w:rsidR="007833F1" w:rsidRPr="0086165A" w14:paraId="3309C776" w14:textId="77777777" w:rsidTr="000134C7">
        <w:trPr>
          <w:trHeight w:val="1275"/>
        </w:trPr>
        <w:tc>
          <w:tcPr>
            <w:tcW w:w="231" w:type="pct"/>
            <w:tcBorders>
              <w:top w:val="nil"/>
              <w:left w:val="single" w:sz="8" w:space="0" w:color="auto"/>
              <w:bottom w:val="nil"/>
              <w:right w:val="single" w:sz="8" w:space="0" w:color="auto"/>
            </w:tcBorders>
            <w:shd w:val="clear" w:color="000000" w:fill="BDD6EE"/>
            <w:vAlign w:val="center"/>
            <w:hideMark/>
          </w:tcPr>
          <w:p w14:paraId="5BB0519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11" w:type="pct"/>
            <w:tcBorders>
              <w:top w:val="nil"/>
              <w:left w:val="nil"/>
              <w:bottom w:val="nil"/>
              <w:right w:val="single" w:sz="8" w:space="0" w:color="auto"/>
            </w:tcBorders>
            <w:shd w:val="clear" w:color="000000" w:fill="BDD6EE"/>
            <w:vAlign w:val="center"/>
            <w:hideMark/>
          </w:tcPr>
          <w:p w14:paraId="16382D30"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Strategic and specific objectives, indicators and actions</w:t>
            </w:r>
          </w:p>
        </w:tc>
        <w:tc>
          <w:tcPr>
            <w:tcW w:w="1023" w:type="pct"/>
            <w:gridSpan w:val="3"/>
            <w:tcBorders>
              <w:top w:val="single" w:sz="8" w:space="0" w:color="auto"/>
              <w:left w:val="nil"/>
              <w:bottom w:val="nil"/>
              <w:right w:val="single" w:sz="8" w:space="0" w:color="000000"/>
            </w:tcBorders>
            <w:shd w:val="clear" w:color="000000" w:fill="BDD6EE"/>
            <w:vAlign w:val="center"/>
            <w:hideMark/>
          </w:tcPr>
          <w:p w14:paraId="042A378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Baseline value</w:t>
            </w:r>
          </w:p>
        </w:tc>
        <w:tc>
          <w:tcPr>
            <w:tcW w:w="659" w:type="pct"/>
            <w:gridSpan w:val="2"/>
            <w:tcBorders>
              <w:top w:val="single" w:sz="8" w:space="0" w:color="auto"/>
              <w:left w:val="nil"/>
              <w:bottom w:val="single" w:sz="8" w:space="0" w:color="auto"/>
              <w:right w:val="single" w:sz="8" w:space="0" w:color="000000"/>
            </w:tcBorders>
            <w:shd w:val="clear" w:color="000000" w:fill="BDD6EE"/>
            <w:vAlign w:val="center"/>
            <w:hideMark/>
          </w:tcPr>
          <w:p w14:paraId="62A1B6A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Interim objective</w:t>
            </w:r>
            <w:r>
              <w:rPr>
                <w:rFonts w:ascii="Times New Roman" w:hAnsi="Times New Roman"/>
                <w:b/>
                <w:sz w:val="18"/>
              </w:rPr>
              <w:br/>
              <w:t>2025</w:t>
            </w:r>
          </w:p>
        </w:tc>
        <w:tc>
          <w:tcPr>
            <w:tcW w:w="520" w:type="pct"/>
            <w:tcBorders>
              <w:top w:val="nil"/>
              <w:left w:val="nil"/>
              <w:bottom w:val="nil"/>
              <w:right w:val="single" w:sz="8" w:space="0" w:color="auto"/>
            </w:tcBorders>
            <w:shd w:val="clear" w:color="000000" w:fill="BDD6EE"/>
            <w:vAlign w:val="center"/>
            <w:hideMark/>
          </w:tcPr>
          <w:p w14:paraId="70E9C2E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160" w:type="pct"/>
            <w:gridSpan w:val="3"/>
            <w:tcBorders>
              <w:top w:val="single" w:sz="8" w:space="0" w:color="auto"/>
              <w:left w:val="nil"/>
              <w:bottom w:val="nil"/>
              <w:right w:val="single" w:sz="8" w:space="0" w:color="000000"/>
            </w:tcBorders>
            <w:shd w:val="clear" w:color="000000" w:fill="BDD6EE"/>
            <w:vAlign w:val="center"/>
            <w:hideMark/>
          </w:tcPr>
          <w:p w14:paraId="52E69FE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Result</w:t>
            </w:r>
          </w:p>
        </w:tc>
        <w:tc>
          <w:tcPr>
            <w:tcW w:w="996" w:type="pct"/>
            <w:tcBorders>
              <w:top w:val="nil"/>
              <w:left w:val="nil"/>
              <w:bottom w:val="nil"/>
              <w:right w:val="nil"/>
            </w:tcBorders>
            <w:shd w:val="clear" w:color="auto" w:fill="auto"/>
            <w:noWrap/>
            <w:vAlign w:val="bottom"/>
            <w:hideMark/>
          </w:tcPr>
          <w:p w14:paraId="74927E7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7833F1" w:rsidRPr="0086165A" w14:paraId="65137ED5" w14:textId="77777777" w:rsidTr="000134C7">
        <w:trPr>
          <w:trHeight w:val="315"/>
        </w:trPr>
        <w:tc>
          <w:tcPr>
            <w:tcW w:w="231" w:type="pct"/>
            <w:tcBorders>
              <w:top w:val="nil"/>
              <w:left w:val="single" w:sz="8" w:space="0" w:color="auto"/>
              <w:bottom w:val="single" w:sz="8" w:space="0" w:color="auto"/>
              <w:right w:val="single" w:sz="8" w:space="0" w:color="auto"/>
            </w:tcBorders>
            <w:shd w:val="clear" w:color="000000" w:fill="BFBFBF"/>
            <w:vAlign w:val="center"/>
            <w:hideMark/>
          </w:tcPr>
          <w:p w14:paraId="1935D10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III.</w:t>
            </w:r>
          </w:p>
        </w:tc>
        <w:tc>
          <w:tcPr>
            <w:tcW w:w="3773" w:type="pct"/>
            <w:gridSpan w:val="10"/>
            <w:tcBorders>
              <w:top w:val="single" w:sz="8" w:space="0" w:color="auto"/>
              <w:left w:val="nil"/>
              <w:bottom w:val="single" w:sz="8" w:space="0" w:color="auto"/>
              <w:right w:val="single" w:sz="8" w:space="0" w:color="000000"/>
            </w:tcBorders>
            <w:shd w:val="clear" w:color="000000" w:fill="BFBFBF"/>
            <w:vAlign w:val="center"/>
            <w:hideMark/>
          </w:tcPr>
          <w:p w14:paraId="40A01D15"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rPr>
              <w:t>STRATEGIC OBJECTIVE 3: INCREASING ENERGY EFFICIENCY (EE)</w:t>
            </w:r>
          </w:p>
        </w:tc>
        <w:tc>
          <w:tcPr>
            <w:tcW w:w="996" w:type="pct"/>
            <w:tcBorders>
              <w:top w:val="nil"/>
              <w:left w:val="nil"/>
              <w:bottom w:val="nil"/>
              <w:right w:val="nil"/>
            </w:tcBorders>
            <w:shd w:val="clear" w:color="auto" w:fill="auto"/>
            <w:noWrap/>
            <w:vAlign w:val="bottom"/>
            <w:hideMark/>
          </w:tcPr>
          <w:p w14:paraId="598882E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7833F1" w:rsidRPr="0086165A" w14:paraId="086F1C18" w14:textId="77777777" w:rsidTr="000134C7">
        <w:trPr>
          <w:trHeight w:val="1240"/>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37F5AF2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11" w:type="pct"/>
            <w:tcBorders>
              <w:top w:val="nil"/>
              <w:left w:val="nil"/>
              <w:bottom w:val="single" w:sz="8" w:space="0" w:color="auto"/>
              <w:right w:val="single" w:sz="8" w:space="0" w:color="auto"/>
            </w:tcBorders>
            <w:shd w:val="clear" w:color="auto" w:fill="auto"/>
            <w:vAlign w:val="center"/>
            <w:hideMark/>
          </w:tcPr>
          <w:p w14:paraId="674E76F0"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Indicator: The level of final energy consumption</w:t>
            </w:r>
          </w:p>
        </w:tc>
        <w:tc>
          <w:tcPr>
            <w:tcW w:w="1023" w:type="pct"/>
            <w:gridSpan w:val="3"/>
            <w:tcBorders>
              <w:top w:val="single" w:sz="8" w:space="0" w:color="auto"/>
              <w:left w:val="nil"/>
              <w:bottom w:val="nil"/>
              <w:right w:val="single" w:sz="8" w:space="0" w:color="000000"/>
            </w:tcBorders>
            <w:shd w:val="clear" w:color="auto" w:fill="auto"/>
            <w:vAlign w:val="center"/>
            <w:hideMark/>
          </w:tcPr>
          <w:p w14:paraId="4835BF5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1516 </w:t>
            </w:r>
            <w:proofErr w:type="spellStart"/>
            <w:r>
              <w:rPr>
                <w:rFonts w:ascii="Times New Roman" w:hAnsi="Times New Roman"/>
                <w:sz w:val="18"/>
              </w:rPr>
              <w:t>ktoe</w:t>
            </w:r>
            <w:proofErr w:type="spellEnd"/>
            <w:r>
              <w:rPr>
                <w:rFonts w:ascii="Times New Roman" w:hAnsi="Times New Roman"/>
                <w:sz w:val="18"/>
              </w:rPr>
              <w:t xml:space="preserve"> [2017] </w:t>
            </w:r>
          </w:p>
        </w:tc>
        <w:tc>
          <w:tcPr>
            <w:tcW w:w="659" w:type="pct"/>
            <w:gridSpan w:val="2"/>
            <w:tcBorders>
              <w:top w:val="single" w:sz="8" w:space="0" w:color="auto"/>
              <w:left w:val="nil"/>
              <w:bottom w:val="nil"/>
              <w:right w:val="single" w:sz="8" w:space="0" w:color="000000"/>
            </w:tcBorders>
            <w:shd w:val="clear" w:color="auto" w:fill="auto"/>
            <w:vAlign w:val="center"/>
            <w:hideMark/>
          </w:tcPr>
          <w:p w14:paraId="50FB150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1709 </w:t>
            </w:r>
            <w:proofErr w:type="spellStart"/>
            <w:r>
              <w:rPr>
                <w:rFonts w:ascii="Times New Roman" w:hAnsi="Times New Roman"/>
                <w:sz w:val="18"/>
              </w:rPr>
              <w:t>ktoe</w:t>
            </w:r>
            <w:proofErr w:type="spellEnd"/>
          </w:p>
        </w:tc>
        <w:tc>
          <w:tcPr>
            <w:tcW w:w="520" w:type="pct"/>
            <w:tcBorders>
              <w:top w:val="nil"/>
              <w:left w:val="nil"/>
              <w:bottom w:val="single" w:sz="8" w:space="0" w:color="auto"/>
              <w:right w:val="single" w:sz="8" w:space="0" w:color="auto"/>
            </w:tcBorders>
            <w:shd w:val="clear" w:color="auto" w:fill="auto"/>
            <w:vAlign w:val="center"/>
            <w:hideMark/>
          </w:tcPr>
          <w:p w14:paraId="4B62508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1877 </w:t>
            </w:r>
            <w:proofErr w:type="spellStart"/>
            <w:r>
              <w:rPr>
                <w:rFonts w:ascii="Times New Roman" w:hAnsi="Times New Roman"/>
                <w:sz w:val="18"/>
              </w:rPr>
              <w:t>ktoe</w:t>
            </w:r>
            <w:proofErr w:type="spellEnd"/>
          </w:p>
        </w:tc>
        <w:tc>
          <w:tcPr>
            <w:tcW w:w="1160" w:type="pct"/>
            <w:gridSpan w:val="3"/>
            <w:tcBorders>
              <w:top w:val="single" w:sz="8" w:space="0" w:color="auto"/>
              <w:left w:val="nil"/>
              <w:bottom w:val="nil"/>
              <w:right w:val="single" w:sz="8" w:space="0" w:color="000000"/>
            </w:tcBorders>
            <w:shd w:val="clear" w:color="auto" w:fill="auto"/>
            <w:vAlign w:val="center"/>
            <w:hideMark/>
          </w:tcPr>
          <w:p w14:paraId="15B86AF1"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996" w:type="pct"/>
            <w:tcBorders>
              <w:top w:val="nil"/>
              <w:left w:val="nil"/>
              <w:bottom w:val="nil"/>
              <w:right w:val="nil"/>
            </w:tcBorders>
            <w:shd w:val="clear" w:color="auto" w:fill="auto"/>
            <w:noWrap/>
            <w:vAlign w:val="bottom"/>
            <w:hideMark/>
          </w:tcPr>
          <w:p w14:paraId="5EEB6ADA"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7833F1" w:rsidRPr="0086165A" w14:paraId="30E70647" w14:textId="77777777" w:rsidTr="000134C7">
        <w:trPr>
          <w:trHeight w:val="73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2995719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411" w:type="pct"/>
            <w:tcBorders>
              <w:top w:val="nil"/>
              <w:left w:val="nil"/>
              <w:bottom w:val="single" w:sz="8" w:space="0" w:color="auto"/>
              <w:right w:val="single" w:sz="8" w:space="0" w:color="auto"/>
            </w:tcBorders>
            <w:shd w:val="clear" w:color="auto" w:fill="auto"/>
            <w:vAlign w:val="center"/>
            <w:hideMark/>
          </w:tcPr>
          <w:p w14:paraId="6533F337"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Indicator: Cumulative energy savings achieved in the construction sector</w:t>
            </w:r>
          </w:p>
        </w:tc>
        <w:tc>
          <w:tcPr>
            <w:tcW w:w="1023" w:type="pct"/>
            <w:gridSpan w:val="3"/>
            <w:tcBorders>
              <w:top w:val="single" w:sz="8" w:space="0" w:color="auto"/>
              <w:left w:val="nil"/>
              <w:bottom w:val="single" w:sz="8" w:space="0" w:color="auto"/>
              <w:right w:val="single" w:sz="8" w:space="0" w:color="000000"/>
            </w:tcBorders>
            <w:shd w:val="clear" w:color="auto" w:fill="auto"/>
            <w:vAlign w:val="center"/>
            <w:hideMark/>
          </w:tcPr>
          <w:p w14:paraId="15066FC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2.7 </w:t>
            </w:r>
            <w:proofErr w:type="spellStart"/>
            <w:r>
              <w:rPr>
                <w:rFonts w:ascii="Times New Roman" w:hAnsi="Times New Roman"/>
                <w:sz w:val="18"/>
              </w:rPr>
              <w:t>ktoe</w:t>
            </w:r>
            <w:proofErr w:type="spellEnd"/>
            <w:r>
              <w:rPr>
                <w:rFonts w:ascii="Times New Roman" w:hAnsi="Times New Roman"/>
                <w:sz w:val="18"/>
              </w:rPr>
              <w:t xml:space="preserve">  [2021] </w:t>
            </w:r>
          </w:p>
        </w:tc>
        <w:tc>
          <w:tcPr>
            <w:tcW w:w="659" w:type="pct"/>
            <w:gridSpan w:val="2"/>
            <w:tcBorders>
              <w:top w:val="single" w:sz="8" w:space="0" w:color="auto"/>
              <w:left w:val="nil"/>
              <w:bottom w:val="nil"/>
              <w:right w:val="single" w:sz="8" w:space="0" w:color="000000"/>
            </w:tcBorders>
            <w:shd w:val="clear" w:color="auto" w:fill="auto"/>
            <w:vAlign w:val="center"/>
            <w:hideMark/>
          </w:tcPr>
          <w:p w14:paraId="32FA12B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17.76 </w:t>
            </w:r>
            <w:proofErr w:type="spellStart"/>
            <w:r>
              <w:rPr>
                <w:rFonts w:ascii="Times New Roman" w:hAnsi="Times New Roman"/>
                <w:sz w:val="18"/>
              </w:rPr>
              <w:t>ktoe</w:t>
            </w:r>
            <w:proofErr w:type="spellEnd"/>
          </w:p>
        </w:tc>
        <w:tc>
          <w:tcPr>
            <w:tcW w:w="520" w:type="pct"/>
            <w:tcBorders>
              <w:top w:val="nil"/>
              <w:left w:val="nil"/>
              <w:bottom w:val="single" w:sz="8" w:space="0" w:color="auto"/>
              <w:right w:val="single" w:sz="8" w:space="0" w:color="auto"/>
            </w:tcBorders>
            <w:shd w:val="clear" w:color="auto" w:fill="auto"/>
            <w:vAlign w:val="center"/>
            <w:hideMark/>
          </w:tcPr>
          <w:p w14:paraId="3EAD850C" w14:textId="77777777" w:rsidR="00571EAF" w:rsidRPr="00E80A34"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266.4 </w:t>
            </w:r>
            <w:proofErr w:type="spellStart"/>
            <w:r>
              <w:rPr>
                <w:rFonts w:ascii="Times New Roman" w:hAnsi="Times New Roman"/>
                <w:sz w:val="18"/>
              </w:rPr>
              <w:t>ktoe</w:t>
            </w:r>
            <w:proofErr w:type="spellEnd"/>
          </w:p>
        </w:tc>
        <w:tc>
          <w:tcPr>
            <w:tcW w:w="1160" w:type="pct"/>
            <w:gridSpan w:val="3"/>
            <w:tcBorders>
              <w:top w:val="single" w:sz="8" w:space="0" w:color="auto"/>
              <w:left w:val="nil"/>
              <w:bottom w:val="single" w:sz="8" w:space="0" w:color="auto"/>
              <w:right w:val="single" w:sz="8" w:space="0" w:color="000000"/>
            </w:tcBorders>
            <w:shd w:val="clear" w:color="auto" w:fill="auto"/>
            <w:vAlign w:val="center"/>
            <w:hideMark/>
          </w:tcPr>
          <w:p w14:paraId="21D5F387" w14:textId="7F4A5B20" w:rsidR="00571EAF" w:rsidRPr="00E80A34" w:rsidRDefault="00897969" w:rsidP="00897969">
            <w:pPr>
              <w:spacing w:after="0" w:line="240" w:lineRule="auto"/>
              <w:rPr>
                <w:rFonts w:ascii="Times New Roman" w:eastAsia="Times New Roman" w:hAnsi="Times New Roman" w:cs="Times New Roman"/>
                <w:sz w:val="18"/>
                <w:szCs w:val="18"/>
              </w:rPr>
            </w:pPr>
            <w:r>
              <w:rPr>
                <w:rFonts w:ascii="Times New Roman" w:hAnsi="Times New Roman"/>
                <w:sz w:val="18"/>
              </w:rPr>
              <w:t xml:space="preserve">6.6 </w:t>
            </w:r>
            <w:proofErr w:type="spellStart"/>
            <w:r>
              <w:rPr>
                <w:rFonts w:ascii="Times New Roman" w:hAnsi="Times New Roman"/>
                <w:sz w:val="18"/>
              </w:rPr>
              <w:t>ktoe</w:t>
            </w:r>
            <w:proofErr w:type="spellEnd"/>
            <w:r>
              <w:rPr>
                <w:rFonts w:ascii="Times New Roman" w:hAnsi="Times New Roman"/>
                <w:sz w:val="18"/>
              </w:rPr>
              <w:t xml:space="preserve"> (2024)</w:t>
            </w:r>
          </w:p>
        </w:tc>
        <w:tc>
          <w:tcPr>
            <w:tcW w:w="996" w:type="pct"/>
            <w:tcBorders>
              <w:top w:val="nil"/>
              <w:left w:val="nil"/>
              <w:bottom w:val="nil"/>
              <w:right w:val="nil"/>
            </w:tcBorders>
            <w:shd w:val="clear" w:color="auto" w:fill="auto"/>
            <w:noWrap/>
            <w:vAlign w:val="bottom"/>
          </w:tcPr>
          <w:p w14:paraId="27EC578A" w14:textId="5B310B4B" w:rsidR="00571EAF" w:rsidRPr="007833F1" w:rsidRDefault="00571EAF" w:rsidP="00571EAF">
            <w:pPr>
              <w:spacing w:after="0" w:line="240" w:lineRule="auto"/>
              <w:rPr>
                <w:rFonts w:ascii="Times New Roman" w:eastAsia="Times New Roman" w:hAnsi="Times New Roman" w:cs="Times New Roman"/>
                <w:sz w:val="18"/>
                <w:szCs w:val="18"/>
                <w:highlight w:val="yellow"/>
              </w:rPr>
            </w:pPr>
          </w:p>
        </w:tc>
      </w:tr>
      <w:tr w:rsidR="007833F1" w:rsidRPr="0086165A" w14:paraId="5517D4A8" w14:textId="77777777" w:rsidTr="000134C7">
        <w:trPr>
          <w:trHeight w:val="315"/>
        </w:trPr>
        <w:tc>
          <w:tcPr>
            <w:tcW w:w="231" w:type="pct"/>
            <w:tcBorders>
              <w:top w:val="nil"/>
              <w:left w:val="single" w:sz="8" w:space="0" w:color="auto"/>
              <w:bottom w:val="single" w:sz="8" w:space="0" w:color="auto"/>
              <w:right w:val="single" w:sz="8" w:space="0" w:color="auto"/>
            </w:tcBorders>
            <w:shd w:val="clear" w:color="000000" w:fill="D9D9D9"/>
            <w:vAlign w:val="center"/>
            <w:hideMark/>
          </w:tcPr>
          <w:p w14:paraId="29E88DA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III.1</w:t>
            </w:r>
          </w:p>
        </w:tc>
        <w:tc>
          <w:tcPr>
            <w:tcW w:w="3773" w:type="pct"/>
            <w:gridSpan w:val="10"/>
            <w:tcBorders>
              <w:top w:val="single" w:sz="8" w:space="0" w:color="auto"/>
              <w:left w:val="nil"/>
              <w:bottom w:val="single" w:sz="8" w:space="0" w:color="auto"/>
              <w:right w:val="single" w:sz="8" w:space="0" w:color="000000"/>
            </w:tcBorders>
            <w:shd w:val="clear" w:color="000000" w:fill="D9D9D9"/>
            <w:vAlign w:val="center"/>
            <w:hideMark/>
          </w:tcPr>
          <w:p w14:paraId="598F6B41"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Improving Energy Efficiency (EE) in buildings</w:t>
            </w:r>
          </w:p>
        </w:tc>
        <w:tc>
          <w:tcPr>
            <w:tcW w:w="996" w:type="pct"/>
            <w:tcBorders>
              <w:top w:val="nil"/>
              <w:left w:val="nil"/>
              <w:bottom w:val="nil"/>
              <w:right w:val="nil"/>
            </w:tcBorders>
            <w:shd w:val="clear" w:color="auto" w:fill="auto"/>
            <w:noWrap/>
            <w:vAlign w:val="bottom"/>
            <w:hideMark/>
          </w:tcPr>
          <w:p w14:paraId="6E1274C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7833F1" w:rsidRPr="0086165A" w14:paraId="108F78F0" w14:textId="77777777" w:rsidTr="00A347F4">
        <w:trPr>
          <w:trHeight w:val="735"/>
        </w:trPr>
        <w:tc>
          <w:tcPr>
            <w:tcW w:w="231" w:type="pct"/>
            <w:tcBorders>
              <w:top w:val="nil"/>
              <w:left w:val="single" w:sz="8" w:space="0" w:color="auto"/>
              <w:bottom w:val="single" w:sz="8" w:space="0" w:color="auto"/>
              <w:right w:val="single" w:sz="8" w:space="0" w:color="auto"/>
            </w:tcBorders>
            <w:shd w:val="clear" w:color="000000" w:fill="D0CECE"/>
            <w:vAlign w:val="center"/>
            <w:hideMark/>
          </w:tcPr>
          <w:p w14:paraId="0E46185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411" w:type="pct"/>
            <w:tcBorders>
              <w:top w:val="nil"/>
              <w:left w:val="nil"/>
              <w:bottom w:val="single" w:sz="8" w:space="0" w:color="auto"/>
              <w:right w:val="single" w:sz="8" w:space="0" w:color="auto"/>
            </w:tcBorders>
            <w:shd w:val="clear" w:color="000000" w:fill="D0CECE"/>
            <w:vAlign w:val="center"/>
            <w:hideMark/>
          </w:tcPr>
          <w:p w14:paraId="3221476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1023" w:type="pct"/>
            <w:gridSpan w:val="3"/>
            <w:tcBorders>
              <w:top w:val="single" w:sz="8" w:space="0" w:color="auto"/>
              <w:left w:val="nil"/>
              <w:bottom w:val="single" w:sz="8" w:space="0" w:color="auto"/>
              <w:right w:val="nil"/>
            </w:tcBorders>
            <w:shd w:val="clear" w:color="000000" w:fill="D9D9D9"/>
            <w:vAlign w:val="center"/>
            <w:hideMark/>
          </w:tcPr>
          <w:p w14:paraId="41BD2D4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659" w:type="pct"/>
            <w:gridSpan w:val="2"/>
            <w:tcBorders>
              <w:top w:val="single" w:sz="8" w:space="0" w:color="auto"/>
              <w:left w:val="single" w:sz="8" w:space="0" w:color="auto"/>
              <w:bottom w:val="single" w:sz="8" w:space="0" w:color="auto"/>
              <w:right w:val="nil"/>
            </w:tcBorders>
            <w:shd w:val="clear" w:color="000000" w:fill="D9D9D9"/>
            <w:vAlign w:val="center"/>
            <w:hideMark/>
          </w:tcPr>
          <w:p w14:paraId="117F0E7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520" w:type="pct"/>
            <w:tcBorders>
              <w:top w:val="nil"/>
              <w:left w:val="single" w:sz="8" w:space="0" w:color="auto"/>
              <w:bottom w:val="single" w:sz="4" w:space="0" w:color="auto"/>
              <w:right w:val="single" w:sz="8" w:space="0" w:color="auto"/>
            </w:tcBorders>
            <w:shd w:val="clear" w:color="000000" w:fill="D9D9D9"/>
            <w:vAlign w:val="center"/>
            <w:hideMark/>
          </w:tcPr>
          <w:p w14:paraId="525A562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160" w:type="pct"/>
            <w:gridSpan w:val="3"/>
            <w:tcBorders>
              <w:top w:val="single" w:sz="8" w:space="0" w:color="auto"/>
              <w:left w:val="nil"/>
              <w:bottom w:val="single" w:sz="8" w:space="0" w:color="auto"/>
              <w:right w:val="single" w:sz="8" w:space="0" w:color="000000"/>
            </w:tcBorders>
            <w:shd w:val="clear" w:color="000000" w:fill="D9D9D9"/>
            <w:vAlign w:val="center"/>
            <w:hideMark/>
          </w:tcPr>
          <w:p w14:paraId="6EA8D49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996" w:type="pct"/>
            <w:tcBorders>
              <w:top w:val="nil"/>
              <w:left w:val="nil"/>
              <w:bottom w:val="nil"/>
              <w:right w:val="nil"/>
            </w:tcBorders>
            <w:shd w:val="clear" w:color="auto" w:fill="auto"/>
            <w:noWrap/>
            <w:vAlign w:val="bottom"/>
            <w:hideMark/>
          </w:tcPr>
          <w:p w14:paraId="5DF163D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7833F1" w:rsidRPr="0086165A" w14:paraId="293F901A" w14:textId="77777777" w:rsidTr="00A347F4">
        <w:trPr>
          <w:trHeight w:val="49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6B1F362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11" w:type="pct"/>
            <w:tcBorders>
              <w:top w:val="nil"/>
              <w:left w:val="nil"/>
              <w:bottom w:val="single" w:sz="8" w:space="0" w:color="auto"/>
              <w:right w:val="single" w:sz="8" w:space="0" w:color="auto"/>
            </w:tcBorders>
            <w:shd w:val="clear" w:color="auto" w:fill="auto"/>
            <w:vAlign w:val="center"/>
            <w:hideMark/>
          </w:tcPr>
          <w:p w14:paraId="276D3B07"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Total cumulative energy </w:t>
            </w:r>
            <w:r>
              <w:rPr>
                <w:rFonts w:ascii="Times New Roman" w:hAnsi="Times New Roman"/>
                <w:sz w:val="18"/>
              </w:rPr>
              <w:br/>
              <w:t>savings in public buildings</w:t>
            </w:r>
          </w:p>
        </w:tc>
        <w:tc>
          <w:tcPr>
            <w:tcW w:w="1023" w:type="pct"/>
            <w:gridSpan w:val="3"/>
            <w:tcBorders>
              <w:top w:val="single" w:sz="8" w:space="0" w:color="auto"/>
              <w:left w:val="nil"/>
              <w:bottom w:val="single" w:sz="8" w:space="0" w:color="auto"/>
              <w:right w:val="single" w:sz="8" w:space="0" w:color="000000"/>
            </w:tcBorders>
            <w:shd w:val="clear" w:color="auto" w:fill="auto"/>
            <w:vAlign w:val="center"/>
            <w:hideMark/>
          </w:tcPr>
          <w:p w14:paraId="247E52B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2.6 </w:t>
            </w:r>
            <w:proofErr w:type="spellStart"/>
            <w:r>
              <w:rPr>
                <w:rFonts w:ascii="Times New Roman" w:hAnsi="Times New Roman"/>
                <w:sz w:val="18"/>
              </w:rPr>
              <w:t>ktoe</w:t>
            </w:r>
            <w:proofErr w:type="spellEnd"/>
            <w:r>
              <w:rPr>
                <w:rFonts w:ascii="Times New Roman" w:hAnsi="Times New Roman"/>
                <w:sz w:val="18"/>
              </w:rPr>
              <w:t xml:space="preserve"> [2021]</w:t>
            </w:r>
          </w:p>
        </w:tc>
        <w:tc>
          <w:tcPr>
            <w:tcW w:w="659" w:type="pct"/>
            <w:gridSpan w:val="2"/>
            <w:tcBorders>
              <w:top w:val="single" w:sz="8" w:space="0" w:color="auto"/>
              <w:left w:val="nil"/>
              <w:bottom w:val="single" w:sz="8" w:space="0" w:color="auto"/>
              <w:right w:val="single" w:sz="8" w:space="0" w:color="000000"/>
            </w:tcBorders>
            <w:shd w:val="clear" w:color="000000" w:fill="FFFFFF"/>
            <w:vAlign w:val="center"/>
            <w:hideMark/>
          </w:tcPr>
          <w:p w14:paraId="1D36E6E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3.3 </w:t>
            </w:r>
            <w:proofErr w:type="spellStart"/>
            <w:r>
              <w:rPr>
                <w:rFonts w:ascii="Times New Roman" w:hAnsi="Times New Roman"/>
                <w:sz w:val="18"/>
              </w:rPr>
              <w:t>ktoe</w:t>
            </w:r>
            <w:proofErr w:type="spellEnd"/>
          </w:p>
        </w:tc>
        <w:tc>
          <w:tcPr>
            <w:tcW w:w="520" w:type="pct"/>
            <w:tcBorders>
              <w:top w:val="single" w:sz="4" w:space="0" w:color="auto"/>
              <w:left w:val="nil"/>
              <w:bottom w:val="single" w:sz="8" w:space="0" w:color="000000"/>
              <w:right w:val="single" w:sz="8" w:space="0" w:color="000000"/>
            </w:tcBorders>
            <w:shd w:val="clear" w:color="000000" w:fill="FFFFFF"/>
            <w:vAlign w:val="center"/>
            <w:hideMark/>
          </w:tcPr>
          <w:p w14:paraId="5E460CC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33.9 </w:t>
            </w:r>
            <w:proofErr w:type="spellStart"/>
            <w:r>
              <w:rPr>
                <w:rFonts w:ascii="Times New Roman" w:hAnsi="Times New Roman"/>
                <w:sz w:val="18"/>
              </w:rPr>
              <w:t>ktoe</w:t>
            </w:r>
            <w:proofErr w:type="spellEnd"/>
            <w:r>
              <w:rPr>
                <w:rFonts w:ascii="Times New Roman" w:hAnsi="Times New Roman"/>
                <w:sz w:val="18"/>
              </w:rPr>
              <w:t xml:space="preserve"> </w:t>
            </w:r>
          </w:p>
        </w:tc>
        <w:tc>
          <w:tcPr>
            <w:tcW w:w="1160" w:type="pct"/>
            <w:gridSpan w:val="3"/>
            <w:tcBorders>
              <w:top w:val="single" w:sz="8" w:space="0" w:color="auto"/>
              <w:left w:val="nil"/>
              <w:bottom w:val="single" w:sz="8" w:space="0" w:color="auto"/>
              <w:right w:val="single" w:sz="8" w:space="0" w:color="000000"/>
            </w:tcBorders>
            <w:shd w:val="clear" w:color="auto" w:fill="auto"/>
            <w:vAlign w:val="center"/>
            <w:hideMark/>
          </w:tcPr>
          <w:p w14:paraId="40642F37" w14:textId="77777777" w:rsidR="00571EAF" w:rsidRPr="0086165A" w:rsidRDefault="00571EAF" w:rsidP="00571EAF">
            <w:pPr>
              <w:spacing w:after="0" w:line="240" w:lineRule="auto"/>
              <w:rPr>
                <w:rFonts w:ascii="Times New Roman" w:eastAsia="Times New Roman" w:hAnsi="Times New Roman" w:cs="Times New Roman"/>
                <w:sz w:val="24"/>
                <w:szCs w:val="24"/>
              </w:rPr>
            </w:pPr>
          </w:p>
        </w:tc>
        <w:tc>
          <w:tcPr>
            <w:tcW w:w="996" w:type="pct"/>
            <w:tcBorders>
              <w:top w:val="nil"/>
              <w:left w:val="nil"/>
              <w:bottom w:val="nil"/>
              <w:right w:val="nil"/>
            </w:tcBorders>
            <w:shd w:val="clear" w:color="auto" w:fill="auto"/>
            <w:noWrap/>
            <w:vAlign w:val="bottom"/>
            <w:hideMark/>
          </w:tcPr>
          <w:p w14:paraId="5E74286C"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7833F1" w:rsidRPr="0086165A" w14:paraId="6F99A7C3" w14:textId="77777777" w:rsidTr="000134C7">
        <w:trPr>
          <w:trHeight w:val="73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0687F94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411" w:type="pct"/>
            <w:tcBorders>
              <w:top w:val="nil"/>
              <w:left w:val="nil"/>
              <w:bottom w:val="single" w:sz="8" w:space="0" w:color="auto"/>
              <w:right w:val="single" w:sz="8" w:space="0" w:color="auto"/>
            </w:tcBorders>
            <w:shd w:val="clear" w:color="auto" w:fill="auto"/>
            <w:vAlign w:val="center"/>
            <w:hideMark/>
          </w:tcPr>
          <w:p w14:paraId="29721B37"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Total cumulative energy savings</w:t>
            </w:r>
            <w:r>
              <w:rPr>
                <w:rFonts w:ascii="Times New Roman" w:hAnsi="Times New Roman"/>
                <w:sz w:val="18"/>
              </w:rPr>
              <w:br/>
            </w:r>
            <w:r>
              <w:rPr>
                <w:rFonts w:ascii="Times New Roman" w:hAnsi="Times New Roman"/>
                <w:sz w:val="18"/>
              </w:rPr>
              <w:lastRenderedPageBreak/>
              <w:t xml:space="preserve">in residential and commercial </w:t>
            </w:r>
            <w:r>
              <w:rPr>
                <w:rFonts w:ascii="Times New Roman" w:hAnsi="Times New Roman"/>
                <w:sz w:val="18"/>
              </w:rPr>
              <w:br/>
              <w:t>public buildings</w:t>
            </w:r>
          </w:p>
        </w:tc>
        <w:tc>
          <w:tcPr>
            <w:tcW w:w="1023" w:type="pct"/>
            <w:gridSpan w:val="3"/>
            <w:tcBorders>
              <w:top w:val="single" w:sz="8" w:space="0" w:color="auto"/>
              <w:left w:val="nil"/>
              <w:bottom w:val="nil"/>
              <w:right w:val="single" w:sz="8" w:space="0" w:color="000000"/>
            </w:tcBorders>
            <w:shd w:val="clear" w:color="auto" w:fill="auto"/>
            <w:vAlign w:val="center"/>
            <w:hideMark/>
          </w:tcPr>
          <w:p w14:paraId="198AD65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 xml:space="preserve">0.1 </w:t>
            </w:r>
            <w:proofErr w:type="spellStart"/>
            <w:r>
              <w:rPr>
                <w:rFonts w:ascii="Times New Roman" w:hAnsi="Times New Roman"/>
                <w:sz w:val="18"/>
              </w:rPr>
              <w:t>ktoe</w:t>
            </w:r>
            <w:proofErr w:type="spellEnd"/>
            <w:r>
              <w:rPr>
                <w:rFonts w:ascii="Times New Roman" w:hAnsi="Times New Roman"/>
                <w:sz w:val="18"/>
              </w:rPr>
              <w:t xml:space="preserve"> [2021]</w:t>
            </w:r>
          </w:p>
        </w:tc>
        <w:tc>
          <w:tcPr>
            <w:tcW w:w="659" w:type="pct"/>
            <w:gridSpan w:val="2"/>
            <w:tcBorders>
              <w:top w:val="nil"/>
              <w:left w:val="nil"/>
              <w:bottom w:val="nil"/>
              <w:right w:val="single" w:sz="8" w:space="0" w:color="000000"/>
            </w:tcBorders>
            <w:shd w:val="clear" w:color="auto" w:fill="auto"/>
            <w:vAlign w:val="center"/>
            <w:hideMark/>
          </w:tcPr>
          <w:p w14:paraId="7E4D746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14.46 </w:t>
            </w:r>
            <w:proofErr w:type="spellStart"/>
            <w:r>
              <w:rPr>
                <w:rFonts w:ascii="Times New Roman" w:hAnsi="Times New Roman"/>
                <w:sz w:val="18"/>
              </w:rPr>
              <w:t>ktoe</w:t>
            </w:r>
            <w:proofErr w:type="spellEnd"/>
          </w:p>
        </w:tc>
        <w:tc>
          <w:tcPr>
            <w:tcW w:w="520" w:type="pct"/>
            <w:tcBorders>
              <w:top w:val="nil"/>
              <w:left w:val="nil"/>
              <w:bottom w:val="nil"/>
              <w:right w:val="nil"/>
            </w:tcBorders>
            <w:shd w:val="clear" w:color="auto" w:fill="auto"/>
            <w:vAlign w:val="center"/>
            <w:hideMark/>
          </w:tcPr>
          <w:p w14:paraId="7C77D1C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232.5 </w:t>
            </w:r>
            <w:proofErr w:type="spellStart"/>
            <w:r>
              <w:rPr>
                <w:rFonts w:ascii="Times New Roman" w:hAnsi="Times New Roman"/>
                <w:sz w:val="18"/>
              </w:rPr>
              <w:t>ktoe</w:t>
            </w:r>
            <w:proofErr w:type="spellEnd"/>
          </w:p>
        </w:tc>
        <w:tc>
          <w:tcPr>
            <w:tcW w:w="1160" w:type="pct"/>
            <w:gridSpan w:val="3"/>
            <w:tcBorders>
              <w:top w:val="single" w:sz="8" w:space="0" w:color="auto"/>
              <w:left w:val="single" w:sz="8" w:space="0" w:color="auto"/>
              <w:bottom w:val="nil"/>
              <w:right w:val="single" w:sz="8" w:space="0" w:color="000000"/>
            </w:tcBorders>
            <w:shd w:val="clear" w:color="auto" w:fill="auto"/>
            <w:vAlign w:val="center"/>
            <w:hideMark/>
          </w:tcPr>
          <w:p w14:paraId="1BB8E12C"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996" w:type="pct"/>
            <w:tcBorders>
              <w:top w:val="nil"/>
              <w:left w:val="nil"/>
              <w:bottom w:val="nil"/>
              <w:right w:val="nil"/>
            </w:tcBorders>
            <w:shd w:val="clear" w:color="auto" w:fill="auto"/>
            <w:noWrap/>
            <w:vAlign w:val="bottom"/>
            <w:hideMark/>
          </w:tcPr>
          <w:p w14:paraId="1EA308E9"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7833F1" w:rsidRPr="0086165A" w14:paraId="06F35436" w14:textId="77777777" w:rsidTr="000134C7">
        <w:trPr>
          <w:trHeight w:val="49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74C5CAD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3</w:t>
            </w:r>
          </w:p>
        </w:tc>
        <w:tc>
          <w:tcPr>
            <w:tcW w:w="411" w:type="pct"/>
            <w:tcBorders>
              <w:top w:val="nil"/>
              <w:left w:val="nil"/>
              <w:bottom w:val="single" w:sz="8" w:space="0" w:color="auto"/>
              <w:right w:val="single" w:sz="8" w:space="0" w:color="auto"/>
            </w:tcBorders>
            <w:shd w:val="clear" w:color="auto" w:fill="auto"/>
            <w:vAlign w:val="center"/>
            <w:hideMark/>
          </w:tcPr>
          <w:p w14:paraId="63047732"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The number of buildings with </w:t>
            </w:r>
            <w:r>
              <w:rPr>
                <w:rFonts w:ascii="Times New Roman" w:hAnsi="Times New Roman"/>
                <w:sz w:val="18"/>
              </w:rPr>
              <w:br/>
              <w:t>near-zero energy consumption</w:t>
            </w:r>
          </w:p>
        </w:tc>
        <w:tc>
          <w:tcPr>
            <w:tcW w:w="1023" w:type="pct"/>
            <w:gridSpan w:val="3"/>
            <w:tcBorders>
              <w:top w:val="single" w:sz="8" w:space="0" w:color="auto"/>
              <w:left w:val="nil"/>
              <w:bottom w:val="single" w:sz="8" w:space="0" w:color="auto"/>
              <w:right w:val="single" w:sz="8" w:space="0" w:color="000000"/>
            </w:tcBorders>
            <w:shd w:val="clear" w:color="auto" w:fill="auto"/>
            <w:vAlign w:val="center"/>
            <w:hideMark/>
          </w:tcPr>
          <w:p w14:paraId="3D5D9D3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0</w:t>
            </w:r>
          </w:p>
        </w:tc>
        <w:tc>
          <w:tcPr>
            <w:tcW w:w="659" w:type="pct"/>
            <w:gridSpan w:val="2"/>
            <w:tcBorders>
              <w:top w:val="single" w:sz="8" w:space="0" w:color="auto"/>
              <w:left w:val="nil"/>
              <w:bottom w:val="single" w:sz="8" w:space="0" w:color="auto"/>
              <w:right w:val="single" w:sz="8" w:space="0" w:color="000000"/>
            </w:tcBorders>
            <w:shd w:val="clear" w:color="auto" w:fill="auto"/>
            <w:vAlign w:val="center"/>
            <w:hideMark/>
          </w:tcPr>
          <w:p w14:paraId="4B644D7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10</w:t>
            </w:r>
          </w:p>
        </w:tc>
        <w:tc>
          <w:tcPr>
            <w:tcW w:w="520" w:type="pct"/>
            <w:tcBorders>
              <w:top w:val="single" w:sz="8" w:space="0" w:color="auto"/>
              <w:left w:val="nil"/>
              <w:bottom w:val="single" w:sz="8" w:space="0" w:color="auto"/>
              <w:right w:val="nil"/>
            </w:tcBorders>
            <w:shd w:val="clear" w:color="auto" w:fill="auto"/>
            <w:vAlign w:val="center"/>
            <w:hideMark/>
          </w:tcPr>
          <w:p w14:paraId="61FBF6C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150</w:t>
            </w:r>
          </w:p>
        </w:tc>
        <w:tc>
          <w:tcPr>
            <w:tcW w:w="116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A377E33" w14:textId="44481447" w:rsidR="00571EAF" w:rsidRPr="00BA4CCF" w:rsidRDefault="00BA4CCF" w:rsidP="00571EAF">
            <w:pPr>
              <w:spacing w:after="0" w:line="240" w:lineRule="auto"/>
              <w:rPr>
                <w:rFonts w:ascii="Times New Roman" w:eastAsia="Times New Roman" w:hAnsi="Times New Roman" w:cs="Times New Roman"/>
                <w:sz w:val="18"/>
                <w:szCs w:val="18"/>
                <w:highlight w:val="yellow"/>
              </w:rPr>
            </w:pPr>
            <w:r>
              <w:rPr>
                <w:rFonts w:ascii="Times New Roman" w:hAnsi="Times New Roman"/>
                <w:sz w:val="18"/>
              </w:rPr>
              <w:t>Improving energy efficiency of new public buildings.</w:t>
            </w:r>
          </w:p>
        </w:tc>
        <w:tc>
          <w:tcPr>
            <w:tcW w:w="996" w:type="pct"/>
            <w:tcBorders>
              <w:top w:val="nil"/>
              <w:left w:val="nil"/>
              <w:bottom w:val="nil"/>
              <w:right w:val="nil"/>
            </w:tcBorders>
            <w:shd w:val="clear" w:color="auto" w:fill="auto"/>
            <w:noWrap/>
            <w:vAlign w:val="bottom"/>
            <w:hideMark/>
          </w:tcPr>
          <w:p w14:paraId="5DF123B2"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7833F1" w:rsidRPr="0086165A" w14:paraId="3B27509C" w14:textId="77777777" w:rsidTr="000134C7">
        <w:trPr>
          <w:trHeight w:val="315"/>
        </w:trPr>
        <w:tc>
          <w:tcPr>
            <w:tcW w:w="23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FF2485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1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CCE690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9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5A0248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383" w:type="pct"/>
            <w:gridSpan w:val="4"/>
            <w:tcBorders>
              <w:top w:val="single" w:sz="8" w:space="0" w:color="auto"/>
              <w:left w:val="nil"/>
              <w:bottom w:val="single" w:sz="8" w:space="0" w:color="auto"/>
              <w:right w:val="nil"/>
            </w:tcBorders>
            <w:shd w:val="clear" w:color="000000" w:fill="D9D9D9"/>
            <w:vAlign w:val="center"/>
            <w:hideMark/>
          </w:tcPr>
          <w:p w14:paraId="0BA754D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52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D6DD21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33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92148A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41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CECB3B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41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FB6474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99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ED9F8B6" w14:textId="77777777" w:rsidR="00571EAF" w:rsidRPr="0086165A" w:rsidRDefault="00571EAF" w:rsidP="005D6B3A">
            <w:pPr>
              <w:spacing w:after="0" w:line="240" w:lineRule="auto"/>
              <w:jc w:val="center"/>
              <w:rPr>
                <w:rFonts w:ascii="Times New Roman" w:eastAsia="Times New Roman" w:hAnsi="Times New Roman" w:cs="Times New Roman"/>
                <w:b/>
                <w:bCs/>
                <w:sz w:val="20"/>
                <w:szCs w:val="20"/>
              </w:rPr>
            </w:pPr>
            <w:r>
              <w:rPr>
                <w:rFonts w:ascii="Times New Roman" w:hAnsi="Times New Roman"/>
                <w:b/>
                <w:sz w:val="20"/>
              </w:rPr>
              <w:t>Implementation progress for 2024</w:t>
            </w:r>
          </w:p>
        </w:tc>
      </w:tr>
      <w:tr w:rsidR="007833F1" w:rsidRPr="0086165A" w14:paraId="2F8A73B9" w14:textId="77777777" w:rsidTr="000134C7">
        <w:trPr>
          <w:trHeight w:val="300"/>
        </w:trPr>
        <w:tc>
          <w:tcPr>
            <w:tcW w:w="231" w:type="pct"/>
            <w:vMerge/>
            <w:tcBorders>
              <w:top w:val="nil"/>
              <w:left w:val="single" w:sz="8" w:space="0" w:color="auto"/>
              <w:bottom w:val="single" w:sz="8" w:space="0" w:color="000000"/>
              <w:right w:val="single" w:sz="8" w:space="0" w:color="auto"/>
            </w:tcBorders>
            <w:vAlign w:val="center"/>
            <w:hideMark/>
          </w:tcPr>
          <w:p w14:paraId="6E4C392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1" w:type="pct"/>
            <w:vMerge/>
            <w:tcBorders>
              <w:top w:val="nil"/>
              <w:left w:val="single" w:sz="8" w:space="0" w:color="auto"/>
              <w:bottom w:val="single" w:sz="8" w:space="0" w:color="000000"/>
              <w:right w:val="single" w:sz="8" w:space="0" w:color="auto"/>
            </w:tcBorders>
            <w:vAlign w:val="center"/>
            <w:hideMark/>
          </w:tcPr>
          <w:p w14:paraId="7D38734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99" w:type="pct"/>
            <w:vMerge/>
            <w:tcBorders>
              <w:top w:val="nil"/>
              <w:left w:val="single" w:sz="8" w:space="0" w:color="auto"/>
              <w:bottom w:val="single" w:sz="8" w:space="0" w:color="000000"/>
              <w:right w:val="single" w:sz="8" w:space="0" w:color="auto"/>
            </w:tcBorders>
            <w:vAlign w:val="center"/>
            <w:hideMark/>
          </w:tcPr>
          <w:p w14:paraId="79AACE3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49" w:type="pct"/>
            <w:tcBorders>
              <w:top w:val="nil"/>
              <w:left w:val="nil"/>
              <w:bottom w:val="nil"/>
              <w:right w:val="single" w:sz="8" w:space="0" w:color="auto"/>
            </w:tcBorders>
            <w:shd w:val="clear" w:color="000000" w:fill="D9D9D9"/>
            <w:vAlign w:val="center"/>
            <w:hideMark/>
          </w:tcPr>
          <w:p w14:paraId="28B718E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75" w:type="pct"/>
            <w:tcBorders>
              <w:top w:val="nil"/>
              <w:left w:val="nil"/>
              <w:bottom w:val="nil"/>
              <w:right w:val="single" w:sz="8" w:space="0" w:color="auto"/>
            </w:tcBorders>
            <w:shd w:val="clear" w:color="000000" w:fill="D9D9D9"/>
            <w:vAlign w:val="center"/>
            <w:hideMark/>
          </w:tcPr>
          <w:p w14:paraId="13445EC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75" w:type="pct"/>
            <w:tcBorders>
              <w:top w:val="nil"/>
              <w:left w:val="nil"/>
              <w:bottom w:val="nil"/>
              <w:right w:val="single" w:sz="8" w:space="0" w:color="auto"/>
            </w:tcBorders>
            <w:shd w:val="clear" w:color="000000" w:fill="D9D9D9"/>
            <w:vAlign w:val="center"/>
            <w:hideMark/>
          </w:tcPr>
          <w:p w14:paraId="40F46C2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284" w:type="pct"/>
            <w:tcBorders>
              <w:top w:val="nil"/>
              <w:left w:val="nil"/>
              <w:bottom w:val="nil"/>
              <w:right w:val="single" w:sz="8" w:space="0" w:color="auto"/>
            </w:tcBorders>
            <w:shd w:val="clear" w:color="000000" w:fill="D9D9D9"/>
            <w:vAlign w:val="center"/>
            <w:hideMark/>
          </w:tcPr>
          <w:p w14:paraId="7BE6040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520" w:type="pct"/>
            <w:vMerge/>
            <w:tcBorders>
              <w:top w:val="nil"/>
              <w:left w:val="single" w:sz="8" w:space="0" w:color="auto"/>
              <w:bottom w:val="single" w:sz="8" w:space="0" w:color="000000"/>
              <w:right w:val="single" w:sz="8" w:space="0" w:color="auto"/>
            </w:tcBorders>
            <w:vAlign w:val="center"/>
            <w:hideMark/>
          </w:tcPr>
          <w:p w14:paraId="4235AE6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30" w:type="pct"/>
            <w:vMerge/>
            <w:tcBorders>
              <w:top w:val="nil"/>
              <w:left w:val="single" w:sz="8" w:space="0" w:color="auto"/>
              <w:bottom w:val="single" w:sz="8" w:space="0" w:color="000000"/>
              <w:right w:val="single" w:sz="8" w:space="0" w:color="auto"/>
            </w:tcBorders>
            <w:vAlign w:val="center"/>
            <w:hideMark/>
          </w:tcPr>
          <w:p w14:paraId="206F824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1" w:type="pct"/>
            <w:vMerge/>
            <w:tcBorders>
              <w:top w:val="nil"/>
              <w:left w:val="single" w:sz="8" w:space="0" w:color="auto"/>
              <w:bottom w:val="single" w:sz="8" w:space="0" w:color="000000"/>
              <w:right w:val="single" w:sz="8" w:space="0" w:color="auto"/>
            </w:tcBorders>
            <w:vAlign w:val="center"/>
            <w:hideMark/>
          </w:tcPr>
          <w:p w14:paraId="70E68D4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9" w:type="pct"/>
            <w:vMerge/>
            <w:tcBorders>
              <w:top w:val="nil"/>
              <w:left w:val="single" w:sz="8" w:space="0" w:color="auto"/>
              <w:bottom w:val="single" w:sz="8" w:space="0" w:color="000000"/>
              <w:right w:val="single" w:sz="8" w:space="0" w:color="auto"/>
            </w:tcBorders>
            <w:vAlign w:val="center"/>
            <w:hideMark/>
          </w:tcPr>
          <w:p w14:paraId="57C5C2D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96" w:type="pct"/>
            <w:vMerge/>
            <w:tcBorders>
              <w:top w:val="single" w:sz="8" w:space="0" w:color="auto"/>
              <w:left w:val="single" w:sz="8" w:space="0" w:color="auto"/>
              <w:bottom w:val="single" w:sz="8" w:space="0" w:color="000000"/>
              <w:right w:val="single" w:sz="8" w:space="0" w:color="auto"/>
            </w:tcBorders>
            <w:vAlign w:val="center"/>
            <w:hideMark/>
          </w:tcPr>
          <w:p w14:paraId="58CF9B6C" w14:textId="77777777" w:rsidR="00571EAF" w:rsidRPr="0086165A" w:rsidRDefault="00571EAF" w:rsidP="00571EAF">
            <w:pPr>
              <w:spacing w:after="0" w:line="240" w:lineRule="auto"/>
              <w:rPr>
                <w:rFonts w:ascii="Times New Roman" w:eastAsia="Times New Roman" w:hAnsi="Times New Roman" w:cs="Times New Roman"/>
                <w:b/>
                <w:bCs/>
              </w:rPr>
            </w:pPr>
          </w:p>
        </w:tc>
      </w:tr>
      <w:tr w:rsidR="007833F1" w:rsidRPr="0086165A" w14:paraId="50715561" w14:textId="77777777" w:rsidTr="000134C7">
        <w:trPr>
          <w:trHeight w:val="525"/>
        </w:trPr>
        <w:tc>
          <w:tcPr>
            <w:tcW w:w="231" w:type="pct"/>
            <w:vMerge/>
            <w:tcBorders>
              <w:top w:val="nil"/>
              <w:left w:val="single" w:sz="8" w:space="0" w:color="auto"/>
              <w:bottom w:val="single" w:sz="8" w:space="0" w:color="000000"/>
              <w:right w:val="single" w:sz="8" w:space="0" w:color="auto"/>
            </w:tcBorders>
            <w:vAlign w:val="center"/>
            <w:hideMark/>
          </w:tcPr>
          <w:p w14:paraId="6D8652DA"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1" w:type="pct"/>
            <w:vMerge/>
            <w:tcBorders>
              <w:top w:val="nil"/>
              <w:left w:val="single" w:sz="8" w:space="0" w:color="auto"/>
              <w:bottom w:val="single" w:sz="8" w:space="0" w:color="000000"/>
              <w:right w:val="single" w:sz="8" w:space="0" w:color="auto"/>
            </w:tcBorders>
            <w:vAlign w:val="center"/>
            <w:hideMark/>
          </w:tcPr>
          <w:p w14:paraId="55255C7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99" w:type="pct"/>
            <w:vMerge/>
            <w:tcBorders>
              <w:top w:val="nil"/>
              <w:left w:val="single" w:sz="8" w:space="0" w:color="auto"/>
              <w:bottom w:val="single" w:sz="8" w:space="0" w:color="000000"/>
              <w:right w:val="single" w:sz="8" w:space="0" w:color="auto"/>
            </w:tcBorders>
            <w:vAlign w:val="center"/>
            <w:hideMark/>
          </w:tcPr>
          <w:p w14:paraId="155866F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49" w:type="pct"/>
            <w:tcBorders>
              <w:top w:val="nil"/>
              <w:left w:val="nil"/>
              <w:bottom w:val="single" w:sz="8" w:space="0" w:color="auto"/>
              <w:right w:val="single" w:sz="8" w:space="0" w:color="auto"/>
            </w:tcBorders>
            <w:shd w:val="clear" w:color="000000" w:fill="D9D9D9"/>
            <w:vAlign w:val="center"/>
            <w:hideMark/>
          </w:tcPr>
          <w:p w14:paraId="7B720A1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375" w:type="pct"/>
            <w:tcBorders>
              <w:top w:val="nil"/>
              <w:left w:val="nil"/>
              <w:bottom w:val="single" w:sz="8" w:space="0" w:color="auto"/>
              <w:right w:val="single" w:sz="8" w:space="0" w:color="auto"/>
            </w:tcBorders>
            <w:shd w:val="clear" w:color="000000" w:fill="D9D9D9"/>
            <w:vAlign w:val="center"/>
            <w:hideMark/>
          </w:tcPr>
          <w:p w14:paraId="60FAB6D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375" w:type="pct"/>
            <w:tcBorders>
              <w:top w:val="nil"/>
              <w:left w:val="nil"/>
              <w:bottom w:val="single" w:sz="8" w:space="0" w:color="auto"/>
              <w:right w:val="single" w:sz="8" w:space="0" w:color="auto"/>
            </w:tcBorders>
            <w:shd w:val="clear" w:color="000000" w:fill="D9D9D9"/>
            <w:vAlign w:val="center"/>
            <w:hideMark/>
          </w:tcPr>
          <w:p w14:paraId="0D45AB9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284" w:type="pct"/>
            <w:tcBorders>
              <w:top w:val="nil"/>
              <w:left w:val="nil"/>
              <w:bottom w:val="single" w:sz="8" w:space="0" w:color="auto"/>
              <w:right w:val="single" w:sz="8" w:space="0" w:color="auto"/>
            </w:tcBorders>
            <w:shd w:val="clear" w:color="000000" w:fill="D9D9D9"/>
            <w:vAlign w:val="center"/>
            <w:hideMark/>
          </w:tcPr>
          <w:p w14:paraId="44D4133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520" w:type="pct"/>
            <w:vMerge/>
            <w:tcBorders>
              <w:top w:val="nil"/>
              <w:left w:val="single" w:sz="8" w:space="0" w:color="auto"/>
              <w:bottom w:val="single" w:sz="8" w:space="0" w:color="000000"/>
              <w:right w:val="single" w:sz="8" w:space="0" w:color="auto"/>
            </w:tcBorders>
            <w:vAlign w:val="center"/>
            <w:hideMark/>
          </w:tcPr>
          <w:p w14:paraId="16F15B7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30" w:type="pct"/>
            <w:vMerge/>
            <w:tcBorders>
              <w:top w:val="nil"/>
              <w:left w:val="single" w:sz="8" w:space="0" w:color="auto"/>
              <w:bottom w:val="single" w:sz="8" w:space="0" w:color="000000"/>
              <w:right w:val="single" w:sz="8" w:space="0" w:color="auto"/>
            </w:tcBorders>
            <w:vAlign w:val="center"/>
            <w:hideMark/>
          </w:tcPr>
          <w:p w14:paraId="444F29E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1" w:type="pct"/>
            <w:vMerge/>
            <w:tcBorders>
              <w:top w:val="nil"/>
              <w:left w:val="single" w:sz="8" w:space="0" w:color="auto"/>
              <w:bottom w:val="single" w:sz="8" w:space="0" w:color="000000"/>
              <w:right w:val="single" w:sz="8" w:space="0" w:color="auto"/>
            </w:tcBorders>
            <w:vAlign w:val="center"/>
            <w:hideMark/>
          </w:tcPr>
          <w:p w14:paraId="2C06F01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9" w:type="pct"/>
            <w:vMerge/>
            <w:tcBorders>
              <w:top w:val="nil"/>
              <w:left w:val="single" w:sz="8" w:space="0" w:color="auto"/>
              <w:bottom w:val="single" w:sz="8" w:space="0" w:color="000000"/>
              <w:right w:val="single" w:sz="8" w:space="0" w:color="auto"/>
            </w:tcBorders>
            <w:vAlign w:val="center"/>
            <w:hideMark/>
          </w:tcPr>
          <w:p w14:paraId="21364BA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96" w:type="pct"/>
            <w:vMerge/>
            <w:tcBorders>
              <w:top w:val="single" w:sz="8" w:space="0" w:color="auto"/>
              <w:left w:val="single" w:sz="8" w:space="0" w:color="auto"/>
              <w:bottom w:val="single" w:sz="8" w:space="0" w:color="000000"/>
              <w:right w:val="single" w:sz="8" w:space="0" w:color="auto"/>
            </w:tcBorders>
            <w:vAlign w:val="center"/>
            <w:hideMark/>
          </w:tcPr>
          <w:p w14:paraId="3B01D5BC" w14:textId="77777777" w:rsidR="00571EAF" w:rsidRPr="0086165A" w:rsidRDefault="00571EAF" w:rsidP="00571EAF">
            <w:pPr>
              <w:spacing w:after="0" w:line="240" w:lineRule="auto"/>
              <w:rPr>
                <w:rFonts w:ascii="Times New Roman" w:eastAsia="Times New Roman" w:hAnsi="Times New Roman" w:cs="Times New Roman"/>
                <w:b/>
                <w:bCs/>
              </w:rPr>
            </w:pPr>
          </w:p>
        </w:tc>
      </w:tr>
      <w:tr w:rsidR="007833F1" w:rsidRPr="0086165A" w14:paraId="44B201EC" w14:textId="77777777" w:rsidTr="000134C7">
        <w:trPr>
          <w:trHeight w:val="121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26E53A0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III.1.1</w:t>
            </w:r>
          </w:p>
        </w:tc>
        <w:tc>
          <w:tcPr>
            <w:tcW w:w="411" w:type="pct"/>
            <w:tcBorders>
              <w:top w:val="nil"/>
              <w:left w:val="nil"/>
              <w:bottom w:val="single" w:sz="8" w:space="0" w:color="auto"/>
              <w:right w:val="single" w:sz="8" w:space="0" w:color="auto"/>
            </w:tcBorders>
            <w:shd w:val="clear" w:color="000000" w:fill="FFFFFF"/>
            <w:vAlign w:val="center"/>
            <w:hideMark/>
          </w:tcPr>
          <w:p w14:paraId="42F05644"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Review of the Law on Energy Efficiency (EE)</w:t>
            </w:r>
          </w:p>
        </w:tc>
        <w:tc>
          <w:tcPr>
            <w:tcW w:w="299" w:type="pct"/>
            <w:tcBorders>
              <w:top w:val="nil"/>
              <w:left w:val="nil"/>
              <w:bottom w:val="single" w:sz="8" w:space="0" w:color="auto"/>
              <w:right w:val="single" w:sz="8" w:space="0" w:color="auto"/>
            </w:tcBorders>
            <w:shd w:val="clear" w:color="auto" w:fill="auto"/>
            <w:vAlign w:val="center"/>
            <w:hideMark/>
          </w:tcPr>
          <w:p w14:paraId="192A573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nil"/>
              <w:left w:val="nil"/>
              <w:bottom w:val="single" w:sz="8" w:space="0" w:color="auto"/>
              <w:right w:val="single" w:sz="8" w:space="0" w:color="auto"/>
            </w:tcBorders>
            <w:shd w:val="clear" w:color="auto" w:fill="auto"/>
            <w:vAlign w:val="center"/>
            <w:hideMark/>
          </w:tcPr>
          <w:p w14:paraId="086134D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nil"/>
              <w:left w:val="nil"/>
              <w:bottom w:val="single" w:sz="8" w:space="0" w:color="auto"/>
              <w:right w:val="single" w:sz="8" w:space="0" w:color="auto"/>
            </w:tcBorders>
            <w:shd w:val="clear" w:color="000000" w:fill="FFFFFF"/>
            <w:vAlign w:val="center"/>
            <w:hideMark/>
          </w:tcPr>
          <w:p w14:paraId="1434339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10,800.00 </w:t>
            </w:r>
          </w:p>
        </w:tc>
        <w:tc>
          <w:tcPr>
            <w:tcW w:w="375" w:type="pct"/>
            <w:tcBorders>
              <w:top w:val="nil"/>
              <w:left w:val="nil"/>
              <w:bottom w:val="single" w:sz="8" w:space="0" w:color="auto"/>
              <w:right w:val="single" w:sz="8" w:space="0" w:color="auto"/>
            </w:tcBorders>
            <w:shd w:val="clear" w:color="auto" w:fill="auto"/>
            <w:vAlign w:val="center"/>
            <w:hideMark/>
          </w:tcPr>
          <w:p w14:paraId="31ABA60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nil"/>
              <w:left w:val="nil"/>
              <w:bottom w:val="single" w:sz="8" w:space="0" w:color="auto"/>
              <w:right w:val="single" w:sz="8" w:space="0" w:color="auto"/>
            </w:tcBorders>
            <w:shd w:val="clear" w:color="auto" w:fill="auto"/>
            <w:vAlign w:val="center"/>
            <w:hideMark/>
          </w:tcPr>
          <w:p w14:paraId="5CEF9C9B" w14:textId="77777777" w:rsidR="00B5778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210E5981" w14:textId="73D21153"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single" w:sz="8" w:space="0" w:color="auto"/>
              <w:right w:val="single" w:sz="8" w:space="0" w:color="auto"/>
            </w:tcBorders>
            <w:shd w:val="clear" w:color="auto" w:fill="auto"/>
            <w:vAlign w:val="center"/>
            <w:hideMark/>
          </w:tcPr>
          <w:p w14:paraId="3E8C6B5A"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donors</w:t>
            </w:r>
          </w:p>
        </w:tc>
        <w:tc>
          <w:tcPr>
            <w:tcW w:w="330" w:type="pct"/>
            <w:tcBorders>
              <w:top w:val="nil"/>
              <w:left w:val="nil"/>
              <w:bottom w:val="single" w:sz="8" w:space="0" w:color="auto"/>
              <w:right w:val="single" w:sz="8" w:space="0" w:color="auto"/>
            </w:tcBorders>
            <w:shd w:val="clear" w:color="auto" w:fill="auto"/>
            <w:vAlign w:val="center"/>
            <w:hideMark/>
          </w:tcPr>
          <w:p w14:paraId="2BFF2C1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MESPI, KFEE</w:t>
            </w:r>
          </w:p>
        </w:tc>
        <w:tc>
          <w:tcPr>
            <w:tcW w:w="411" w:type="pct"/>
            <w:tcBorders>
              <w:top w:val="nil"/>
              <w:left w:val="nil"/>
              <w:bottom w:val="single" w:sz="8" w:space="0" w:color="auto"/>
              <w:right w:val="single" w:sz="8" w:space="0" w:color="auto"/>
            </w:tcBorders>
            <w:shd w:val="clear" w:color="auto" w:fill="auto"/>
            <w:vAlign w:val="center"/>
            <w:hideMark/>
          </w:tcPr>
          <w:p w14:paraId="774B6AB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on Energy Efficiency adopted</w:t>
            </w:r>
          </w:p>
        </w:tc>
        <w:tc>
          <w:tcPr>
            <w:tcW w:w="419" w:type="pct"/>
            <w:tcBorders>
              <w:top w:val="nil"/>
              <w:left w:val="nil"/>
              <w:bottom w:val="single" w:sz="8" w:space="0" w:color="auto"/>
              <w:right w:val="single" w:sz="8" w:space="0" w:color="auto"/>
            </w:tcBorders>
            <w:shd w:val="clear" w:color="auto" w:fill="auto"/>
            <w:vAlign w:val="center"/>
            <w:hideMark/>
          </w:tcPr>
          <w:p w14:paraId="234A9C38"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vAlign w:val="bottom"/>
            <w:hideMark/>
          </w:tcPr>
          <w:p w14:paraId="0057D5CE" w14:textId="3719FF41" w:rsidR="00571EAF" w:rsidRPr="0014539F" w:rsidRDefault="00261E62" w:rsidP="00571EAF">
            <w:pPr>
              <w:spacing w:after="0" w:line="240" w:lineRule="auto"/>
              <w:rPr>
                <w:rFonts w:ascii="Times New Roman" w:eastAsia="Times New Roman" w:hAnsi="Times New Roman" w:cs="Times New Roman"/>
                <w:sz w:val="18"/>
                <w:szCs w:val="18"/>
              </w:rPr>
            </w:pPr>
            <w:r>
              <w:rPr>
                <w:rFonts w:ascii="Times New Roman" w:hAnsi="Times New Roman"/>
                <w:sz w:val="18"/>
              </w:rPr>
              <w:t>The final draft prepared by the Consultancy and the Working Group (WG) has been received, and this draft has been forwarded to the Working Group (WG) for comments. After addressing the comments, the final draft has been finalized and is ready for preliminary and public discussion.</w:t>
            </w:r>
          </w:p>
        </w:tc>
      </w:tr>
      <w:tr w:rsidR="007833F1" w:rsidRPr="0086165A" w14:paraId="4CE0AB79" w14:textId="77777777" w:rsidTr="000134C7">
        <w:trPr>
          <w:trHeight w:val="1365"/>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7C009C84" w14:textId="6CB6C3D3" w:rsidR="00571EAF" w:rsidRPr="0086165A" w:rsidRDefault="00261E62"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WG</w:t>
            </w:r>
          </w:p>
        </w:tc>
        <w:tc>
          <w:tcPr>
            <w:tcW w:w="411" w:type="pct"/>
            <w:tcBorders>
              <w:top w:val="nil"/>
              <w:left w:val="nil"/>
              <w:bottom w:val="single" w:sz="8" w:space="0" w:color="auto"/>
              <w:right w:val="single" w:sz="8" w:space="0" w:color="auto"/>
            </w:tcBorders>
            <w:shd w:val="clear" w:color="000000" w:fill="FFFFFF"/>
            <w:vAlign w:val="center"/>
            <w:hideMark/>
          </w:tcPr>
          <w:p w14:paraId="3E815DC1"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Approval of bylaws related to Law on Energy Efficiency</w:t>
            </w:r>
          </w:p>
        </w:tc>
        <w:tc>
          <w:tcPr>
            <w:tcW w:w="299" w:type="pct"/>
            <w:tcBorders>
              <w:top w:val="nil"/>
              <w:left w:val="nil"/>
              <w:bottom w:val="single" w:sz="8" w:space="0" w:color="auto"/>
              <w:right w:val="single" w:sz="8" w:space="0" w:color="auto"/>
            </w:tcBorders>
            <w:shd w:val="clear" w:color="000000" w:fill="FFFFFF"/>
            <w:vAlign w:val="center"/>
            <w:hideMark/>
          </w:tcPr>
          <w:p w14:paraId="03F67AE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49" w:type="pct"/>
            <w:tcBorders>
              <w:top w:val="nil"/>
              <w:left w:val="nil"/>
              <w:bottom w:val="single" w:sz="8" w:space="0" w:color="auto"/>
              <w:right w:val="single" w:sz="8" w:space="0" w:color="auto"/>
            </w:tcBorders>
            <w:shd w:val="clear" w:color="000000" w:fill="FFFFFF"/>
            <w:vAlign w:val="center"/>
            <w:hideMark/>
          </w:tcPr>
          <w:p w14:paraId="21D49AF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nil"/>
              <w:left w:val="nil"/>
              <w:bottom w:val="single" w:sz="8" w:space="0" w:color="auto"/>
              <w:right w:val="single" w:sz="8" w:space="0" w:color="auto"/>
            </w:tcBorders>
            <w:shd w:val="clear" w:color="000000" w:fill="FFFFFF"/>
            <w:vAlign w:val="center"/>
            <w:hideMark/>
          </w:tcPr>
          <w:p w14:paraId="744A13C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375" w:type="pct"/>
            <w:tcBorders>
              <w:top w:val="nil"/>
              <w:left w:val="nil"/>
              <w:bottom w:val="single" w:sz="8" w:space="0" w:color="auto"/>
              <w:right w:val="single" w:sz="8" w:space="0" w:color="auto"/>
            </w:tcBorders>
            <w:shd w:val="clear" w:color="000000" w:fill="FFFFFF"/>
            <w:vAlign w:val="center"/>
            <w:hideMark/>
          </w:tcPr>
          <w:p w14:paraId="58E4B00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90,000.00 </w:t>
            </w:r>
          </w:p>
        </w:tc>
        <w:tc>
          <w:tcPr>
            <w:tcW w:w="284" w:type="pct"/>
            <w:tcBorders>
              <w:top w:val="nil"/>
              <w:left w:val="nil"/>
              <w:bottom w:val="single" w:sz="8" w:space="0" w:color="auto"/>
              <w:right w:val="single" w:sz="8" w:space="0" w:color="auto"/>
            </w:tcBorders>
            <w:shd w:val="clear" w:color="000000" w:fill="FFFFFF"/>
            <w:vAlign w:val="center"/>
            <w:hideMark/>
          </w:tcPr>
          <w:p w14:paraId="144B054A" w14:textId="77777777" w:rsidR="00B5778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5841B902" w14:textId="6F57BF19"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single" w:sz="8" w:space="0" w:color="auto"/>
              <w:right w:val="single" w:sz="8" w:space="0" w:color="auto"/>
            </w:tcBorders>
            <w:shd w:val="clear" w:color="000000" w:fill="FFFFFF"/>
            <w:vAlign w:val="center"/>
            <w:hideMark/>
          </w:tcPr>
          <w:p w14:paraId="6C6371F7"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donors</w:t>
            </w:r>
          </w:p>
        </w:tc>
        <w:tc>
          <w:tcPr>
            <w:tcW w:w="330" w:type="pct"/>
            <w:tcBorders>
              <w:top w:val="nil"/>
              <w:left w:val="nil"/>
              <w:bottom w:val="single" w:sz="8" w:space="0" w:color="auto"/>
              <w:right w:val="single" w:sz="8" w:space="0" w:color="auto"/>
            </w:tcBorders>
            <w:shd w:val="clear" w:color="000000" w:fill="FFFFFF"/>
            <w:vAlign w:val="center"/>
            <w:hideMark/>
          </w:tcPr>
          <w:p w14:paraId="3E1814A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MESPI, KFEE</w:t>
            </w:r>
          </w:p>
        </w:tc>
        <w:tc>
          <w:tcPr>
            <w:tcW w:w="411" w:type="pct"/>
            <w:tcBorders>
              <w:top w:val="nil"/>
              <w:left w:val="nil"/>
              <w:bottom w:val="single" w:sz="8" w:space="0" w:color="auto"/>
              <w:right w:val="single" w:sz="8" w:space="0" w:color="auto"/>
            </w:tcBorders>
            <w:shd w:val="clear" w:color="000000" w:fill="FFFFFF"/>
            <w:vAlign w:val="center"/>
            <w:hideMark/>
          </w:tcPr>
          <w:p w14:paraId="3CDE2C1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Approval of secondary legislation related to the Law on Energy Efficiency</w:t>
            </w:r>
          </w:p>
        </w:tc>
        <w:tc>
          <w:tcPr>
            <w:tcW w:w="419" w:type="pct"/>
            <w:tcBorders>
              <w:top w:val="nil"/>
              <w:left w:val="nil"/>
              <w:bottom w:val="single" w:sz="8" w:space="0" w:color="auto"/>
              <w:right w:val="single" w:sz="8" w:space="0" w:color="auto"/>
            </w:tcBorders>
            <w:shd w:val="clear" w:color="000000" w:fill="FFFFFF"/>
            <w:vAlign w:val="center"/>
            <w:hideMark/>
          </w:tcPr>
          <w:p w14:paraId="324ED9E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on Energy Efficiency</w:t>
            </w:r>
          </w:p>
        </w:tc>
        <w:tc>
          <w:tcPr>
            <w:tcW w:w="996" w:type="pct"/>
            <w:tcBorders>
              <w:top w:val="nil"/>
              <w:left w:val="nil"/>
              <w:bottom w:val="single" w:sz="8" w:space="0" w:color="auto"/>
              <w:right w:val="single" w:sz="8" w:space="0" w:color="auto"/>
            </w:tcBorders>
            <w:shd w:val="clear" w:color="000000" w:fill="FFFFFF"/>
            <w:vAlign w:val="bottom"/>
            <w:hideMark/>
          </w:tcPr>
          <w:p w14:paraId="160B5C4D" w14:textId="7105D4A6" w:rsidR="00571EAF" w:rsidRPr="0086165A" w:rsidRDefault="00215057" w:rsidP="00571EAF">
            <w:pPr>
              <w:spacing w:after="0" w:line="240" w:lineRule="auto"/>
              <w:rPr>
                <w:rFonts w:ascii="Times New Roman" w:eastAsia="Times New Roman" w:hAnsi="Times New Roman" w:cs="Times New Roman"/>
                <w:sz w:val="18"/>
                <w:szCs w:val="18"/>
              </w:rPr>
            </w:pPr>
            <w:r>
              <w:rPr>
                <w:rFonts w:ascii="Times New Roman" w:hAnsi="Times New Roman"/>
                <w:sz w:val="18"/>
              </w:rPr>
              <w:t>According to the plan, the activity is expected to begin after the approval of the Law on Energy Efficiency (EE).</w:t>
            </w:r>
          </w:p>
        </w:tc>
      </w:tr>
      <w:tr w:rsidR="007833F1" w:rsidRPr="0086165A" w14:paraId="6E0B03D8" w14:textId="77777777" w:rsidTr="000134C7">
        <w:trPr>
          <w:trHeight w:val="1470"/>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621F0EF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III.1.3</w:t>
            </w:r>
          </w:p>
        </w:tc>
        <w:tc>
          <w:tcPr>
            <w:tcW w:w="411" w:type="pct"/>
            <w:tcBorders>
              <w:top w:val="nil"/>
              <w:left w:val="nil"/>
              <w:bottom w:val="single" w:sz="8" w:space="0" w:color="auto"/>
              <w:right w:val="single" w:sz="8" w:space="0" w:color="auto"/>
            </w:tcBorders>
            <w:shd w:val="clear" w:color="000000" w:fill="FFFFFF"/>
            <w:vAlign w:val="center"/>
            <w:hideMark/>
          </w:tcPr>
          <w:p w14:paraId="5C8DAA37" w14:textId="77777777" w:rsidR="00571EAF" w:rsidRPr="0086165A" w:rsidRDefault="00571EAF" w:rsidP="00571EAF">
            <w:pPr>
              <w:spacing w:after="0" w:line="240" w:lineRule="auto"/>
              <w:rPr>
                <w:rFonts w:ascii="Times New Roman" w:eastAsia="Times New Roman" w:hAnsi="Times New Roman" w:cs="Times New Roman"/>
                <w:color w:val="FF0000"/>
                <w:sz w:val="18"/>
                <w:szCs w:val="18"/>
              </w:rPr>
            </w:pPr>
            <w:r>
              <w:rPr>
                <w:rFonts w:ascii="Times New Roman" w:hAnsi="Times New Roman"/>
                <w:sz w:val="18"/>
              </w:rPr>
              <w:t>Review of the Law on Energy Performance of Buildings</w:t>
            </w:r>
          </w:p>
        </w:tc>
        <w:tc>
          <w:tcPr>
            <w:tcW w:w="299" w:type="pct"/>
            <w:tcBorders>
              <w:top w:val="nil"/>
              <w:left w:val="nil"/>
              <w:bottom w:val="single" w:sz="8" w:space="0" w:color="auto"/>
              <w:right w:val="single" w:sz="8" w:space="0" w:color="auto"/>
            </w:tcBorders>
            <w:shd w:val="clear" w:color="000000" w:fill="FFFFFF"/>
            <w:vAlign w:val="center"/>
            <w:hideMark/>
          </w:tcPr>
          <w:p w14:paraId="41C7D85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nil"/>
              <w:left w:val="nil"/>
              <w:bottom w:val="single" w:sz="8" w:space="0" w:color="auto"/>
              <w:right w:val="single" w:sz="8" w:space="0" w:color="auto"/>
            </w:tcBorders>
            <w:shd w:val="clear" w:color="000000" w:fill="FFFFFF"/>
            <w:vAlign w:val="center"/>
            <w:hideMark/>
          </w:tcPr>
          <w:p w14:paraId="2AC2A18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22,600.00 </w:t>
            </w:r>
          </w:p>
        </w:tc>
        <w:tc>
          <w:tcPr>
            <w:tcW w:w="375" w:type="pct"/>
            <w:tcBorders>
              <w:top w:val="nil"/>
              <w:left w:val="nil"/>
              <w:bottom w:val="single" w:sz="8" w:space="0" w:color="auto"/>
              <w:right w:val="single" w:sz="8" w:space="0" w:color="auto"/>
            </w:tcBorders>
            <w:shd w:val="clear" w:color="000000" w:fill="FFFFFF"/>
            <w:vAlign w:val="center"/>
            <w:hideMark/>
          </w:tcPr>
          <w:p w14:paraId="07BC56F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375" w:type="pct"/>
            <w:tcBorders>
              <w:top w:val="nil"/>
              <w:left w:val="nil"/>
              <w:bottom w:val="single" w:sz="8" w:space="0" w:color="auto"/>
              <w:right w:val="single" w:sz="8" w:space="0" w:color="auto"/>
            </w:tcBorders>
            <w:shd w:val="clear" w:color="000000" w:fill="FFFFFF"/>
            <w:vAlign w:val="center"/>
            <w:hideMark/>
          </w:tcPr>
          <w:p w14:paraId="5F6048A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p>
        </w:tc>
        <w:tc>
          <w:tcPr>
            <w:tcW w:w="284" w:type="pct"/>
            <w:tcBorders>
              <w:top w:val="nil"/>
              <w:left w:val="nil"/>
              <w:bottom w:val="single" w:sz="8" w:space="0" w:color="auto"/>
              <w:right w:val="single" w:sz="8" w:space="0" w:color="auto"/>
            </w:tcBorders>
            <w:shd w:val="clear" w:color="000000" w:fill="FFFFFF"/>
            <w:vAlign w:val="center"/>
            <w:hideMark/>
          </w:tcPr>
          <w:p w14:paraId="0A274982" w14:textId="77777777" w:rsidR="00B5778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0BCFCDC4" w14:textId="1D16AE3E"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single" w:sz="8" w:space="0" w:color="auto"/>
              <w:right w:val="single" w:sz="8" w:space="0" w:color="auto"/>
            </w:tcBorders>
            <w:shd w:val="clear" w:color="000000" w:fill="FFFFFF"/>
            <w:vAlign w:val="center"/>
            <w:hideMark/>
          </w:tcPr>
          <w:p w14:paraId="3E159A4A" w14:textId="5E25CDC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donors</w:t>
            </w:r>
          </w:p>
        </w:tc>
        <w:tc>
          <w:tcPr>
            <w:tcW w:w="330" w:type="pct"/>
            <w:tcBorders>
              <w:top w:val="nil"/>
              <w:left w:val="nil"/>
              <w:bottom w:val="single" w:sz="8" w:space="0" w:color="auto"/>
              <w:right w:val="single" w:sz="8" w:space="0" w:color="auto"/>
            </w:tcBorders>
            <w:shd w:val="clear" w:color="000000" w:fill="FFFFFF"/>
            <w:vAlign w:val="center"/>
            <w:hideMark/>
          </w:tcPr>
          <w:p w14:paraId="5DCCEAA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MESPI</w:t>
            </w:r>
          </w:p>
        </w:tc>
        <w:tc>
          <w:tcPr>
            <w:tcW w:w="411" w:type="pct"/>
            <w:tcBorders>
              <w:top w:val="nil"/>
              <w:left w:val="nil"/>
              <w:bottom w:val="single" w:sz="8" w:space="0" w:color="auto"/>
              <w:right w:val="single" w:sz="8" w:space="0" w:color="auto"/>
            </w:tcBorders>
            <w:shd w:val="clear" w:color="000000" w:fill="FFFFFF"/>
            <w:vAlign w:val="center"/>
            <w:hideMark/>
          </w:tcPr>
          <w:p w14:paraId="1953572C" w14:textId="77777777" w:rsidR="00571EAF" w:rsidRPr="0086165A" w:rsidRDefault="00571EAF" w:rsidP="00571EAF">
            <w:pPr>
              <w:spacing w:after="0" w:line="240" w:lineRule="auto"/>
              <w:jc w:val="center"/>
              <w:rPr>
                <w:rFonts w:ascii="Times New Roman" w:eastAsia="Times New Roman" w:hAnsi="Times New Roman" w:cs="Times New Roman"/>
                <w:color w:val="FF0000"/>
                <w:sz w:val="18"/>
                <w:szCs w:val="18"/>
              </w:rPr>
            </w:pPr>
            <w:r>
              <w:rPr>
                <w:rFonts w:ascii="Times New Roman" w:hAnsi="Times New Roman"/>
                <w:sz w:val="18"/>
              </w:rPr>
              <w:t>Law on Energy Performance of Buildings adopted</w:t>
            </w:r>
          </w:p>
        </w:tc>
        <w:tc>
          <w:tcPr>
            <w:tcW w:w="419" w:type="pct"/>
            <w:tcBorders>
              <w:top w:val="nil"/>
              <w:left w:val="nil"/>
              <w:bottom w:val="single" w:sz="8" w:space="0" w:color="auto"/>
              <w:right w:val="single" w:sz="8" w:space="0" w:color="auto"/>
            </w:tcBorders>
            <w:shd w:val="clear" w:color="000000" w:fill="FFFFFF"/>
            <w:vAlign w:val="center"/>
            <w:hideMark/>
          </w:tcPr>
          <w:p w14:paraId="2D43FD8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National Development Plan 2023-2025</w:t>
            </w:r>
          </w:p>
        </w:tc>
        <w:tc>
          <w:tcPr>
            <w:tcW w:w="996" w:type="pct"/>
            <w:tcBorders>
              <w:top w:val="nil"/>
              <w:left w:val="nil"/>
              <w:bottom w:val="single" w:sz="8" w:space="0" w:color="auto"/>
              <w:right w:val="single" w:sz="8" w:space="0" w:color="auto"/>
            </w:tcBorders>
            <w:shd w:val="clear" w:color="000000" w:fill="FFFFFF"/>
            <w:vAlign w:val="center"/>
            <w:hideMark/>
          </w:tcPr>
          <w:p w14:paraId="246266B5" w14:textId="1E93359A" w:rsidR="00571EAF" w:rsidRPr="0086165A" w:rsidRDefault="00571EAF"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 Law No. 08/L-242 on Energy Performance of Buildings has been approved and published in the Official </w:t>
            </w:r>
            <w:proofErr w:type="spellStart"/>
            <w:r>
              <w:rPr>
                <w:rFonts w:ascii="Times New Roman" w:hAnsi="Times New Roman"/>
                <w:sz w:val="18"/>
              </w:rPr>
              <w:t>Gazzete</w:t>
            </w:r>
            <w:proofErr w:type="spellEnd"/>
            <w:r>
              <w:rPr>
                <w:rFonts w:ascii="Times New Roman" w:hAnsi="Times New Roman"/>
                <w:sz w:val="18"/>
              </w:rPr>
              <w:t xml:space="preserve"> (OG) on 12.06.2024.</w:t>
            </w:r>
          </w:p>
        </w:tc>
      </w:tr>
      <w:tr w:rsidR="007833F1" w:rsidRPr="0086165A" w14:paraId="52C4B172" w14:textId="77777777" w:rsidTr="000134C7">
        <w:trPr>
          <w:trHeight w:val="1470"/>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379F6A5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III.1.4</w:t>
            </w:r>
          </w:p>
        </w:tc>
        <w:tc>
          <w:tcPr>
            <w:tcW w:w="411" w:type="pct"/>
            <w:tcBorders>
              <w:top w:val="nil"/>
              <w:left w:val="nil"/>
              <w:bottom w:val="single" w:sz="8" w:space="0" w:color="auto"/>
              <w:right w:val="single" w:sz="8" w:space="0" w:color="auto"/>
            </w:tcBorders>
            <w:shd w:val="clear" w:color="000000" w:fill="FFFFFF"/>
            <w:vAlign w:val="center"/>
            <w:hideMark/>
          </w:tcPr>
          <w:p w14:paraId="79C00CAE" w14:textId="77777777" w:rsidR="00571EAF" w:rsidRPr="0086165A" w:rsidRDefault="00571EAF" w:rsidP="00571EAF">
            <w:pPr>
              <w:spacing w:after="0" w:line="240" w:lineRule="auto"/>
              <w:rPr>
                <w:rFonts w:ascii="Times New Roman" w:eastAsia="Times New Roman" w:hAnsi="Times New Roman" w:cs="Times New Roman"/>
                <w:color w:val="FF0000"/>
                <w:sz w:val="18"/>
                <w:szCs w:val="18"/>
              </w:rPr>
            </w:pPr>
            <w:r>
              <w:rPr>
                <w:rFonts w:ascii="Times New Roman" w:hAnsi="Times New Roman"/>
                <w:sz w:val="18"/>
              </w:rPr>
              <w:t>Adoption of bylaws related to the Energy Performance of Buildings</w:t>
            </w:r>
          </w:p>
        </w:tc>
        <w:tc>
          <w:tcPr>
            <w:tcW w:w="299" w:type="pct"/>
            <w:tcBorders>
              <w:top w:val="nil"/>
              <w:left w:val="nil"/>
              <w:bottom w:val="single" w:sz="8" w:space="0" w:color="auto"/>
              <w:right w:val="single" w:sz="8" w:space="0" w:color="auto"/>
            </w:tcBorders>
            <w:shd w:val="clear" w:color="000000" w:fill="FFFFFF"/>
            <w:vAlign w:val="center"/>
            <w:hideMark/>
          </w:tcPr>
          <w:p w14:paraId="57B3776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49" w:type="pct"/>
            <w:tcBorders>
              <w:top w:val="nil"/>
              <w:left w:val="nil"/>
              <w:bottom w:val="single" w:sz="8" w:space="0" w:color="auto"/>
              <w:right w:val="single" w:sz="8" w:space="0" w:color="auto"/>
            </w:tcBorders>
            <w:shd w:val="clear" w:color="000000" w:fill="FFFFFF"/>
            <w:vAlign w:val="center"/>
            <w:hideMark/>
          </w:tcPr>
          <w:p w14:paraId="1AF9997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150,000.00 </w:t>
            </w:r>
          </w:p>
        </w:tc>
        <w:tc>
          <w:tcPr>
            <w:tcW w:w="375" w:type="pct"/>
            <w:tcBorders>
              <w:top w:val="nil"/>
              <w:left w:val="nil"/>
              <w:bottom w:val="single" w:sz="8" w:space="0" w:color="auto"/>
              <w:right w:val="single" w:sz="8" w:space="0" w:color="auto"/>
            </w:tcBorders>
            <w:shd w:val="clear" w:color="000000" w:fill="FFFFFF"/>
            <w:vAlign w:val="center"/>
            <w:hideMark/>
          </w:tcPr>
          <w:p w14:paraId="74824B2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20,000.00 </w:t>
            </w:r>
          </w:p>
        </w:tc>
        <w:tc>
          <w:tcPr>
            <w:tcW w:w="375" w:type="pct"/>
            <w:tcBorders>
              <w:top w:val="nil"/>
              <w:left w:val="nil"/>
              <w:bottom w:val="single" w:sz="8" w:space="0" w:color="auto"/>
              <w:right w:val="single" w:sz="8" w:space="0" w:color="auto"/>
            </w:tcBorders>
            <w:shd w:val="clear" w:color="000000" w:fill="FFFFFF"/>
            <w:vAlign w:val="center"/>
            <w:hideMark/>
          </w:tcPr>
          <w:p w14:paraId="4589922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nil"/>
              <w:left w:val="nil"/>
              <w:bottom w:val="single" w:sz="8" w:space="0" w:color="auto"/>
              <w:right w:val="single" w:sz="8" w:space="0" w:color="auto"/>
            </w:tcBorders>
            <w:shd w:val="clear" w:color="000000" w:fill="FFFFFF"/>
            <w:vAlign w:val="center"/>
            <w:hideMark/>
          </w:tcPr>
          <w:p w14:paraId="2CF1177F" w14:textId="77777777" w:rsidR="00B5778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49B88F33" w14:textId="203BB08F"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single" w:sz="8" w:space="0" w:color="auto"/>
              <w:right w:val="single" w:sz="8" w:space="0" w:color="auto"/>
            </w:tcBorders>
            <w:shd w:val="clear" w:color="000000" w:fill="FFFFFF"/>
            <w:vAlign w:val="center"/>
            <w:hideMark/>
          </w:tcPr>
          <w:p w14:paraId="485A77BC"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donors</w:t>
            </w:r>
          </w:p>
        </w:tc>
        <w:tc>
          <w:tcPr>
            <w:tcW w:w="330" w:type="pct"/>
            <w:tcBorders>
              <w:top w:val="nil"/>
              <w:left w:val="nil"/>
              <w:bottom w:val="single" w:sz="8" w:space="0" w:color="auto"/>
              <w:right w:val="single" w:sz="8" w:space="0" w:color="auto"/>
            </w:tcBorders>
            <w:shd w:val="clear" w:color="000000" w:fill="FFFFFF"/>
            <w:vAlign w:val="center"/>
            <w:hideMark/>
          </w:tcPr>
          <w:p w14:paraId="51B049D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MESPI</w:t>
            </w:r>
          </w:p>
        </w:tc>
        <w:tc>
          <w:tcPr>
            <w:tcW w:w="411" w:type="pct"/>
            <w:tcBorders>
              <w:top w:val="nil"/>
              <w:left w:val="nil"/>
              <w:bottom w:val="single" w:sz="8" w:space="0" w:color="auto"/>
              <w:right w:val="single" w:sz="8" w:space="0" w:color="auto"/>
            </w:tcBorders>
            <w:shd w:val="clear" w:color="000000" w:fill="FFFFFF"/>
            <w:vAlign w:val="center"/>
            <w:hideMark/>
          </w:tcPr>
          <w:p w14:paraId="730D1E62" w14:textId="77777777" w:rsidR="00571EAF" w:rsidRPr="0086165A" w:rsidRDefault="00571EAF" w:rsidP="00571EAF">
            <w:pPr>
              <w:spacing w:after="0" w:line="240" w:lineRule="auto"/>
              <w:jc w:val="center"/>
              <w:rPr>
                <w:rFonts w:ascii="Times New Roman" w:eastAsia="Times New Roman" w:hAnsi="Times New Roman" w:cs="Times New Roman"/>
                <w:color w:val="FF0000"/>
                <w:sz w:val="18"/>
                <w:szCs w:val="18"/>
              </w:rPr>
            </w:pPr>
            <w:r>
              <w:rPr>
                <w:rFonts w:ascii="Times New Roman" w:hAnsi="Times New Roman"/>
                <w:sz w:val="18"/>
              </w:rPr>
              <w:t>Adoption of secondary legislation related to the energy performance of buildings</w:t>
            </w:r>
          </w:p>
        </w:tc>
        <w:tc>
          <w:tcPr>
            <w:tcW w:w="419" w:type="pct"/>
            <w:tcBorders>
              <w:top w:val="nil"/>
              <w:left w:val="nil"/>
              <w:bottom w:val="single" w:sz="8" w:space="0" w:color="auto"/>
              <w:right w:val="single" w:sz="8" w:space="0" w:color="auto"/>
            </w:tcBorders>
            <w:shd w:val="clear" w:color="000000" w:fill="FFFFFF"/>
            <w:vAlign w:val="center"/>
            <w:hideMark/>
          </w:tcPr>
          <w:p w14:paraId="595383A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on Energy Performance of Buildings</w:t>
            </w:r>
          </w:p>
        </w:tc>
        <w:tc>
          <w:tcPr>
            <w:tcW w:w="996" w:type="pct"/>
            <w:tcBorders>
              <w:top w:val="nil"/>
              <w:left w:val="nil"/>
              <w:bottom w:val="single" w:sz="8" w:space="0" w:color="auto"/>
              <w:right w:val="single" w:sz="8" w:space="0" w:color="auto"/>
            </w:tcBorders>
            <w:shd w:val="clear" w:color="000000" w:fill="FFFFFF"/>
            <w:vAlign w:val="center"/>
            <w:hideMark/>
          </w:tcPr>
          <w:p w14:paraId="73EF30E0" w14:textId="3664CB4C" w:rsidR="00215057" w:rsidRPr="00863836" w:rsidRDefault="00571EAF" w:rsidP="00863836">
            <w:pPr>
              <w:spacing w:after="0" w:line="240" w:lineRule="auto"/>
              <w:rPr>
                <w:rFonts w:ascii="Times New Roman" w:eastAsia="Times New Roman" w:hAnsi="Times New Roman" w:cs="Times New Roman"/>
                <w:sz w:val="18"/>
                <w:szCs w:val="20"/>
              </w:rPr>
            </w:pPr>
            <w:r>
              <w:rPr>
                <w:rFonts w:ascii="Times New Roman" w:hAnsi="Times New Roman"/>
                <w:sz w:val="18"/>
              </w:rPr>
              <w:t> A draft regulation has been drafted concerning the national methodology for energy performance in buildings, in compliance with the new EN standards.</w:t>
            </w:r>
          </w:p>
          <w:p w14:paraId="3A3307F2" w14:textId="1DBCB3E7" w:rsidR="00571EAF" w:rsidRPr="00863836" w:rsidRDefault="00215057" w:rsidP="00863836">
            <w:pPr>
              <w:spacing w:after="0" w:line="240" w:lineRule="auto"/>
              <w:rPr>
                <w:rFonts w:ascii="Times New Roman" w:eastAsia="Times New Roman" w:hAnsi="Times New Roman" w:cs="Times New Roman"/>
                <w:sz w:val="18"/>
                <w:szCs w:val="20"/>
              </w:rPr>
            </w:pPr>
            <w:r>
              <w:rPr>
                <w:rFonts w:ascii="Times New Roman" w:hAnsi="Times New Roman"/>
                <w:sz w:val="18"/>
              </w:rPr>
              <w:t xml:space="preserve">Work has been done on the optimal cost in buildings at the energy </w:t>
            </w:r>
            <w:r>
              <w:rPr>
                <w:rFonts w:ascii="Times New Roman" w:hAnsi="Times New Roman"/>
                <w:sz w:val="18"/>
              </w:rPr>
              <w:lastRenderedPageBreak/>
              <w:t>performance level leading to the lowest cost during the assessment of the economic life-cycle.</w:t>
            </w:r>
          </w:p>
        </w:tc>
      </w:tr>
      <w:tr w:rsidR="007833F1" w:rsidRPr="0086165A" w14:paraId="2F22A678" w14:textId="77777777" w:rsidTr="000134C7">
        <w:trPr>
          <w:trHeight w:val="1470"/>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5ED836C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III.1.5</w:t>
            </w:r>
          </w:p>
        </w:tc>
        <w:tc>
          <w:tcPr>
            <w:tcW w:w="411" w:type="pct"/>
            <w:tcBorders>
              <w:top w:val="nil"/>
              <w:left w:val="nil"/>
              <w:bottom w:val="nil"/>
              <w:right w:val="single" w:sz="8" w:space="0" w:color="auto"/>
            </w:tcBorders>
            <w:shd w:val="clear" w:color="000000" w:fill="FFFFFF"/>
            <w:vAlign w:val="center"/>
            <w:hideMark/>
          </w:tcPr>
          <w:p w14:paraId="27BA84BA"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Developing the National Register of Energy Performance of Buildings</w:t>
            </w:r>
          </w:p>
        </w:tc>
        <w:tc>
          <w:tcPr>
            <w:tcW w:w="299" w:type="pct"/>
            <w:tcBorders>
              <w:top w:val="nil"/>
              <w:left w:val="nil"/>
              <w:bottom w:val="nil"/>
              <w:right w:val="single" w:sz="8" w:space="0" w:color="auto"/>
            </w:tcBorders>
            <w:shd w:val="clear" w:color="000000" w:fill="FFFFFF"/>
            <w:vAlign w:val="center"/>
            <w:hideMark/>
          </w:tcPr>
          <w:p w14:paraId="3982A6E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nil"/>
              <w:left w:val="nil"/>
              <w:bottom w:val="nil"/>
              <w:right w:val="single" w:sz="8" w:space="0" w:color="auto"/>
            </w:tcBorders>
            <w:shd w:val="clear" w:color="000000" w:fill="FFFFFF"/>
            <w:vAlign w:val="center"/>
            <w:hideMark/>
          </w:tcPr>
          <w:p w14:paraId="6449521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90,000.00 </w:t>
            </w:r>
          </w:p>
        </w:tc>
        <w:tc>
          <w:tcPr>
            <w:tcW w:w="375" w:type="pct"/>
            <w:tcBorders>
              <w:top w:val="nil"/>
              <w:left w:val="nil"/>
              <w:bottom w:val="nil"/>
              <w:right w:val="single" w:sz="8" w:space="0" w:color="auto"/>
            </w:tcBorders>
            <w:shd w:val="clear" w:color="000000" w:fill="FFFFFF"/>
            <w:vAlign w:val="center"/>
            <w:hideMark/>
          </w:tcPr>
          <w:p w14:paraId="6BDE3CD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20,000.00 </w:t>
            </w:r>
          </w:p>
        </w:tc>
        <w:tc>
          <w:tcPr>
            <w:tcW w:w="375" w:type="pct"/>
            <w:tcBorders>
              <w:top w:val="nil"/>
              <w:left w:val="nil"/>
              <w:bottom w:val="nil"/>
              <w:right w:val="single" w:sz="8" w:space="0" w:color="auto"/>
            </w:tcBorders>
            <w:shd w:val="clear" w:color="000000" w:fill="FFFFFF"/>
            <w:vAlign w:val="center"/>
            <w:hideMark/>
          </w:tcPr>
          <w:p w14:paraId="47D0650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nil"/>
              <w:left w:val="nil"/>
              <w:bottom w:val="nil"/>
              <w:right w:val="single" w:sz="8" w:space="0" w:color="auto"/>
            </w:tcBorders>
            <w:shd w:val="clear" w:color="000000" w:fill="FFFFFF"/>
            <w:vAlign w:val="center"/>
            <w:hideMark/>
          </w:tcPr>
          <w:p w14:paraId="3DCAF63D" w14:textId="77777777" w:rsidR="00933A8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20BFEF65" w14:textId="7C6EB2B6"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nil"/>
              <w:right w:val="single" w:sz="8" w:space="0" w:color="auto"/>
            </w:tcBorders>
            <w:shd w:val="clear" w:color="000000" w:fill="FFFFFF"/>
            <w:vAlign w:val="center"/>
            <w:hideMark/>
          </w:tcPr>
          <w:p w14:paraId="6ED0DFC7" w14:textId="77777777" w:rsidR="00A550FE"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Kosovo Budget (KB) </w:t>
            </w:r>
          </w:p>
          <w:p w14:paraId="0C7C9C03" w14:textId="12876240" w:rsidR="00A550FE"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€ 20,000</w:t>
            </w:r>
            <w:r>
              <w:rPr>
                <w:rFonts w:ascii="Times New Roman" w:hAnsi="Times New Roman"/>
                <w:sz w:val="18"/>
              </w:rPr>
              <w:br/>
              <w:t>donors:</w:t>
            </w:r>
          </w:p>
          <w:p w14:paraId="7E4FBE38" w14:textId="2379CBAD"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90.000€</w:t>
            </w:r>
          </w:p>
        </w:tc>
        <w:tc>
          <w:tcPr>
            <w:tcW w:w="330" w:type="pct"/>
            <w:tcBorders>
              <w:top w:val="nil"/>
              <w:left w:val="nil"/>
              <w:bottom w:val="nil"/>
              <w:right w:val="single" w:sz="8" w:space="0" w:color="auto"/>
            </w:tcBorders>
            <w:shd w:val="clear" w:color="000000" w:fill="FFFFFF"/>
            <w:vAlign w:val="center"/>
            <w:hideMark/>
          </w:tcPr>
          <w:p w14:paraId="544163F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MESPI, ME</w:t>
            </w:r>
          </w:p>
        </w:tc>
        <w:tc>
          <w:tcPr>
            <w:tcW w:w="411" w:type="pct"/>
            <w:tcBorders>
              <w:top w:val="nil"/>
              <w:left w:val="nil"/>
              <w:bottom w:val="nil"/>
              <w:right w:val="single" w:sz="8" w:space="0" w:color="auto"/>
            </w:tcBorders>
            <w:shd w:val="clear" w:color="000000" w:fill="FFFFFF"/>
            <w:vAlign w:val="center"/>
            <w:hideMark/>
          </w:tcPr>
          <w:p w14:paraId="6BA459F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There is a functional national register</w:t>
            </w:r>
          </w:p>
        </w:tc>
        <w:tc>
          <w:tcPr>
            <w:tcW w:w="419" w:type="pct"/>
            <w:tcBorders>
              <w:top w:val="nil"/>
              <w:left w:val="nil"/>
              <w:bottom w:val="nil"/>
              <w:right w:val="single" w:sz="8" w:space="0" w:color="auto"/>
            </w:tcBorders>
            <w:shd w:val="clear" w:color="000000" w:fill="FFFFFF"/>
            <w:vAlign w:val="center"/>
            <w:hideMark/>
          </w:tcPr>
          <w:p w14:paraId="1B1D0A4A" w14:textId="58192F7F"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on Energy Efficiency (EE ) &amp; Law on Energy Performance of Buildings</w:t>
            </w:r>
          </w:p>
        </w:tc>
        <w:tc>
          <w:tcPr>
            <w:tcW w:w="996" w:type="pct"/>
            <w:tcBorders>
              <w:top w:val="nil"/>
              <w:left w:val="nil"/>
              <w:bottom w:val="single" w:sz="8" w:space="0" w:color="auto"/>
              <w:right w:val="single" w:sz="8" w:space="0" w:color="auto"/>
            </w:tcBorders>
            <w:shd w:val="clear" w:color="000000" w:fill="FFFFFF"/>
            <w:vAlign w:val="center"/>
            <w:hideMark/>
          </w:tcPr>
          <w:p w14:paraId="2331AB63" w14:textId="77777777" w:rsidR="005A192B" w:rsidRDefault="00215057" w:rsidP="00863836">
            <w:pPr>
              <w:spacing w:after="0" w:line="240" w:lineRule="auto"/>
              <w:rPr>
                <w:rFonts w:ascii="Times New Roman" w:eastAsia="Times New Roman" w:hAnsi="Times New Roman" w:cs="Times New Roman"/>
                <w:sz w:val="18"/>
                <w:szCs w:val="20"/>
              </w:rPr>
            </w:pPr>
            <w:r>
              <w:rPr>
                <w:rFonts w:ascii="Times New Roman" w:hAnsi="Times New Roman"/>
                <w:sz w:val="18"/>
              </w:rPr>
              <w:t>Project - platform on the centralization of information in the field of Energy Efficiency (EE).</w:t>
            </w:r>
          </w:p>
          <w:p w14:paraId="44208888" w14:textId="1C86345D" w:rsidR="00571EAF" w:rsidRPr="00863836" w:rsidRDefault="00215057" w:rsidP="00863836">
            <w:pPr>
              <w:spacing w:after="0" w:line="240" w:lineRule="auto"/>
              <w:rPr>
                <w:rFonts w:ascii="Times New Roman" w:eastAsia="Times New Roman" w:hAnsi="Times New Roman" w:cs="Times New Roman"/>
                <w:sz w:val="18"/>
                <w:szCs w:val="20"/>
              </w:rPr>
            </w:pPr>
            <w:r>
              <w:rPr>
                <w:rFonts w:ascii="Times New Roman" w:hAnsi="Times New Roman"/>
                <w:sz w:val="18"/>
              </w:rPr>
              <w:t>The “National Register in the Field of Energy Efficiency (EE) in Buildings,” as a system installed on the servers of the Information Society Agency (ISA), has been tested with the issuance of two energy performance certificates for buildings.</w:t>
            </w:r>
          </w:p>
        </w:tc>
      </w:tr>
      <w:tr w:rsidR="007833F1" w:rsidRPr="0086165A" w14:paraId="45A91B6C" w14:textId="77777777" w:rsidTr="000134C7">
        <w:trPr>
          <w:trHeight w:val="1380"/>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5F5913F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III.1.6</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776105A2"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and adoption the Building Renovation Strategy</w:t>
            </w:r>
          </w:p>
        </w:tc>
        <w:tc>
          <w:tcPr>
            <w:tcW w:w="299" w:type="pct"/>
            <w:tcBorders>
              <w:top w:val="single" w:sz="8" w:space="0" w:color="auto"/>
              <w:left w:val="nil"/>
              <w:bottom w:val="single" w:sz="8" w:space="0" w:color="auto"/>
              <w:right w:val="single" w:sz="8" w:space="0" w:color="auto"/>
            </w:tcBorders>
            <w:shd w:val="clear" w:color="000000" w:fill="FFFFFF"/>
            <w:vAlign w:val="center"/>
            <w:hideMark/>
          </w:tcPr>
          <w:p w14:paraId="60221C8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49" w:type="pct"/>
            <w:tcBorders>
              <w:top w:val="single" w:sz="8" w:space="0" w:color="auto"/>
              <w:left w:val="nil"/>
              <w:bottom w:val="single" w:sz="8" w:space="0" w:color="auto"/>
              <w:right w:val="single" w:sz="8" w:space="0" w:color="auto"/>
            </w:tcBorders>
            <w:shd w:val="clear" w:color="000000" w:fill="FFFFFF"/>
            <w:vAlign w:val="center"/>
            <w:hideMark/>
          </w:tcPr>
          <w:p w14:paraId="17AE1B1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single" w:sz="8" w:space="0" w:color="auto"/>
              <w:right w:val="single" w:sz="8" w:space="0" w:color="auto"/>
            </w:tcBorders>
            <w:shd w:val="clear" w:color="000000" w:fill="FFFFFF"/>
            <w:vAlign w:val="center"/>
            <w:hideMark/>
          </w:tcPr>
          <w:p w14:paraId="0D51772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single" w:sz="8" w:space="0" w:color="auto"/>
              <w:right w:val="single" w:sz="8" w:space="0" w:color="auto"/>
            </w:tcBorders>
            <w:shd w:val="clear" w:color="000000" w:fill="FFFFFF"/>
            <w:vAlign w:val="center"/>
            <w:hideMark/>
          </w:tcPr>
          <w:p w14:paraId="0955D9E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25,000.00 </w:t>
            </w:r>
          </w:p>
        </w:tc>
        <w:tc>
          <w:tcPr>
            <w:tcW w:w="284" w:type="pct"/>
            <w:tcBorders>
              <w:top w:val="single" w:sz="8" w:space="0" w:color="auto"/>
              <w:left w:val="nil"/>
              <w:bottom w:val="single" w:sz="8" w:space="0" w:color="auto"/>
              <w:right w:val="single" w:sz="8" w:space="0" w:color="auto"/>
            </w:tcBorders>
            <w:shd w:val="clear" w:color="000000" w:fill="FFFFFF"/>
            <w:vAlign w:val="center"/>
            <w:hideMark/>
          </w:tcPr>
          <w:p w14:paraId="2BEDF849" w14:textId="77777777" w:rsidR="00302788"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3D965E78" w14:textId="344DE8EF"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single" w:sz="8" w:space="0" w:color="auto"/>
              <w:left w:val="nil"/>
              <w:bottom w:val="single" w:sz="8" w:space="0" w:color="auto"/>
              <w:right w:val="single" w:sz="8" w:space="0" w:color="auto"/>
            </w:tcBorders>
            <w:shd w:val="clear" w:color="000000" w:fill="FFFFFF"/>
            <w:vAlign w:val="center"/>
            <w:hideMark/>
          </w:tcPr>
          <w:p w14:paraId="4CB307B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330" w:type="pct"/>
            <w:tcBorders>
              <w:top w:val="single" w:sz="8" w:space="0" w:color="auto"/>
              <w:left w:val="nil"/>
              <w:bottom w:val="single" w:sz="8" w:space="0" w:color="auto"/>
              <w:right w:val="single" w:sz="8" w:space="0" w:color="auto"/>
            </w:tcBorders>
            <w:shd w:val="clear" w:color="000000" w:fill="FFFFFF"/>
            <w:vAlign w:val="center"/>
            <w:hideMark/>
          </w:tcPr>
          <w:p w14:paraId="0B3C0DC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MESPI</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19E9C019"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Building Renovation Strategy adopted</w:t>
            </w:r>
          </w:p>
        </w:tc>
        <w:tc>
          <w:tcPr>
            <w:tcW w:w="419" w:type="pct"/>
            <w:tcBorders>
              <w:top w:val="single" w:sz="8" w:space="0" w:color="auto"/>
              <w:left w:val="nil"/>
              <w:bottom w:val="single" w:sz="8" w:space="0" w:color="auto"/>
              <w:right w:val="single" w:sz="8" w:space="0" w:color="auto"/>
            </w:tcBorders>
            <w:shd w:val="clear" w:color="000000" w:fill="FFFFFF"/>
            <w:vAlign w:val="center"/>
            <w:hideMark/>
          </w:tcPr>
          <w:p w14:paraId="377B3E06" w14:textId="5E909593"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on Energy Efficiency (EE ) &amp; Law on Energy Performance of Buildings</w:t>
            </w:r>
          </w:p>
        </w:tc>
        <w:tc>
          <w:tcPr>
            <w:tcW w:w="996" w:type="pct"/>
            <w:tcBorders>
              <w:top w:val="nil"/>
              <w:left w:val="nil"/>
              <w:bottom w:val="single" w:sz="8" w:space="0" w:color="auto"/>
              <w:right w:val="single" w:sz="8" w:space="0" w:color="auto"/>
            </w:tcBorders>
            <w:shd w:val="clear" w:color="000000" w:fill="FFFFFF"/>
            <w:vAlign w:val="center"/>
            <w:hideMark/>
          </w:tcPr>
          <w:p w14:paraId="0E0735D6" w14:textId="78972C13" w:rsidR="00571EAF" w:rsidRPr="0014539F" w:rsidRDefault="005A192B" w:rsidP="00863836">
            <w:pPr>
              <w:spacing w:after="0" w:line="240" w:lineRule="auto"/>
              <w:rPr>
                <w:rFonts w:ascii="Times New Roman" w:eastAsia="Times New Roman" w:hAnsi="Times New Roman" w:cs="Times New Roman"/>
                <w:sz w:val="18"/>
                <w:szCs w:val="18"/>
              </w:rPr>
            </w:pPr>
            <w:r>
              <w:rPr>
                <w:rFonts w:ascii="Times New Roman" w:hAnsi="Times New Roman"/>
                <w:sz w:val="18"/>
              </w:rPr>
              <w:t>Work has been initiated with donors to support drafting the Building Renovation Strategy, and LUX-DEV has opened a call for expressions of interest in preparing this document.</w:t>
            </w:r>
          </w:p>
        </w:tc>
      </w:tr>
      <w:tr w:rsidR="007833F1" w:rsidRPr="0086165A" w14:paraId="090D2910" w14:textId="77777777" w:rsidTr="000134C7">
        <w:trPr>
          <w:trHeight w:val="97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038DDF6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III.1.7</w:t>
            </w:r>
          </w:p>
        </w:tc>
        <w:tc>
          <w:tcPr>
            <w:tcW w:w="411" w:type="pct"/>
            <w:tcBorders>
              <w:top w:val="nil"/>
              <w:left w:val="nil"/>
              <w:bottom w:val="nil"/>
              <w:right w:val="single" w:sz="8" w:space="0" w:color="auto"/>
            </w:tcBorders>
            <w:shd w:val="clear" w:color="000000" w:fill="FFFFFF"/>
            <w:vAlign w:val="center"/>
            <w:hideMark/>
          </w:tcPr>
          <w:p w14:paraId="74C0D5E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Public awareness-raising campaign</w:t>
            </w:r>
          </w:p>
        </w:tc>
        <w:tc>
          <w:tcPr>
            <w:tcW w:w="299" w:type="pct"/>
            <w:tcBorders>
              <w:top w:val="nil"/>
              <w:left w:val="nil"/>
              <w:bottom w:val="nil"/>
              <w:right w:val="single" w:sz="8" w:space="0" w:color="auto"/>
            </w:tcBorders>
            <w:shd w:val="clear" w:color="auto" w:fill="auto"/>
            <w:vAlign w:val="center"/>
            <w:hideMark/>
          </w:tcPr>
          <w:p w14:paraId="24DAC41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349" w:type="pct"/>
            <w:tcBorders>
              <w:top w:val="nil"/>
              <w:left w:val="nil"/>
              <w:bottom w:val="nil"/>
              <w:right w:val="single" w:sz="8" w:space="0" w:color="auto"/>
            </w:tcBorders>
            <w:shd w:val="clear" w:color="000000" w:fill="FFFFFF"/>
            <w:vAlign w:val="center"/>
            <w:hideMark/>
          </w:tcPr>
          <w:p w14:paraId="77A0FFE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 </w:t>
            </w:r>
          </w:p>
        </w:tc>
        <w:tc>
          <w:tcPr>
            <w:tcW w:w="375" w:type="pct"/>
            <w:tcBorders>
              <w:top w:val="nil"/>
              <w:left w:val="nil"/>
              <w:bottom w:val="nil"/>
              <w:right w:val="single" w:sz="8" w:space="0" w:color="auto"/>
            </w:tcBorders>
            <w:shd w:val="clear" w:color="000000" w:fill="FFFFFF"/>
            <w:vAlign w:val="center"/>
            <w:hideMark/>
          </w:tcPr>
          <w:p w14:paraId="7686AD3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 </w:t>
            </w:r>
          </w:p>
        </w:tc>
        <w:tc>
          <w:tcPr>
            <w:tcW w:w="375" w:type="pct"/>
            <w:tcBorders>
              <w:top w:val="nil"/>
              <w:left w:val="nil"/>
              <w:bottom w:val="nil"/>
              <w:right w:val="single" w:sz="8" w:space="0" w:color="auto"/>
            </w:tcBorders>
            <w:shd w:val="clear" w:color="000000" w:fill="FFFFFF"/>
            <w:vAlign w:val="center"/>
            <w:hideMark/>
          </w:tcPr>
          <w:p w14:paraId="27B0F97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5,000.00 </w:t>
            </w:r>
          </w:p>
        </w:tc>
        <w:tc>
          <w:tcPr>
            <w:tcW w:w="284" w:type="pct"/>
            <w:tcBorders>
              <w:top w:val="nil"/>
              <w:left w:val="nil"/>
              <w:bottom w:val="nil"/>
              <w:right w:val="single" w:sz="8" w:space="0" w:color="auto"/>
            </w:tcBorders>
            <w:shd w:val="clear" w:color="000000" w:fill="FFFFFF"/>
            <w:vAlign w:val="center"/>
            <w:hideMark/>
          </w:tcPr>
          <w:p w14:paraId="2D469C27" w14:textId="77777777" w:rsidR="00302788"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4B5F3142" w14:textId="635ACBBA"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single" w:sz="8" w:space="0" w:color="auto"/>
              <w:right w:val="single" w:sz="8" w:space="0" w:color="auto"/>
            </w:tcBorders>
            <w:shd w:val="clear" w:color="auto" w:fill="auto"/>
            <w:vAlign w:val="center"/>
            <w:hideMark/>
          </w:tcPr>
          <w:p w14:paraId="1DF18174"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donors</w:t>
            </w:r>
          </w:p>
        </w:tc>
        <w:tc>
          <w:tcPr>
            <w:tcW w:w="330" w:type="pct"/>
            <w:tcBorders>
              <w:top w:val="nil"/>
              <w:left w:val="nil"/>
              <w:bottom w:val="nil"/>
              <w:right w:val="single" w:sz="8" w:space="0" w:color="auto"/>
            </w:tcBorders>
            <w:shd w:val="clear" w:color="auto" w:fill="auto"/>
            <w:vAlign w:val="center"/>
            <w:hideMark/>
          </w:tcPr>
          <w:p w14:paraId="54FFF5C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KFEE, MESPI</w:t>
            </w:r>
          </w:p>
        </w:tc>
        <w:tc>
          <w:tcPr>
            <w:tcW w:w="411" w:type="pct"/>
            <w:tcBorders>
              <w:top w:val="nil"/>
              <w:left w:val="nil"/>
              <w:bottom w:val="nil"/>
              <w:right w:val="single" w:sz="8" w:space="0" w:color="auto"/>
            </w:tcBorders>
            <w:shd w:val="clear" w:color="auto" w:fill="auto"/>
            <w:vAlign w:val="center"/>
            <w:hideMark/>
          </w:tcPr>
          <w:p w14:paraId="7A8423A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Public awareness-raising campaigns organized</w:t>
            </w:r>
          </w:p>
        </w:tc>
        <w:tc>
          <w:tcPr>
            <w:tcW w:w="419" w:type="pct"/>
            <w:tcBorders>
              <w:top w:val="nil"/>
              <w:left w:val="nil"/>
              <w:bottom w:val="single" w:sz="8" w:space="0" w:color="auto"/>
              <w:right w:val="single" w:sz="8" w:space="0" w:color="auto"/>
            </w:tcBorders>
            <w:shd w:val="clear" w:color="auto" w:fill="auto"/>
            <w:vAlign w:val="center"/>
            <w:hideMark/>
          </w:tcPr>
          <w:p w14:paraId="3A581056"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auto" w:fill="auto"/>
            <w:vAlign w:val="center"/>
            <w:hideMark/>
          </w:tcPr>
          <w:p w14:paraId="5F779147" w14:textId="5A82CDAF" w:rsidR="00571EAF" w:rsidRPr="0014539F" w:rsidRDefault="00215057" w:rsidP="00863836">
            <w:pPr>
              <w:spacing w:after="0" w:line="240" w:lineRule="auto"/>
              <w:rPr>
                <w:rFonts w:ascii="Times New Roman" w:eastAsia="Times New Roman" w:hAnsi="Times New Roman" w:cs="Times New Roman"/>
                <w:sz w:val="18"/>
                <w:szCs w:val="18"/>
              </w:rPr>
            </w:pPr>
            <w:r>
              <w:rPr>
                <w:rFonts w:ascii="Times New Roman" w:hAnsi="Times New Roman"/>
                <w:sz w:val="18"/>
              </w:rPr>
              <w:t>An awareness campaign was carried out during the period of subsidy-application calls.</w:t>
            </w:r>
          </w:p>
        </w:tc>
      </w:tr>
      <w:tr w:rsidR="007833F1" w:rsidRPr="0086165A" w14:paraId="719635B3" w14:textId="77777777" w:rsidTr="000134C7">
        <w:trPr>
          <w:trHeight w:val="199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58ECFD3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III.1.8</w:t>
            </w:r>
          </w:p>
        </w:tc>
        <w:tc>
          <w:tcPr>
            <w:tcW w:w="411" w:type="pct"/>
            <w:tcBorders>
              <w:top w:val="single" w:sz="8" w:space="0" w:color="auto"/>
              <w:left w:val="nil"/>
              <w:bottom w:val="nil"/>
              <w:right w:val="single" w:sz="8" w:space="0" w:color="auto"/>
            </w:tcBorders>
            <w:shd w:val="clear" w:color="auto" w:fill="auto"/>
            <w:vAlign w:val="center"/>
            <w:hideMark/>
          </w:tcPr>
          <w:p w14:paraId="16BBF05E" w14:textId="77777777" w:rsidR="00571EAF" w:rsidRPr="0086165A" w:rsidRDefault="006A6FC0" w:rsidP="00571EAF">
            <w:pPr>
              <w:spacing w:after="0" w:line="240" w:lineRule="auto"/>
              <w:rPr>
                <w:rFonts w:ascii="Times New Roman" w:eastAsia="Times New Roman" w:hAnsi="Times New Roman" w:cs="Times New Roman"/>
                <w:sz w:val="18"/>
                <w:szCs w:val="18"/>
              </w:rPr>
            </w:pPr>
            <w:r>
              <w:rPr>
                <w:rFonts w:ascii="Times New Roman" w:hAnsi="Times New Roman"/>
                <w:sz w:val="18"/>
              </w:rPr>
              <w:t>Implementation of Energy Efficiency (EE) measures in public buildings (central level)</w:t>
            </w:r>
          </w:p>
        </w:tc>
        <w:tc>
          <w:tcPr>
            <w:tcW w:w="299" w:type="pct"/>
            <w:tcBorders>
              <w:top w:val="single" w:sz="8" w:space="0" w:color="auto"/>
              <w:left w:val="nil"/>
              <w:bottom w:val="nil"/>
              <w:right w:val="single" w:sz="8" w:space="0" w:color="auto"/>
            </w:tcBorders>
            <w:shd w:val="clear" w:color="auto" w:fill="auto"/>
            <w:vAlign w:val="center"/>
            <w:hideMark/>
          </w:tcPr>
          <w:p w14:paraId="43010C8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single" w:sz="8" w:space="0" w:color="auto"/>
              <w:left w:val="nil"/>
              <w:bottom w:val="nil"/>
              <w:right w:val="single" w:sz="8" w:space="0" w:color="auto"/>
            </w:tcBorders>
            <w:shd w:val="clear" w:color="auto" w:fill="auto"/>
            <w:vAlign w:val="center"/>
            <w:hideMark/>
          </w:tcPr>
          <w:p w14:paraId="1A49A03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1593E7F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2,400,000.00 </w:t>
            </w:r>
          </w:p>
        </w:tc>
        <w:tc>
          <w:tcPr>
            <w:tcW w:w="375" w:type="pct"/>
            <w:tcBorders>
              <w:top w:val="single" w:sz="8" w:space="0" w:color="auto"/>
              <w:left w:val="nil"/>
              <w:bottom w:val="nil"/>
              <w:right w:val="single" w:sz="8" w:space="0" w:color="auto"/>
            </w:tcBorders>
            <w:shd w:val="clear" w:color="auto" w:fill="auto"/>
            <w:vAlign w:val="center"/>
            <w:hideMark/>
          </w:tcPr>
          <w:p w14:paraId="66360ED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single" w:sz="8" w:space="0" w:color="auto"/>
              <w:left w:val="nil"/>
              <w:bottom w:val="nil"/>
              <w:right w:val="single" w:sz="8" w:space="0" w:color="auto"/>
            </w:tcBorders>
            <w:shd w:val="clear" w:color="auto" w:fill="auto"/>
            <w:vAlign w:val="center"/>
            <w:hideMark/>
          </w:tcPr>
          <w:p w14:paraId="42E37B4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520" w:type="pct"/>
            <w:tcBorders>
              <w:top w:val="nil"/>
              <w:left w:val="nil"/>
              <w:bottom w:val="nil"/>
              <w:right w:val="single" w:sz="8" w:space="0" w:color="auto"/>
            </w:tcBorders>
            <w:shd w:val="clear" w:color="auto" w:fill="auto"/>
            <w:vAlign w:val="center"/>
            <w:hideMark/>
          </w:tcPr>
          <w:p w14:paraId="2BFE6A8E" w14:textId="15C8E55F"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Kosovo Budget (KB), </w:t>
            </w:r>
            <w:r>
              <w:rPr>
                <w:rFonts w:ascii="Times New Roman" w:hAnsi="Times New Roman"/>
                <w:sz w:val="18"/>
              </w:rPr>
              <w:br/>
              <w:t>Donors (WB)</w:t>
            </w:r>
          </w:p>
        </w:tc>
        <w:tc>
          <w:tcPr>
            <w:tcW w:w="330" w:type="pct"/>
            <w:tcBorders>
              <w:top w:val="single" w:sz="8" w:space="0" w:color="auto"/>
              <w:left w:val="nil"/>
              <w:bottom w:val="nil"/>
              <w:right w:val="single" w:sz="8" w:space="0" w:color="auto"/>
            </w:tcBorders>
            <w:shd w:val="clear" w:color="auto" w:fill="auto"/>
            <w:vAlign w:val="center"/>
            <w:hideMark/>
          </w:tcPr>
          <w:p w14:paraId="5A4A8FC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411" w:type="pct"/>
            <w:tcBorders>
              <w:top w:val="single" w:sz="8" w:space="0" w:color="auto"/>
              <w:left w:val="nil"/>
              <w:bottom w:val="nil"/>
              <w:right w:val="single" w:sz="8" w:space="0" w:color="auto"/>
            </w:tcBorders>
            <w:shd w:val="clear" w:color="auto" w:fill="auto"/>
            <w:vAlign w:val="center"/>
            <w:hideMark/>
          </w:tcPr>
          <w:p w14:paraId="797B4026" w14:textId="77777777" w:rsidR="00571EAF" w:rsidRPr="0086165A" w:rsidRDefault="00AD4343" w:rsidP="00AD4343">
            <w:pPr>
              <w:spacing w:after="0" w:line="240" w:lineRule="auto"/>
              <w:rPr>
                <w:rFonts w:ascii="Times New Roman" w:eastAsia="Times New Roman" w:hAnsi="Times New Roman" w:cs="Times New Roman"/>
                <w:sz w:val="18"/>
                <w:szCs w:val="18"/>
              </w:rPr>
            </w:pPr>
            <w:r>
              <w:rPr>
                <w:rFonts w:ascii="Times New Roman" w:hAnsi="Times New Roman"/>
                <w:sz w:val="18"/>
              </w:rPr>
              <w:t xml:space="preserve">Twelve (12) public buildings at the central level (05. </w:t>
            </w:r>
            <w:proofErr w:type="spellStart"/>
            <w:r>
              <w:rPr>
                <w:rFonts w:ascii="Times New Roman" w:hAnsi="Times New Roman"/>
                <w:sz w:val="18"/>
              </w:rPr>
              <w:t>ktoe</w:t>
            </w:r>
            <w:proofErr w:type="spellEnd"/>
            <w:r>
              <w:rPr>
                <w:rFonts w:ascii="Times New Roman" w:hAnsi="Times New Roman"/>
                <w:sz w:val="18"/>
              </w:rPr>
              <w:t>)</w:t>
            </w:r>
          </w:p>
        </w:tc>
        <w:tc>
          <w:tcPr>
            <w:tcW w:w="419" w:type="pct"/>
            <w:tcBorders>
              <w:top w:val="nil"/>
              <w:left w:val="nil"/>
              <w:bottom w:val="single" w:sz="8" w:space="0" w:color="auto"/>
              <w:right w:val="single" w:sz="8" w:space="0" w:color="auto"/>
            </w:tcBorders>
            <w:shd w:val="clear" w:color="auto" w:fill="auto"/>
            <w:vAlign w:val="center"/>
            <w:hideMark/>
          </w:tcPr>
          <w:p w14:paraId="0858F71B"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vAlign w:val="bottom"/>
            <w:hideMark/>
          </w:tcPr>
          <w:p w14:paraId="580C7FAE" w14:textId="7E61975D"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Implementation of Energy Efficiency (EE) and renewable energy measures in central-level public facilities: “Implementation of Energy Efficiency (EE) measures in twelve (12) public facilities, including six (6) facilities within UCCK, three (3) hospitals, and three (3) administrative buildings.” </w:t>
            </w:r>
          </w:p>
          <w:p w14:paraId="728B0AE1" w14:textId="222BB880"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Lot 1 – The works in six (6) hospital facilities under LOT 1 (Pediatrics, Surgery, Oncology, Child Psychiatry, Psychiatric Intensive Ward, and the connecting bridge between the ENT and Surgery wards) were completed at the end of </w:t>
            </w:r>
            <w:r>
              <w:rPr>
                <w:rFonts w:ascii="Times New Roman" w:hAnsi="Times New Roman"/>
                <w:sz w:val="18"/>
              </w:rPr>
              <w:lastRenderedPageBreak/>
              <w:t>August, and the technical acceptance of the works ended in September. The DLP/warranty period for the works has started and will last twelve (12) months from the completion of the works.</w:t>
            </w:r>
          </w:p>
          <w:p w14:paraId="5B2D3D51" w14:textId="28C4ED01" w:rsidR="00571EAF"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Lot 2 – foresees investments in three (3) hospitals (the Psychiatry Hospital in </w:t>
            </w:r>
            <w:proofErr w:type="spellStart"/>
            <w:r>
              <w:rPr>
                <w:rFonts w:ascii="Times New Roman" w:hAnsi="Times New Roman"/>
                <w:sz w:val="18"/>
              </w:rPr>
              <w:t>Gjakova</w:t>
            </w:r>
            <w:proofErr w:type="spellEnd"/>
            <w:r>
              <w:rPr>
                <w:rFonts w:ascii="Times New Roman" w:hAnsi="Times New Roman"/>
                <w:sz w:val="18"/>
              </w:rPr>
              <w:t xml:space="preserve">, the Physiotherapy Hospital in </w:t>
            </w:r>
            <w:proofErr w:type="spellStart"/>
            <w:r>
              <w:rPr>
                <w:rFonts w:ascii="Times New Roman" w:hAnsi="Times New Roman"/>
                <w:sz w:val="18"/>
              </w:rPr>
              <w:t>Prizren</w:t>
            </w:r>
            <w:proofErr w:type="spellEnd"/>
            <w:r>
              <w:rPr>
                <w:rFonts w:ascii="Times New Roman" w:hAnsi="Times New Roman"/>
                <w:sz w:val="18"/>
              </w:rPr>
              <w:t xml:space="preserve">, the Morgue Hospital in </w:t>
            </w:r>
            <w:proofErr w:type="spellStart"/>
            <w:r>
              <w:rPr>
                <w:rFonts w:ascii="Times New Roman" w:hAnsi="Times New Roman"/>
                <w:sz w:val="18"/>
              </w:rPr>
              <w:t>Prizren</w:t>
            </w:r>
            <w:proofErr w:type="spellEnd"/>
            <w:r>
              <w:rPr>
                <w:rFonts w:ascii="Times New Roman" w:hAnsi="Times New Roman"/>
                <w:sz w:val="18"/>
              </w:rPr>
              <w:t>) and three (3) administrative facilities. These are in the final stage, and under the contract, the works will be concluded at the end of November. The technical acceptance of the works will be conducted in December. The project concluded at the end of 2024, and the DLP/warranty period for the works has started and will last twelve (12) months from completion.</w:t>
            </w:r>
          </w:p>
        </w:tc>
      </w:tr>
      <w:tr w:rsidR="007833F1" w:rsidRPr="0086165A" w14:paraId="009122CA" w14:textId="77777777" w:rsidTr="000134C7">
        <w:trPr>
          <w:trHeight w:val="457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2A96F5B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III.1.9</w:t>
            </w:r>
          </w:p>
        </w:tc>
        <w:tc>
          <w:tcPr>
            <w:tcW w:w="411" w:type="pct"/>
            <w:tcBorders>
              <w:top w:val="single" w:sz="8" w:space="0" w:color="auto"/>
              <w:left w:val="nil"/>
              <w:bottom w:val="nil"/>
              <w:right w:val="single" w:sz="8" w:space="0" w:color="auto"/>
            </w:tcBorders>
            <w:shd w:val="clear" w:color="auto" w:fill="auto"/>
            <w:vAlign w:val="center"/>
            <w:hideMark/>
          </w:tcPr>
          <w:p w14:paraId="7C5E01BD" w14:textId="77777777" w:rsidR="00571EAF" w:rsidRPr="0086165A" w:rsidRDefault="00AB0D2B" w:rsidP="00571EAF">
            <w:pPr>
              <w:spacing w:after="0" w:line="240" w:lineRule="auto"/>
              <w:rPr>
                <w:rFonts w:ascii="Times New Roman" w:eastAsia="Times New Roman" w:hAnsi="Times New Roman" w:cs="Times New Roman"/>
                <w:sz w:val="18"/>
                <w:szCs w:val="18"/>
              </w:rPr>
            </w:pPr>
            <w:r>
              <w:rPr>
                <w:rFonts w:ascii="Times New Roman" w:hAnsi="Times New Roman"/>
                <w:sz w:val="18"/>
              </w:rPr>
              <w:t>Implementation of Energy Efficiency (EE) measures in public buildings (at the municipal level);</w:t>
            </w:r>
          </w:p>
        </w:tc>
        <w:tc>
          <w:tcPr>
            <w:tcW w:w="299" w:type="pct"/>
            <w:tcBorders>
              <w:top w:val="single" w:sz="8" w:space="0" w:color="auto"/>
              <w:left w:val="nil"/>
              <w:bottom w:val="nil"/>
              <w:right w:val="single" w:sz="8" w:space="0" w:color="auto"/>
            </w:tcBorders>
            <w:shd w:val="clear" w:color="auto" w:fill="auto"/>
            <w:vAlign w:val="center"/>
            <w:hideMark/>
          </w:tcPr>
          <w:p w14:paraId="3D75A4B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349" w:type="pct"/>
            <w:tcBorders>
              <w:top w:val="single" w:sz="8" w:space="0" w:color="auto"/>
              <w:left w:val="nil"/>
              <w:bottom w:val="nil"/>
              <w:right w:val="single" w:sz="8" w:space="0" w:color="auto"/>
            </w:tcBorders>
            <w:shd w:val="clear" w:color="auto" w:fill="auto"/>
            <w:vAlign w:val="center"/>
            <w:hideMark/>
          </w:tcPr>
          <w:p w14:paraId="653C366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6,435,061.23 </w:t>
            </w:r>
          </w:p>
        </w:tc>
        <w:tc>
          <w:tcPr>
            <w:tcW w:w="375" w:type="pct"/>
            <w:tcBorders>
              <w:top w:val="single" w:sz="8" w:space="0" w:color="auto"/>
              <w:left w:val="nil"/>
              <w:bottom w:val="nil"/>
              <w:right w:val="single" w:sz="8" w:space="0" w:color="auto"/>
            </w:tcBorders>
            <w:shd w:val="clear" w:color="000000" w:fill="FFFFFF"/>
            <w:vAlign w:val="center"/>
            <w:hideMark/>
          </w:tcPr>
          <w:p w14:paraId="51FEE86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9,924,938.77 </w:t>
            </w:r>
          </w:p>
        </w:tc>
        <w:tc>
          <w:tcPr>
            <w:tcW w:w="375" w:type="pct"/>
            <w:tcBorders>
              <w:top w:val="single" w:sz="8" w:space="0" w:color="auto"/>
              <w:left w:val="nil"/>
              <w:bottom w:val="nil"/>
              <w:right w:val="single" w:sz="8" w:space="0" w:color="auto"/>
            </w:tcBorders>
            <w:shd w:val="clear" w:color="auto" w:fill="auto"/>
            <w:vAlign w:val="center"/>
            <w:hideMark/>
          </w:tcPr>
          <w:p w14:paraId="3B27787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500,000.00 </w:t>
            </w:r>
          </w:p>
        </w:tc>
        <w:tc>
          <w:tcPr>
            <w:tcW w:w="284" w:type="pct"/>
            <w:tcBorders>
              <w:top w:val="single" w:sz="8" w:space="0" w:color="auto"/>
              <w:left w:val="nil"/>
              <w:bottom w:val="nil"/>
              <w:right w:val="single" w:sz="8" w:space="0" w:color="auto"/>
            </w:tcBorders>
            <w:shd w:val="clear" w:color="auto" w:fill="auto"/>
            <w:vAlign w:val="center"/>
            <w:hideMark/>
          </w:tcPr>
          <w:p w14:paraId="7446138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520" w:type="pct"/>
            <w:tcBorders>
              <w:top w:val="single" w:sz="8" w:space="0" w:color="auto"/>
              <w:left w:val="nil"/>
              <w:bottom w:val="nil"/>
              <w:right w:val="single" w:sz="8" w:space="0" w:color="auto"/>
            </w:tcBorders>
            <w:shd w:val="clear" w:color="auto" w:fill="auto"/>
            <w:vAlign w:val="center"/>
            <w:hideMark/>
          </w:tcPr>
          <w:p w14:paraId="3F68CE4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Kosovo Budget (KB), </w:t>
            </w:r>
            <w:r>
              <w:rPr>
                <w:rFonts w:ascii="Times New Roman" w:hAnsi="Times New Roman"/>
                <w:sz w:val="18"/>
              </w:rPr>
              <w:br/>
              <w:t>Donors (EU, WB-KEEREP)</w:t>
            </w:r>
          </w:p>
        </w:tc>
        <w:tc>
          <w:tcPr>
            <w:tcW w:w="330" w:type="pct"/>
            <w:tcBorders>
              <w:top w:val="single" w:sz="8" w:space="0" w:color="auto"/>
              <w:left w:val="nil"/>
              <w:bottom w:val="nil"/>
              <w:right w:val="single" w:sz="8" w:space="0" w:color="auto"/>
            </w:tcBorders>
            <w:shd w:val="clear" w:color="auto" w:fill="auto"/>
            <w:vAlign w:val="center"/>
            <w:hideMark/>
          </w:tcPr>
          <w:p w14:paraId="32BE73B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KEEF</w:t>
            </w:r>
          </w:p>
        </w:tc>
        <w:tc>
          <w:tcPr>
            <w:tcW w:w="411" w:type="pct"/>
            <w:tcBorders>
              <w:top w:val="single" w:sz="8" w:space="0" w:color="auto"/>
              <w:left w:val="nil"/>
              <w:bottom w:val="nil"/>
              <w:right w:val="single" w:sz="8" w:space="0" w:color="auto"/>
            </w:tcBorders>
            <w:shd w:val="clear" w:color="auto" w:fill="auto"/>
            <w:vAlign w:val="center"/>
            <w:hideMark/>
          </w:tcPr>
          <w:p w14:paraId="4F69882C"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saving about 3 </w:t>
            </w:r>
            <w:proofErr w:type="spellStart"/>
            <w:r>
              <w:rPr>
                <w:rFonts w:ascii="Times New Roman" w:hAnsi="Times New Roman"/>
                <w:sz w:val="18"/>
              </w:rPr>
              <w:t>ktoe</w:t>
            </w:r>
            <w:proofErr w:type="spellEnd"/>
            <w:r>
              <w:rPr>
                <w:rFonts w:ascii="Times New Roman" w:hAnsi="Times New Roman"/>
                <w:sz w:val="18"/>
              </w:rPr>
              <w:t>/year</w:t>
            </w:r>
          </w:p>
        </w:tc>
        <w:tc>
          <w:tcPr>
            <w:tcW w:w="419" w:type="pct"/>
            <w:tcBorders>
              <w:top w:val="nil"/>
              <w:left w:val="nil"/>
              <w:bottom w:val="single" w:sz="8" w:space="0" w:color="auto"/>
              <w:right w:val="single" w:sz="8" w:space="0" w:color="auto"/>
            </w:tcBorders>
            <w:shd w:val="clear" w:color="auto" w:fill="auto"/>
            <w:vAlign w:val="center"/>
            <w:hideMark/>
          </w:tcPr>
          <w:p w14:paraId="1E99DA46"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vAlign w:val="center"/>
            <w:hideMark/>
          </w:tcPr>
          <w:p w14:paraId="0F57848D" w14:textId="1E76E86C" w:rsidR="00215057" w:rsidRPr="0086165A" w:rsidRDefault="00215057" w:rsidP="00863836">
            <w:pPr>
              <w:spacing w:after="0" w:line="240" w:lineRule="auto"/>
              <w:rPr>
                <w:rFonts w:ascii="Times New Roman" w:eastAsia="Times New Roman" w:hAnsi="Times New Roman" w:cs="Times New Roman"/>
                <w:color w:val="000000" w:themeColor="text1"/>
                <w:sz w:val="18"/>
                <w:szCs w:val="18"/>
              </w:rPr>
            </w:pPr>
            <w:r>
              <w:rPr>
                <w:rFonts w:ascii="Times New Roman" w:hAnsi="Times New Roman"/>
                <w:color w:val="000000" w:themeColor="text1"/>
                <w:sz w:val="18"/>
              </w:rPr>
              <w:t>In 2020 and 2021, KEEF published two public calls inviting all municipalities to apply for public buildings and street lighting systems in order to improve Energy Efficiency (EE) under the Municipal Energy Efficiency Project, supported by the World Bank (WB), the European Union (EU), and the Government of the Republic of Kosovo (GRK).</w:t>
            </w:r>
          </w:p>
          <w:p w14:paraId="2B84D5E3" w14:textId="3ED24AC2" w:rsidR="00215057" w:rsidRPr="0086165A" w:rsidRDefault="00215057" w:rsidP="00863836">
            <w:pPr>
              <w:spacing w:after="0" w:line="240" w:lineRule="auto"/>
              <w:rPr>
                <w:rFonts w:ascii="Times New Roman" w:eastAsia="Times New Roman" w:hAnsi="Times New Roman" w:cs="Times New Roman"/>
                <w:color w:val="000000" w:themeColor="text1"/>
                <w:sz w:val="18"/>
                <w:szCs w:val="18"/>
              </w:rPr>
            </w:pPr>
            <w:r>
              <w:rPr>
                <w:rFonts w:ascii="Times New Roman" w:hAnsi="Times New Roman"/>
                <w:color w:val="000000" w:themeColor="text1"/>
                <w:sz w:val="18"/>
              </w:rPr>
              <w:t>From these calls, one hundred and fifty (150) Project Initiation Agreements were signed. Out of those, for eighty-six (86) facilities, KEEF has signed Energy Service Agreements with municipalities. Within these projects, consultancy contracts (energy audit, design, and supervision) and work-implementation contracts have been concluded.</w:t>
            </w:r>
          </w:p>
          <w:p w14:paraId="220E35F1" w14:textId="54BCC775" w:rsidR="00215057" w:rsidRPr="0086165A" w:rsidRDefault="00215057" w:rsidP="00863836">
            <w:pPr>
              <w:spacing w:after="0" w:line="240" w:lineRule="auto"/>
              <w:rPr>
                <w:rFonts w:ascii="Times New Roman" w:eastAsia="Times New Roman" w:hAnsi="Times New Roman" w:cs="Times New Roman"/>
                <w:color w:val="000000" w:themeColor="text1"/>
                <w:sz w:val="18"/>
                <w:szCs w:val="18"/>
              </w:rPr>
            </w:pPr>
            <w:r>
              <w:rPr>
                <w:rFonts w:ascii="Times New Roman" w:hAnsi="Times New Roman"/>
                <w:color w:val="000000" w:themeColor="text1"/>
                <w:sz w:val="18"/>
              </w:rPr>
              <w:t xml:space="preserve">During the period January–June 2024, energy audits and designs for thirty-four (34) new facilities (from previous public calls) were completed. For seventeen (17) of </w:t>
            </w:r>
            <w:r>
              <w:rPr>
                <w:rFonts w:ascii="Times New Roman" w:hAnsi="Times New Roman"/>
                <w:color w:val="000000" w:themeColor="text1"/>
                <w:sz w:val="18"/>
              </w:rPr>
              <w:lastRenderedPageBreak/>
              <w:t>these, the tendering procedure for the works and supervision contracts was finalized. At the end of 2024, energy service agreements were signed for seventeen (17) buildings with six (6) municipalities in our country.</w:t>
            </w:r>
          </w:p>
          <w:p w14:paraId="1638152D" w14:textId="2A890B68" w:rsidR="00571EAF" w:rsidRPr="0086165A" w:rsidRDefault="00215057" w:rsidP="00863836">
            <w:pPr>
              <w:spacing w:after="0" w:line="240" w:lineRule="auto"/>
              <w:rPr>
                <w:rFonts w:ascii="Times New Roman" w:eastAsia="Times New Roman" w:hAnsi="Times New Roman" w:cs="Times New Roman"/>
                <w:color w:val="00B050"/>
                <w:sz w:val="18"/>
                <w:szCs w:val="18"/>
              </w:rPr>
            </w:pPr>
            <w:r>
              <w:rPr>
                <w:rFonts w:ascii="Times New Roman" w:hAnsi="Times New Roman"/>
                <w:color w:val="000000" w:themeColor="text1"/>
                <w:sz w:val="18"/>
              </w:rPr>
              <w:t xml:space="preserve">The total number of completed projects is eighty-four (84), and the energy savings value is 1.7 </w:t>
            </w:r>
            <w:proofErr w:type="spellStart"/>
            <w:r>
              <w:rPr>
                <w:rFonts w:ascii="Times New Roman" w:hAnsi="Times New Roman"/>
                <w:color w:val="000000" w:themeColor="text1"/>
                <w:sz w:val="18"/>
              </w:rPr>
              <w:t>ktoe</w:t>
            </w:r>
            <w:proofErr w:type="spellEnd"/>
            <w:r>
              <w:rPr>
                <w:rFonts w:ascii="Times New Roman" w:hAnsi="Times New Roman"/>
                <w:color w:val="000000" w:themeColor="text1"/>
                <w:sz w:val="18"/>
              </w:rPr>
              <w:t>/year.</w:t>
            </w:r>
          </w:p>
        </w:tc>
      </w:tr>
      <w:tr w:rsidR="007833F1" w:rsidRPr="0086165A" w14:paraId="6BF4A2CE" w14:textId="77777777" w:rsidTr="000134C7">
        <w:trPr>
          <w:trHeight w:val="735"/>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5AF03EC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III.1.10</w:t>
            </w:r>
          </w:p>
        </w:tc>
        <w:tc>
          <w:tcPr>
            <w:tcW w:w="411" w:type="pct"/>
            <w:tcBorders>
              <w:top w:val="single" w:sz="8" w:space="0" w:color="auto"/>
              <w:left w:val="nil"/>
              <w:bottom w:val="nil"/>
              <w:right w:val="single" w:sz="8" w:space="0" w:color="auto"/>
            </w:tcBorders>
            <w:shd w:val="clear" w:color="000000" w:fill="FFFFFF"/>
            <w:vAlign w:val="center"/>
            <w:hideMark/>
          </w:tcPr>
          <w:p w14:paraId="4DA53641" w14:textId="77777777" w:rsidR="00571EAF" w:rsidRPr="0086165A" w:rsidRDefault="00A56D20" w:rsidP="00571EAF">
            <w:pPr>
              <w:spacing w:after="0" w:line="240" w:lineRule="auto"/>
              <w:rPr>
                <w:rFonts w:ascii="Times New Roman" w:eastAsia="Times New Roman" w:hAnsi="Times New Roman" w:cs="Times New Roman"/>
                <w:sz w:val="18"/>
                <w:szCs w:val="18"/>
              </w:rPr>
            </w:pPr>
            <w:r>
              <w:rPr>
                <w:rFonts w:ascii="Times New Roman" w:hAnsi="Times New Roman"/>
                <w:sz w:val="18"/>
              </w:rPr>
              <w:t>Implementation of Energy Efficiency (EE) measures in public buildings (at the municipal level);</w:t>
            </w:r>
          </w:p>
        </w:tc>
        <w:tc>
          <w:tcPr>
            <w:tcW w:w="299" w:type="pct"/>
            <w:tcBorders>
              <w:top w:val="single" w:sz="8" w:space="0" w:color="auto"/>
              <w:left w:val="nil"/>
              <w:bottom w:val="nil"/>
              <w:right w:val="single" w:sz="8" w:space="0" w:color="auto"/>
            </w:tcBorders>
            <w:shd w:val="clear" w:color="000000" w:fill="FFFFFF"/>
            <w:vAlign w:val="center"/>
            <w:hideMark/>
          </w:tcPr>
          <w:p w14:paraId="561F386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single" w:sz="8" w:space="0" w:color="auto"/>
              <w:left w:val="nil"/>
              <w:bottom w:val="nil"/>
              <w:right w:val="single" w:sz="8" w:space="0" w:color="auto"/>
            </w:tcBorders>
            <w:shd w:val="clear" w:color="000000" w:fill="FFFFFF"/>
            <w:vAlign w:val="center"/>
            <w:hideMark/>
          </w:tcPr>
          <w:p w14:paraId="06C28FC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71124AA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375" w:type="pct"/>
            <w:tcBorders>
              <w:top w:val="single" w:sz="8" w:space="0" w:color="auto"/>
              <w:left w:val="nil"/>
              <w:bottom w:val="nil"/>
              <w:right w:val="single" w:sz="8" w:space="0" w:color="auto"/>
            </w:tcBorders>
            <w:shd w:val="clear" w:color="000000" w:fill="FFFFFF"/>
            <w:vAlign w:val="center"/>
            <w:hideMark/>
          </w:tcPr>
          <w:p w14:paraId="65C81EC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2,500,000.00 </w:t>
            </w:r>
          </w:p>
        </w:tc>
        <w:tc>
          <w:tcPr>
            <w:tcW w:w="284" w:type="pct"/>
            <w:tcBorders>
              <w:top w:val="single" w:sz="8" w:space="0" w:color="auto"/>
              <w:left w:val="nil"/>
              <w:bottom w:val="nil"/>
              <w:right w:val="single" w:sz="8" w:space="0" w:color="auto"/>
            </w:tcBorders>
            <w:shd w:val="clear" w:color="000000" w:fill="FFFFFF"/>
            <w:vAlign w:val="center"/>
            <w:hideMark/>
          </w:tcPr>
          <w:p w14:paraId="49516DD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520" w:type="pct"/>
            <w:tcBorders>
              <w:top w:val="single" w:sz="8" w:space="0" w:color="auto"/>
              <w:left w:val="nil"/>
              <w:bottom w:val="nil"/>
              <w:right w:val="single" w:sz="8" w:space="0" w:color="auto"/>
            </w:tcBorders>
            <w:shd w:val="clear" w:color="000000" w:fill="FFFFFF"/>
            <w:vAlign w:val="center"/>
            <w:hideMark/>
          </w:tcPr>
          <w:p w14:paraId="53F0B29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Kosovo Budget, </w:t>
            </w:r>
            <w:r>
              <w:rPr>
                <w:rFonts w:ascii="Times New Roman" w:hAnsi="Times New Roman"/>
                <w:sz w:val="18"/>
              </w:rPr>
              <w:br/>
            </w:r>
            <w:proofErr w:type="spellStart"/>
            <w:r>
              <w:rPr>
                <w:rFonts w:ascii="Times New Roman" w:hAnsi="Times New Roman"/>
                <w:sz w:val="18"/>
              </w:rPr>
              <w:t>KfW</w:t>
            </w:r>
            <w:proofErr w:type="spellEnd"/>
            <w:r>
              <w:rPr>
                <w:rFonts w:ascii="Times New Roman" w:hAnsi="Times New Roman"/>
                <w:sz w:val="18"/>
              </w:rPr>
              <w:t>, WBIF</w:t>
            </w:r>
          </w:p>
        </w:tc>
        <w:tc>
          <w:tcPr>
            <w:tcW w:w="330" w:type="pct"/>
            <w:tcBorders>
              <w:top w:val="single" w:sz="8" w:space="0" w:color="auto"/>
              <w:left w:val="nil"/>
              <w:bottom w:val="nil"/>
              <w:right w:val="single" w:sz="8" w:space="0" w:color="auto"/>
            </w:tcBorders>
            <w:shd w:val="clear" w:color="000000" w:fill="FFFFFF"/>
            <w:vAlign w:val="center"/>
            <w:hideMark/>
          </w:tcPr>
          <w:p w14:paraId="5401307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411" w:type="pct"/>
            <w:tcBorders>
              <w:top w:val="single" w:sz="8" w:space="0" w:color="auto"/>
              <w:left w:val="nil"/>
              <w:bottom w:val="nil"/>
              <w:right w:val="single" w:sz="8" w:space="0" w:color="auto"/>
            </w:tcBorders>
            <w:shd w:val="clear" w:color="000000" w:fill="FFFFFF"/>
            <w:vAlign w:val="center"/>
            <w:hideMark/>
          </w:tcPr>
          <w:p w14:paraId="4CAE0420" w14:textId="77777777" w:rsidR="00571EAF" w:rsidRPr="0086165A" w:rsidRDefault="00546944"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Eight (8) school buildings (1 </w:t>
            </w:r>
            <w:proofErr w:type="spellStart"/>
            <w:r>
              <w:rPr>
                <w:rFonts w:ascii="Times New Roman" w:hAnsi="Times New Roman"/>
                <w:sz w:val="18"/>
              </w:rPr>
              <w:t>ktoe</w:t>
            </w:r>
            <w:proofErr w:type="spellEnd"/>
            <w:r>
              <w:rPr>
                <w:rFonts w:ascii="Times New Roman" w:hAnsi="Times New Roman"/>
                <w:sz w:val="18"/>
              </w:rPr>
              <w:t>)</w:t>
            </w:r>
          </w:p>
        </w:tc>
        <w:tc>
          <w:tcPr>
            <w:tcW w:w="419" w:type="pct"/>
            <w:tcBorders>
              <w:top w:val="nil"/>
              <w:left w:val="nil"/>
              <w:bottom w:val="single" w:sz="8" w:space="0" w:color="auto"/>
              <w:right w:val="single" w:sz="8" w:space="0" w:color="auto"/>
            </w:tcBorders>
            <w:shd w:val="clear" w:color="000000" w:fill="FFFFFF"/>
            <w:vAlign w:val="center"/>
            <w:hideMark/>
          </w:tcPr>
          <w:p w14:paraId="4AE11BDD"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vAlign w:val="bottom"/>
            <w:hideMark/>
          </w:tcPr>
          <w:p w14:paraId="38F6B7C4" w14:textId="26055BA8" w:rsidR="00571EAF" w:rsidRPr="0086165A" w:rsidRDefault="006C647E" w:rsidP="00571EAF">
            <w:pPr>
              <w:spacing w:after="0" w:line="240" w:lineRule="auto"/>
              <w:rPr>
                <w:rFonts w:ascii="Times New Roman" w:eastAsia="Times New Roman" w:hAnsi="Times New Roman" w:cs="Times New Roman"/>
                <w:sz w:val="20"/>
                <w:szCs w:val="20"/>
              </w:rPr>
            </w:pPr>
            <w:r>
              <w:rPr>
                <w:rFonts w:ascii="Times New Roman" w:hAnsi="Times New Roman"/>
                <w:sz w:val="18"/>
              </w:rPr>
              <w:t>The Project Implementation Unit established.</w:t>
            </w:r>
          </w:p>
        </w:tc>
      </w:tr>
      <w:tr w:rsidR="007833F1" w:rsidRPr="0086165A" w14:paraId="05D3F277" w14:textId="77777777" w:rsidTr="000134C7">
        <w:trPr>
          <w:trHeight w:val="145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2316B96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III.1.11</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39D3E5A9"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Green Cities Framework 2 Window 2 - Energy Efficiency (EE) in Public Buildings in Prishtina</w:t>
            </w:r>
          </w:p>
        </w:tc>
        <w:tc>
          <w:tcPr>
            <w:tcW w:w="299" w:type="pct"/>
            <w:tcBorders>
              <w:top w:val="single" w:sz="8" w:space="0" w:color="auto"/>
              <w:left w:val="nil"/>
              <w:bottom w:val="nil"/>
              <w:right w:val="single" w:sz="8" w:space="0" w:color="auto"/>
            </w:tcBorders>
            <w:shd w:val="clear" w:color="000000" w:fill="FFFFFF"/>
            <w:vAlign w:val="center"/>
            <w:hideMark/>
          </w:tcPr>
          <w:p w14:paraId="111E492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49" w:type="pct"/>
            <w:tcBorders>
              <w:top w:val="single" w:sz="8" w:space="0" w:color="auto"/>
              <w:left w:val="nil"/>
              <w:bottom w:val="nil"/>
              <w:right w:val="single" w:sz="8" w:space="0" w:color="auto"/>
            </w:tcBorders>
            <w:shd w:val="clear" w:color="000000" w:fill="FFFFFF"/>
            <w:vAlign w:val="center"/>
            <w:hideMark/>
          </w:tcPr>
          <w:p w14:paraId="51EA39C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21B89AB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1,000,000.00 </w:t>
            </w:r>
          </w:p>
        </w:tc>
        <w:tc>
          <w:tcPr>
            <w:tcW w:w="375" w:type="pct"/>
            <w:tcBorders>
              <w:top w:val="single" w:sz="8" w:space="0" w:color="auto"/>
              <w:left w:val="nil"/>
              <w:bottom w:val="nil"/>
              <w:right w:val="single" w:sz="8" w:space="0" w:color="auto"/>
            </w:tcBorders>
            <w:shd w:val="clear" w:color="000000" w:fill="FFFFFF"/>
            <w:vAlign w:val="center"/>
            <w:hideMark/>
          </w:tcPr>
          <w:p w14:paraId="4213E9C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2,000,000.00 </w:t>
            </w:r>
          </w:p>
        </w:tc>
        <w:tc>
          <w:tcPr>
            <w:tcW w:w="284" w:type="pct"/>
            <w:tcBorders>
              <w:top w:val="single" w:sz="8" w:space="0" w:color="auto"/>
              <w:left w:val="nil"/>
              <w:bottom w:val="nil"/>
              <w:right w:val="single" w:sz="8" w:space="0" w:color="auto"/>
            </w:tcBorders>
            <w:shd w:val="clear" w:color="000000" w:fill="FFFFFF"/>
            <w:vAlign w:val="center"/>
            <w:hideMark/>
          </w:tcPr>
          <w:p w14:paraId="10FCFAF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520" w:type="pct"/>
            <w:tcBorders>
              <w:top w:val="single" w:sz="8" w:space="0" w:color="auto"/>
              <w:left w:val="nil"/>
              <w:bottom w:val="nil"/>
              <w:right w:val="single" w:sz="8" w:space="0" w:color="auto"/>
            </w:tcBorders>
            <w:shd w:val="clear" w:color="000000" w:fill="FFFFFF"/>
            <w:vAlign w:val="center"/>
            <w:hideMark/>
          </w:tcPr>
          <w:p w14:paraId="5435D1D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Loan from the EBRD. </w:t>
            </w:r>
          </w:p>
        </w:tc>
        <w:tc>
          <w:tcPr>
            <w:tcW w:w="330" w:type="pct"/>
            <w:tcBorders>
              <w:top w:val="single" w:sz="8" w:space="0" w:color="auto"/>
              <w:left w:val="nil"/>
              <w:bottom w:val="nil"/>
              <w:right w:val="single" w:sz="8" w:space="0" w:color="auto"/>
            </w:tcBorders>
            <w:shd w:val="clear" w:color="000000" w:fill="FFFFFF"/>
            <w:vAlign w:val="center"/>
            <w:hideMark/>
          </w:tcPr>
          <w:p w14:paraId="2FC010B4" w14:textId="50682B42"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Municipality of Prishtina.</w:t>
            </w:r>
          </w:p>
        </w:tc>
        <w:tc>
          <w:tcPr>
            <w:tcW w:w="411" w:type="pct"/>
            <w:tcBorders>
              <w:top w:val="single" w:sz="8" w:space="0" w:color="auto"/>
              <w:left w:val="nil"/>
              <w:bottom w:val="nil"/>
              <w:right w:val="single" w:sz="8" w:space="0" w:color="auto"/>
            </w:tcBorders>
            <w:shd w:val="clear" w:color="000000" w:fill="FFFFFF"/>
            <w:vAlign w:val="center"/>
            <w:hideMark/>
          </w:tcPr>
          <w:p w14:paraId="764D9CEF" w14:textId="6BC71B1D"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Implementation of EE measures in up to 47 buildings owned by the municipality. Energy saving 1 </w:t>
            </w:r>
            <w:proofErr w:type="spellStart"/>
            <w:r>
              <w:rPr>
                <w:rFonts w:ascii="Times New Roman" w:hAnsi="Times New Roman"/>
                <w:sz w:val="18"/>
              </w:rPr>
              <w:t>ktoe</w:t>
            </w:r>
            <w:proofErr w:type="spellEnd"/>
            <w:r>
              <w:rPr>
                <w:rFonts w:ascii="Times New Roman" w:hAnsi="Times New Roman"/>
                <w:sz w:val="18"/>
              </w:rPr>
              <w:t>.</w:t>
            </w:r>
          </w:p>
        </w:tc>
        <w:tc>
          <w:tcPr>
            <w:tcW w:w="419" w:type="pct"/>
            <w:tcBorders>
              <w:top w:val="nil"/>
              <w:left w:val="nil"/>
              <w:bottom w:val="single" w:sz="8" w:space="0" w:color="auto"/>
              <w:right w:val="single" w:sz="8" w:space="0" w:color="auto"/>
            </w:tcBorders>
            <w:shd w:val="clear" w:color="auto" w:fill="auto"/>
            <w:vAlign w:val="center"/>
            <w:hideMark/>
          </w:tcPr>
          <w:p w14:paraId="1A8A6AF9"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noWrap/>
            <w:vAlign w:val="bottom"/>
            <w:hideMark/>
          </w:tcPr>
          <w:p w14:paraId="4B368688" w14:textId="77777777" w:rsidR="00571EAF" w:rsidRPr="00D94C33" w:rsidRDefault="00571EAF" w:rsidP="00571EAF">
            <w:pPr>
              <w:spacing w:after="0" w:line="240" w:lineRule="auto"/>
              <w:rPr>
                <w:rFonts w:ascii="Times New Roman" w:eastAsia="Times New Roman" w:hAnsi="Times New Roman" w:cs="Times New Roman"/>
                <w:sz w:val="20"/>
                <w:szCs w:val="20"/>
              </w:rPr>
            </w:pPr>
            <w:r>
              <w:rPr>
                <w:rFonts w:ascii="Times New Roman" w:hAnsi="Times New Roman"/>
              </w:rPr>
              <w:t> </w:t>
            </w:r>
          </w:p>
        </w:tc>
      </w:tr>
      <w:tr w:rsidR="007833F1" w:rsidRPr="0086165A" w14:paraId="5C8F757D" w14:textId="77777777" w:rsidTr="000134C7">
        <w:trPr>
          <w:trHeight w:val="145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2F0977A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III.1.12</w:t>
            </w:r>
          </w:p>
        </w:tc>
        <w:tc>
          <w:tcPr>
            <w:tcW w:w="411" w:type="pct"/>
            <w:tcBorders>
              <w:top w:val="nil"/>
              <w:left w:val="nil"/>
              <w:bottom w:val="nil"/>
              <w:right w:val="single" w:sz="8" w:space="0" w:color="auto"/>
            </w:tcBorders>
            <w:shd w:val="clear" w:color="000000" w:fill="FFFFFF"/>
            <w:vAlign w:val="center"/>
            <w:hideMark/>
          </w:tcPr>
          <w:p w14:paraId="194012E5"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Implementation of Energy Efficiency (EE) measures in public buildings in </w:t>
            </w:r>
            <w:proofErr w:type="spellStart"/>
            <w:r>
              <w:rPr>
                <w:rFonts w:ascii="Times New Roman" w:hAnsi="Times New Roman"/>
                <w:sz w:val="18"/>
              </w:rPr>
              <w:t>Prizren</w:t>
            </w:r>
            <w:proofErr w:type="spellEnd"/>
          </w:p>
        </w:tc>
        <w:tc>
          <w:tcPr>
            <w:tcW w:w="299" w:type="pct"/>
            <w:tcBorders>
              <w:top w:val="single" w:sz="8" w:space="0" w:color="auto"/>
              <w:left w:val="nil"/>
              <w:bottom w:val="nil"/>
              <w:right w:val="single" w:sz="8" w:space="0" w:color="auto"/>
            </w:tcBorders>
            <w:shd w:val="clear" w:color="000000" w:fill="FFFFFF"/>
            <w:vAlign w:val="center"/>
            <w:hideMark/>
          </w:tcPr>
          <w:p w14:paraId="4A218AC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49" w:type="pct"/>
            <w:tcBorders>
              <w:top w:val="single" w:sz="8" w:space="0" w:color="auto"/>
              <w:left w:val="nil"/>
              <w:bottom w:val="nil"/>
              <w:right w:val="single" w:sz="8" w:space="0" w:color="auto"/>
            </w:tcBorders>
            <w:shd w:val="clear" w:color="000000" w:fill="FFFFFF"/>
            <w:vAlign w:val="center"/>
            <w:hideMark/>
          </w:tcPr>
          <w:p w14:paraId="03D58E8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32C94DD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1,000,000.00 </w:t>
            </w:r>
          </w:p>
        </w:tc>
        <w:tc>
          <w:tcPr>
            <w:tcW w:w="375" w:type="pct"/>
            <w:tcBorders>
              <w:top w:val="single" w:sz="8" w:space="0" w:color="auto"/>
              <w:left w:val="nil"/>
              <w:bottom w:val="nil"/>
              <w:right w:val="single" w:sz="8" w:space="0" w:color="auto"/>
            </w:tcBorders>
            <w:shd w:val="clear" w:color="000000" w:fill="FFFFFF"/>
            <w:vAlign w:val="center"/>
            <w:hideMark/>
          </w:tcPr>
          <w:p w14:paraId="6FBB526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2,000,000.00 </w:t>
            </w:r>
          </w:p>
        </w:tc>
        <w:tc>
          <w:tcPr>
            <w:tcW w:w="284" w:type="pct"/>
            <w:tcBorders>
              <w:top w:val="single" w:sz="8" w:space="0" w:color="auto"/>
              <w:left w:val="nil"/>
              <w:bottom w:val="nil"/>
              <w:right w:val="single" w:sz="8" w:space="0" w:color="auto"/>
            </w:tcBorders>
            <w:shd w:val="clear" w:color="000000" w:fill="FFFFFF"/>
            <w:vAlign w:val="center"/>
            <w:hideMark/>
          </w:tcPr>
          <w:p w14:paraId="0054D61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520" w:type="pct"/>
            <w:tcBorders>
              <w:top w:val="single" w:sz="8" w:space="0" w:color="auto"/>
              <w:left w:val="nil"/>
              <w:bottom w:val="nil"/>
              <w:right w:val="single" w:sz="8" w:space="0" w:color="auto"/>
            </w:tcBorders>
            <w:shd w:val="clear" w:color="000000" w:fill="FFFFFF"/>
            <w:vAlign w:val="center"/>
            <w:hideMark/>
          </w:tcPr>
          <w:p w14:paraId="51A7064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Loan from the EBRD. </w:t>
            </w:r>
          </w:p>
        </w:tc>
        <w:tc>
          <w:tcPr>
            <w:tcW w:w="330" w:type="pct"/>
            <w:tcBorders>
              <w:top w:val="single" w:sz="8" w:space="0" w:color="auto"/>
              <w:left w:val="nil"/>
              <w:bottom w:val="nil"/>
              <w:right w:val="single" w:sz="8" w:space="0" w:color="auto"/>
            </w:tcBorders>
            <w:shd w:val="clear" w:color="000000" w:fill="FFFFFF"/>
            <w:vAlign w:val="center"/>
            <w:hideMark/>
          </w:tcPr>
          <w:p w14:paraId="0FA7BEC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Municipality of </w:t>
            </w:r>
            <w:proofErr w:type="spellStart"/>
            <w:r>
              <w:rPr>
                <w:rFonts w:ascii="Times New Roman" w:hAnsi="Times New Roman"/>
                <w:sz w:val="18"/>
              </w:rPr>
              <w:t>Prizren</w:t>
            </w:r>
            <w:proofErr w:type="spellEnd"/>
          </w:p>
        </w:tc>
        <w:tc>
          <w:tcPr>
            <w:tcW w:w="411" w:type="pct"/>
            <w:tcBorders>
              <w:top w:val="single" w:sz="8" w:space="0" w:color="auto"/>
              <w:left w:val="nil"/>
              <w:bottom w:val="nil"/>
              <w:right w:val="single" w:sz="8" w:space="0" w:color="auto"/>
            </w:tcBorders>
            <w:shd w:val="clear" w:color="000000" w:fill="FFFFFF"/>
            <w:vAlign w:val="center"/>
            <w:hideMark/>
          </w:tcPr>
          <w:p w14:paraId="314EFEB6" w14:textId="68FC657A"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Implementation of Energy Efficiency (EE) measures in up to 47 buildings owned by the municipality. Energy saving 1 </w:t>
            </w:r>
            <w:proofErr w:type="spellStart"/>
            <w:r>
              <w:rPr>
                <w:rFonts w:ascii="Times New Roman" w:hAnsi="Times New Roman"/>
                <w:sz w:val="18"/>
              </w:rPr>
              <w:t>ktoe</w:t>
            </w:r>
            <w:proofErr w:type="spellEnd"/>
          </w:p>
        </w:tc>
        <w:tc>
          <w:tcPr>
            <w:tcW w:w="419" w:type="pct"/>
            <w:tcBorders>
              <w:top w:val="nil"/>
              <w:left w:val="nil"/>
              <w:bottom w:val="nil"/>
              <w:right w:val="single" w:sz="8" w:space="0" w:color="auto"/>
            </w:tcBorders>
            <w:shd w:val="clear" w:color="auto" w:fill="auto"/>
            <w:vAlign w:val="center"/>
            <w:hideMark/>
          </w:tcPr>
          <w:p w14:paraId="3E8E4FDA"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noWrap/>
            <w:vAlign w:val="bottom"/>
            <w:hideMark/>
          </w:tcPr>
          <w:p w14:paraId="749A3FD3" w14:textId="77777777" w:rsidR="00571EAF" w:rsidRPr="0014539F" w:rsidRDefault="00571EAF" w:rsidP="00571EAF">
            <w:pPr>
              <w:spacing w:after="0" w:line="240" w:lineRule="auto"/>
              <w:rPr>
                <w:rFonts w:ascii="Times New Roman" w:eastAsia="Times New Roman" w:hAnsi="Times New Roman" w:cs="Times New Roman"/>
                <w:sz w:val="20"/>
                <w:szCs w:val="20"/>
              </w:rPr>
            </w:pPr>
            <w:r>
              <w:rPr>
                <w:rFonts w:ascii="Times New Roman" w:hAnsi="Times New Roman"/>
              </w:rPr>
              <w:t> </w:t>
            </w:r>
          </w:p>
        </w:tc>
      </w:tr>
      <w:tr w:rsidR="007833F1" w:rsidRPr="0086165A" w14:paraId="03141E05" w14:textId="77777777" w:rsidTr="000134C7">
        <w:trPr>
          <w:trHeight w:val="1215"/>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069B35B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III.1.13</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0B68B09C" w14:textId="3741CB7E" w:rsidR="00571EAF" w:rsidRPr="0086165A" w:rsidRDefault="00CF0D2E" w:rsidP="00571EAF">
            <w:pPr>
              <w:spacing w:after="0" w:line="240" w:lineRule="auto"/>
              <w:rPr>
                <w:rFonts w:ascii="Times New Roman" w:eastAsia="Times New Roman" w:hAnsi="Times New Roman" w:cs="Times New Roman"/>
                <w:sz w:val="18"/>
                <w:szCs w:val="18"/>
              </w:rPr>
            </w:pPr>
            <w:r>
              <w:rPr>
                <w:rFonts w:ascii="Times New Roman" w:hAnsi="Times New Roman"/>
                <w:sz w:val="18"/>
              </w:rPr>
              <w:t>Implementation of Energy Efficiency (EE) measures in the residential sector (twenty-six (26) Multi-Apartment Buildings (MABs);</w:t>
            </w:r>
          </w:p>
        </w:tc>
        <w:tc>
          <w:tcPr>
            <w:tcW w:w="299" w:type="pct"/>
            <w:tcBorders>
              <w:top w:val="single" w:sz="8" w:space="0" w:color="auto"/>
              <w:left w:val="nil"/>
              <w:bottom w:val="single" w:sz="8" w:space="0" w:color="auto"/>
              <w:right w:val="single" w:sz="8" w:space="0" w:color="auto"/>
            </w:tcBorders>
            <w:shd w:val="clear" w:color="000000" w:fill="FFFFFF"/>
            <w:vAlign w:val="center"/>
            <w:hideMark/>
          </w:tcPr>
          <w:p w14:paraId="4A4BFF3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349" w:type="pct"/>
            <w:tcBorders>
              <w:top w:val="single" w:sz="8" w:space="0" w:color="auto"/>
              <w:left w:val="nil"/>
              <w:bottom w:val="single" w:sz="8" w:space="0" w:color="auto"/>
              <w:right w:val="single" w:sz="8" w:space="0" w:color="auto"/>
            </w:tcBorders>
            <w:shd w:val="clear" w:color="000000" w:fill="FFFFFF"/>
            <w:vAlign w:val="center"/>
            <w:hideMark/>
          </w:tcPr>
          <w:p w14:paraId="608A400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4,850,000.00 </w:t>
            </w:r>
          </w:p>
        </w:tc>
        <w:tc>
          <w:tcPr>
            <w:tcW w:w="375" w:type="pct"/>
            <w:tcBorders>
              <w:top w:val="single" w:sz="8" w:space="0" w:color="auto"/>
              <w:left w:val="nil"/>
              <w:bottom w:val="single" w:sz="8" w:space="0" w:color="auto"/>
              <w:right w:val="single" w:sz="8" w:space="0" w:color="auto"/>
            </w:tcBorders>
            <w:shd w:val="clear" w:color="000000" w:fill="FFFFFF"/>
            <w:vAlign w:val="center"/>
            <w:hideMark/>
          </w:tcPr>
          <w:p w14:paraId="32C68FE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single" w:sz="8" w:space="0" w:color="auto"/>
              <w:right w:val="single" w:sz="8" w:space="0" w:color="auto"/>
            </w:tcBorders>
            <w:shd w:val="clear" w:color="000000" w:fill="FFFFFF"/>
            <w:vAlign w:val="center"/>
            <w:hideMark/>
          </w:tcPr>
          <w:p w14:paraId="068C52F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single" w:sz="8" w:space="0" w:color="auto"/>
              <w:left w:val="nil"/>
              <w:bottom w:val="single" w:sz="8" w:space="0" w:color="auto"/>
              <w:right w:val="single" w:sz="8" w:space="0" w:color="auto"/>
            </w:tcBorders>
            <w:shd w:val="clear" w:color="000000" w:fill="FFFFFF"/>
            <w:vAlign w:val="center"/>
            <w:hideMark/>
          </w:tcPr>
          <w:p w14:paraId="2B456D11" w14:textId="77777777" w:rsidR="000757C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5057755E" w14:textId="724DBC80"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single" w:sz="8" w:space="0" w:color="auto"/>
              <w:left w:val="nil"/>
              <w:bottom w:val="single" w:sz="8" w:space="0" w:color="auto"/>
              <w:right w:val="single" w:sz="8" w:space="0" w:color="auto"/>
            </w:tcBorders>
            <w:shd w:val="clear" w:color="000000" w:fill="FFFFFF"/>
            <w:vAlign w:val="center"/>
            <w:hideMark/>
          </w:tcPr>
          <w:p w14:paraId="463E745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MMC- Millennium Foundation Kosovo </w:t>
            </w:r>
          </w:p>
        </w:tc>
        <w:tc>
          <w:tcPr>
            <w:tcW w:w="330" w:type="pct"/>
            <w:tcBorders>
              <w:top w:val="single" w:sz="8" w:space="0" w:color="auto"/>
              <w:left w:val="nil"/>
              <w:bottom w:val="single" w:sz="8" w:space="0" w:color="auto"/>
              <w:right w:val="single" w:sz="8" w:space="0" w:color="auto"/>
            </w:tcBorders>
            <w:shd w:val="clear" w:color="000000" w:fill="FFFFFF"/>
            <w:vAlign w:val="center"/>
            <w:hideMark/>
          </w:tcPr>
          <w:p w14:paraId="6502C5C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MCC, ME, Municipality</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3669A999" w14:textId="5339FA8C" w:rsidR="00571EAF" w:rsidRPr="0086165A" w:rsidRDefault="00176AA7" w:rsidP="00571EAF">
            <w:pPr>
              <w:spacing w:after="0" w:line="240" w:lineRule="auto"/>
              <w:jc w:val="center"/>
              <w:rPr>
                <w:rFonts w:ascii="Times New Roman" w:eastAsia="Times New Roman" w:hAnsi="Times New Roman" w:cs="Times New Roman"/>
                <w:sz w:val="18"/>
                <w:szCs w:val="18"/>
              </w:rPr>
            </w:pPr>
            <w:r>
              <w:rPr>
                <w:rFonts w:ascii="Times New Roman" w:hAnsi="Times New Roman"/>
              </w:rPr>
              <w:t>Twenty-six (26) Multi-Apartment Buildings (MABs) renovated, achieving savings of up to thirty percent (30%).</w:t>
            </w:r>
          </w:p>
        </w:tc>
        <w:tc>
          <w:tcPr>
            <w:tcW w:w="419" w:type="pct"/>
            <w:tcBorders>
              <w:top w:val="single" w:sz="8" w:space="0" w:color="auto"/>
              <w:left w:val="nil"/>
              <w:bottom w:val="single" w:sz="8" w:space="0" w:color="auto"/>
              <w:right w:val="single" w:sz="8" w:space="0" w:color="auto"/>
            </w:tcBorders>
            <w:shd w:val="clear" w:color="000000" w:fill="FFFFFF"/>
            <w:hideMark/>
          </w:tcPr>
          <w:p w14:paraId="0E9C31AB" w14:textId="63BC0C75"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The Law on Energy Efficiency, the Law on Energy Performance of Buildings, the 4th National Action Plan for Energy Efficiency (EE)</w:t>
            </w:r>
          </w:p>
        </w:tc>
        <w:tc>
          <w:tcPr>
            <w:tcW w:w="996" w:type="pct"/>
            <w:tcBorders>
              <w:top w:val="nil"/>
              <w:left w:val="nil"/>
              <w:bottom w:val="single" w:sz="8" w:space="0" w:color="auto"/>
              <w:right w:val="single" w:sz="8" w:space="0" w:color="auto"/>
            </w:tcBorders>
            <w:shd w:val="clear" w:color="000000" w:fill="FFFFFF"/>
            <w:vAlign w:val="center"/>
            <w:hideMark/>
          </w:tcPr>
          <w:p w14:paraId="192A33DB" w14:textId="77777777" w:rsidR="00571EAF" w:rsidRPr="0086165A" w:rsidRDefault="00571EAF" w:rsidP="00825A5D">
            <w:pPr>
              <w:spacing w:after="0" w:line="240" w:lineRule="auto"/>
              <w:rPr>
                <w:rFonts w:ascii="Times New Roman" w:eastAsia="Times New Roman" w:hAnsi="Times New Roman" w:cs="Times New Roman"/>
                <w:sz w:val="20"/>
                <w:szCs w:val="20"/>
              </w:rPr>
            </w:pPr>
          </w:p>
        </w:tc>
      </w:tr>
      <w:tr w:rsidR="007833F1" w:rsidRPr="0086165A" w14:paraId="03D99381" w14:textId="77777777" w:rsidTr="000134C7">
        <w:trPr>
          <w:trHeight w:val="735"/>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35D067E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III.1.14</w:t>
            </w:r>
          </w:p>
        </w:tc>
        <w:tc>
          <w:tcPr>
            <w:tcW w:w="411" w:type="pct"/>
            <w:tcBorders>
              <w:top w:val="nil"/>
              <w:left w:val="nil"/>
              <w:bottom w:val="nil"/>
              <w:right w:val="single" w:sz="8" w:space="0" w:color="auto"/>
            </w:tcBorders>
            <w:shd w:val="clear" w:color="000000" w:fill="FFFFFF"/>
            <w:vAlign w:val="center"/>
            <w:hideMark/>
          </w:tcPr>
          <w:p w14:paraId="172EEAB4"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Feasibility study for the implementation of Energy Efficiency (EE) measures in the residential and private sector</w:t>
            </w:r>
          </w:p>
        </w:tc>
        <w:tc>
          <w:tcPr>
            <w:tcW w:w="299" w:type="pct"/>
            <w:tcBorders>
              <w:top w:val="nil"/>
              <w:left w:val="nil"/>
              <w:bottom w:val="nil"/>
              <w:right w:val="single" w:sz="8" w:space="0" w:color="auto"/>
            </w:tcBorders>
            <w:shd w:val="clear" w:color="000000" w:fill="FFFFFF"/>
            <w:vAlign w:val="center"/>
            <w:hideMark/>
          </w:tcPr>
          <w:p w14:paraId="7DEEC77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49" w:type="pct"/>
            <w:tcBorders>
              <w:top w:val="nil"/>
              <w:left w:val="nil"/>
              <w:bottom w:val="nil"/>
              <w:right w:val="single" w:sz="8" w:space="0" w:color="auto"/>
            </w:tcBorders>
            <w:shd w:val="clear" w:color="000000" w:fill="FFFFFF"/>
            <w:vAlign w:val="center"/>
            <w:hideMark/>
          </w:tcPr>
          <w:p w14:paraId="4C6621E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nil"/>
              <w:left w:val="nil"/>
              <w:bottom w:val="nil"/>
              <w:right w:val="single" w:sz="8" w:space="0" w:color="auto"/>
            </w:tcBorders>
            <w:shd w:val="clear" w:color="000000" w:fill="FFFFFF"/>
            <w:vAlign w:val="center"/>
            <w:hideMark/>
          </w:tcPr>
          <w:p w14:paraId="052F6B7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nil"/>
              <w:left w:val="nil"/>
              <w:bottom w:val="nil"/>
              <w:right w:val="single" w:sz="8" w:space="0" w:color="auto"/>
            </w:tcBorders>
            <w:shd w:val="clear" w:color="000000" w:fill="FFFFFF"/>
            <w:vAlign w:val="center"/>
            <w:hideMark/>
          </w:tcPr>
          <w:p w14:paraId="073A983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200,000.00 </w:t>
            </w:r>
          </w:p>
        </w:tc>
        <w:tc>
          <w:tcPr>
            <w:tcW w:w="284" w:type="pct"/>
            <w:tcBorders>
              <w:top w:val="nil"/>
              <w:left w:val="nil"/>
              <w:bottom w:val="nil"/>
              <w:right w:val="single" w:sz="8" w:space="0" w:color="auto"/>
            </w:tcBorders>
            <w:shd w:val="clear" w:color="000000" w:fill="FFFFFF"/>
            <w:vAlign w:val="center"/>
            <w:hideMark/>
          </w:tcPr>
          <w:p w14:paraId="0F247FC3" w14:textId="77777777" w:rsidR="005E20EB"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6DED28C0" w14:textId="18805AB5"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nil"/>
              <w:right w:val="single" w:sz="8" w:space="0" w:color="auto"/>
            </w:tcBorders>
            <w:shd w:val="clear" w:color="000000" w:fill="FFFFFF"/>
            <w:vAlign w:val="center"/>
            <w:hideMark/>
          </w:tcPr>
          <w:p w14:paraId="3E413A3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 (WBIF)</w:t>
            </w:r>
          </w:p>
        </w:tc>
        <w:tc>
          <w:tcPr>
            <w:tcW w:w="330" w:type="pct"/>
            <w:tcBorders>
              <w:top w:val="nil"/>
              <w:left w:val="nil"/>
              <w:bottom w:val="nil"/>
              <w:right w:val="single" w:sz="8" w:space="0" w:color="auto"/>
            </w:tcBorders>
            <w:shd w:val="clear" w:color="000000" w:fill="FFFFFF"/>
            <w:vAlign w:val="center"/>
            <w:hideMark/>
          </w:tcPr>
          <w:p w14:paraId="67645D5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KEEF</w:t>
            </w:r>
          </w:p>
        </w:tc>
        <w:tc>
          <w:tcPr>
            <w:tcW w:w="411" w:type="pct"/>
            <w:tcBorders>
              <w:top w:val="nil"/>
              <w:left w:val="nil"/>
              <w:bottom w:val="nil"/>
              <w:right w:val="single" w:sz="8" w:space="0" w:color="auto"/>
            </w:tcBorders>
            <w:shd w:val="clear" w:color="000000" w:fill="FFFFFF"/>
            <w:vAlign w:val="center"/>
            <w:hideMark/>
          </w:tcPr>
          <w:p w14:paraId="105D1C36"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Feasibility study completed</w:t>
            </w:r>
          </w:p>
        </w:tc>
        <w:tc>
          <w:tcPr>
            <w:tcW w:w="419" w:type="pct"/>
            <w:tcBorders>
              <w:top w:val="nil"/>
              <w:left w:val="nil"/>
              <w:bottom w:val="single" w:sz="8" w:space="0" w:color="auto"/>
              <w:right w:val="single" w:sz="8" w:space="0" w:color="auto"/>
            </w:tcBorders>
            <w:shd w:val="clear" w:color="000000" w:fill="FFFFFF"/>
            <w:vAlign w:val="center"/>
            <w:hideMark/>
          </w:tcPr>
          <w:p w14:paraId="5F0FFC09"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vAlign w:val="bottom"/>
            <w:hideMark/>
          </w:tcPr>
          <w:p w14:paraId="0344DCDC" w14:textId="5C7C39E4" w:rsidR="00571EAF" w:rsidRPr="0014539F" w:rsidRDefault="00215057"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GAP analyses has been carried out, as well as the final studies for the schemes in the residential sector have been carried out and presented, including the roadmap and it is considered final.  </w:t>
            </w:r>
          </w:p>
        </w:tc>
      </w:tr>
      <w:tr w:rsidR="007833F1" w:rsidRPr="0086165A" w14:paraId="02F3C580" w14:textId="77777777" w:rsidTr="000134C7">
        <w:trPr>
          <w:trHeight w:val="5010"/>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4CFC7C7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III.1.15</w:t>
            </w:r>
          </w:p>
        </w:tc>
        <w:tc>
          <w:tcPr>
            <w:tcW w:w="411" w:type="pct"/>
            <w:tcBorders>
              <w:top w:val="single" w:sz="8" w:space="0" w:color="auto"/>
              <w:left w:val="nil"/>
              <w:bottom w:val="nil"/>
              <w:right w:val="single" w:sz="8" w:space="0" w:color="auto"/>
            </w:tcBorders>
            <w:shd w:val="clear" w:color="auto" w:fill="auto"/>
            <w:vAlign w:val="center"/>
            <w:hideMark/>
          </w:tcPr>
          <w:p w14:paraId="0D3F4EA4" w14:textId="77777777" w:rsidR="00571EAF" w:rsidRPr="0086165A" w:rsidRDefault="000753C5" w:rsidP="00571EAF">
            <w:pPr>
              <w:spacing w:after="0" w:line="240" w:lineRule="auto"/>
              <w:rPr>
                <w:rFonts w:ascii="Times New Roman" w:eastAsia="Times New Roman" w:hAnsi="Times New Roman" w:cs="Times New Roman"/>
                <w:sz w:val="18"/>
                <w:szCs w:val="18"/>
              </w:rPr>
            </w:pPr>
            <w:r>
              <w:rPr>
                <w:rFonts w:ascii="Times New Roman" w:hAnsi="Times New Roman"/>
                <w:sz w:val="18"/>
              </w:rPr>
              <w:t>Implementation of Energy Efficiency (EE) measures in the residential sector (individual houses)</w:t>
            </w:r>
          </w:p>
        </w:tc>
        <w:tc>
          <w:tcPr>
            <w:tcW w:w="299" w:type="pct"/>
            <w:tcBorders>
              <w:top w:val="single" w:sz="8" w:space="0" w:color="auto"/>
              <w:left w:val="nil"/>
              <w:bottom w:val="nil"/>
              <w:right w:val="single" w:sz="8" w:space="0" w:color="auto"/>
            </w:tcBorders>
            <w:shd w:val="clear" w:color="auto" w:fill="auto"/>
            <w:vAlign w:val="center"/>
            <w:hideMark/>
          </w:tcPr>
          <w:p w14:paraId="50B8B25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49" w:type="pct"/>
            <w:tcBorders>
              <w:top w:val="single" w:sz="8" w:space="0" w:color="auto"/>
              <w:left w:val="nil"/>
              <w:bottom w:val="nil"/>
              <w:right w:val="single" w:sz="8" w:space="0" w:color="auto"/>
            </w:tcBorders>
            <w:shd w:val="clear" w:color="auto" w:fill="auto"/>
            <w:vAlign w:val="center"/>
            <w:hideMark/>
          </w:tcPr>
          <w:p w14:paraId="589E4F0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4C4AABD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5,000,000.00 </w:t>
            </w:r>
          </w:p>
        </w:tc>
        <w:tc>
          <w:tcPr>
            <w:tcW w:w="375" w:type="pct"/>
            <w:tcBorders>
              <w:top w:val="single" w:sz="8" w:space="0" w:color="auto"/>
              <w:left w:val="nil"/>
              <w:bottom w:val="nil"/>
              <w:right w:val="single" w:sz="8" w:space="0" w:color="auto"/>
            </w:tcBorders>
            <w:shd w:val="clear" w:color="auto" w:fill="auto"/>
            <w:vAlign w:val="center"/>
            <w:hideMark/>
          </w:tcPr>
          <w:p w14:paraId="67AE367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5,000,000.00 </w:t>
            </w:r>
          </w:p>
        </w:tc>
        <w:tc>
          <w:tcPr>
            <w:tcW w:w="284" w:type="pct"/>
            <w:tcBorders>
              <w:top w:val="single" w:sz="8" w:space="0" w:color="auto"/>
              <w:left w:val="nil"/>
              <w:bottom w:val="nil"/>
              <w:right w:val="single" w:sz="8" w:space="0" w:color="auto"/>
            </w:tcBorders>
            <w:shd w:val="clear" w:color="auto" w:fill="auto"/>
            <w:vAlign w:val="center"/>
            <w:hideMark/>
          </w:tcPr>
          <w:p w14:paraId="216C15E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4A91DC6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European Commission / IPA Funds</w:t>
            </w:r>
          </w:p>
        </w:tc>
        <w:tc>
          <w:tcPr>
            <w:tcW w:w="330" w:type="pct"/>
            <w:tcBorders>
              <w:top w:val="single" w:sz="8" w:space="0" w:color="auto"/>
              <w:left w:val="nil"/>
              <w:bottom w:val="nil"/>
              <w:right w:val="single" w:sz="8" w:space="0" w:color="auto"/>
            </w:tcBorders>
            <w:shd w:val="clear" w:color="auto" w:fill="auto"/>
            <w:vAlign w:val="center"/>
            <w:hideMark/>
          </w:tcPr>
          <w:p w14:paraId="58C0EA7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KEEF</w:t>
            </w:r>
          </w:p>
        </w:tc>
        <w:tc>
          <w:tcPr>
            <w:tcW w:w="411" w:type="pct"/>
            <w:tcBorders>
              <w:top w:val="single" w:sz="8" w:space="0" w:color="auto"/>
              <w:left w:val="nil"/>
              <w:bottom w:val="nil"/>
              <w:right w:val="single" w:sz="8" w:space="0" w:color="auto"/>
            </w:tcBorders>
            <w:shd w:val="clear" w:color="auto" w:fill="auto"/>
            <w:vAlign w:val="center"/>
            <w:hideMark/>
          </w:tcPr>
          <w:p w14:paraId="7BF037B6"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saving - 2 </w:t>
            </w:r>
            <w:proofErr w:type="spellStart"/>
            <w:r>
              <w:rPr>
                <w:rFonts w:ascii="Times New Roman" w:hAnsi="Times New Roman"/>
                <w:sz w:val="18"/>
              </w:rPr>
              <w:t>ktoe</w:t>
            </w:r>
            <w:proofErr w:type="spellEnd"/>
            <w:r>
              <w:rPr>
                <w:rFonts w:ascii="Times New Roman" w:hAnsi="Times New Roman"/>
                <w:sz w:val="18"/>
              </w:rPr>
              <w:t>/year</w:t>
            </w:r>
          </w:p>
        </w:tc>
        <w:tc>
          <w:tcPr>
            <w:tcW w:w="419" w:type="pct"/>
            <w:tcBorders>
              <w:top w:val="nil"/>
              <w:left w:val="nil"/>
              <w:bottom w:val="single" w:sz="8" w:space="0" w:color="auto"/>
              <w:right w:val="single" w:sz="8" w:space="0" w:color="auto"/>
            </w:tcBorders>
            <w:shd w:val="clear" w:color="auto" w:fill="auto"/>
            <w:vAlign w:val="center"/>
            <w:hideMark/>
          </w:tcPr>
          <w:p w14:paraId="499648D0"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auto" w:fill="auto"/>
            <w:vAlign w:val="bottom"/>
            <w:hideMark/>
          </w:tcPr>
          <w:p w14:paraId="25742B9B" w14:textId="10B9172A" w:rsidR="00215057" w:rsidRPr="0014539F"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During 2023, the Kosovo Energy Efficiency Fund (KEEF) published a Public Call. The Public Call for Applications for the implementation of the “Emergency Project for the Implementation of Energy Efficiency (EE) Measures for Individual Residential Houses” with the support of the European Union (EU), under the IPA program, Energy Support Package of the Government of the Republic of Kosovo (GRK). </w:t>
            </w:r>
          </w:p>
          <w:p w14:paraId="74B99D31" w14:textId="372C6D5E" w:rsidR="00215057" w:rsidRPr="0014539F"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From this call, 3,321 applications were reviewed. A total of 2,148 pre-approval letters were issued, with a reserved amount of €8,230,050 according to the pre-approval letters. There are 2,100 beneficiary families. The number of applications that have received disbursement is 1,811, and the amount is €6.7 million, whereas 1,010 applications were on the waiting list (due to lack of auditors’ reports). KEEF issued a public call for this list, and two hundred sixty-seven (267) applicants responded. These applications were verified by nine (9) companies engaged by KEEF, and 1,789 agreements have been signed. The total budget spent on this process has reached the amount of €6,347,438.91. </w:t>
            </w:r>
          </w:p>
          <w:p w14:paraId="0FD0505F" w14:textId="736B3142"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KEEF initiated the process of handling the waiting list from the previous call, and two hundred thirty-nine (239) houses responded. Twenty-five (25) of them have energy audit reports, whereas for two hundred twelve (212) houses, KEEF initiated a tender procedure for preparing energy audits and verifying the implementation of measures. From this list, forty-eight (48) agreements have been signed with a value of €161,053.39.</w:t>
            </w:r>
          </w:p>
          <w:p w14:paraId="45A811D2" w14:textId="765107B2"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On 26 August 2024, KEEF continued with a second public call </w:t>
            </w:r>
            <w:r>
              <w:rPr>
                <w:rFonts w:ascii="Times New Roman" w:hAnsi="Times New Roman"/>
                <w:sz w:val="18"/>
              </w:rPr>
              <w:lastRenderedPageBreak/>
              <w:t xml:space="preserve">for individual houses, with a designated amount of €5 million. During this second call, 1,296 valid applications were received, of which 1,237 were pre-approved, forty-three (43) rejections, and sixteen (16) applicants withdrew from the subsidy. From this call, which is still ongoing, eight hundred six (806) agreements have been signed, and the total budget spent so far on this process is €2,836,510.70. </w:t>
            </w:r>
          </w:p>
          <w:p w14:paraId="5BC07FCD" w14:textId="16A66186" w:rsidR="00571EAF"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Under the first public call for the Emergency Project for the Implementation of Energy Efficiency (EE) Measures in individual residential houses, the energy savings value is 4.4 </w:t>
            </w:r>
            <w:proofErr w:type="spellStart"/>
            <w:r>
              <w:rPr>
                <w:rFonts w:ascii="Times New Roman" w:hAnsi="Times New Roman"/>
                <w:sz w:val="18"/>
              </w:rPr>
              <w:t>ktoe</w:t>
            </w:r>
            <w:proofErr w:type="spellEnd"/>
            <w:r>
              <w:rPr>
                <w:rFonts w:ascii="Times New Roman" w:hAnsi="Times New Roman"/>
                <w:sz w:val="18"/>
              </w:rPr>
              <w:t>/year.</w:t>
            </w:r>
          </w:p>
        </w:tc>
      </w:tr>
      <w:tr w:rsidR="007833F1" w:rsidRPr="0086165A" w14:paraId="2ADC7C30" w14:textId="77777777" w:rsidTr="000134C7">
        <w:trPr>
          <w:trHeight w:val="457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5CEC73C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III.1.16</w:t>
            </w:r>
          </w:p>
        </w:tc>
        <w:tc>
          <w:tcPr>
            <w:tcW w:w="411" w:type="pct"/>
            <w:tcBorders>
              <w:top w:val="single" w:sz="8" w:space="0" w:color="auto"/>
              <w:left w:val="nil"/>
              <w:bottom w:val="nil"/>
              <w:right w:val="single" w:sz="8" w:space="0" w:color="auto"/>
            </w:tcBorders>
            <w:shd w:val="clear" w:color="auto" w:fill="auto"/>
            <w:vAlign w:val="center"/>
            <w:hideMark/>
          </w:tcPr>
          <w:p w14:paraId="76235112" w14:textId="27C3B7FF" w:rsidR="00571EAF" w:rsidRPr="0086165A" w:rsidRDefault="00A424D5"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Implementation of Energy Efficiency (EE) measures in the residential sector - social multi-apartment buildings (MAB) - owned by municipalities. </w:t>
            </w:r>
          </w:p>
        </w:tc>
        <w:tc>
          <w:tcPr>
            <w:tcW w:w="299" w:type="pct"/>
            <w:tcBorders>
              <w:top w:val="single" w:sz="8" w:space="0" w:color="auto"/>
              <w:left w:val="nil"/>
              <w:bottom w:val="nil"/>
              <w:right w:val="single" w:sz="8" w:space="0" w:color="auto"/>
            </w:tcBorders>
            <w:shd w:val="clear" w:color="auto" w:fill="auto"/>
            <w:vAlign w:val="center"/>
            <w:hideMark/>
          </w:tcPr>
          <w:p w14:paraId="43EA08F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49" w:type="pct"/>
            <w:tcBorders>
              <w:top w:val="single" w:sz="8" w:space="0" w:color="auto"/>
              <w:left w:val="nil"/>
              <w:bottom w:val="nil"/>
              <w:right w:val="single" w:sz="8" w:space="0" w:color="auto"/>
            </w:tcBorders>
            <w:shd w:val="clear" w:color="auto" w:fill="auto"/>
            <w:vAlign w:val="center"/>
            <w:hideMark/>
          </w:tcPr>
          <w:p w14:paraId="0466B51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733DE02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5,000,000.00 </w:t>
            </w:r>
          </w:p>
        </w:tc>
        <w:tc>
          <w:tcPr>
            <w:tcW w:w="375" w:type="pct"/>
            <w:tcBorders>
              <w:top w:val="single" w:sz="8" w:space="0" w:color="auto"/>
              <w:left w:val="nil"/>
              <w:bottom w:val="nil"/>
              <w:right w:val="single" w:sz="8" w:space="0" w:color="auto"/>
            </w:tcBorders>
            <w:shd w:val="clear" w:color="auto" w:fill="auto"/>
            <w:vAlign w:val="center"/>
            <w:hideMark/>
          </w:tcPr>
          <w:p w14:paraId="27CD769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5,000,000.00 </w:t>
            </w:r>
          </w:p>
        </w:tc>
        <w:tc>
          <w:tcPr>
            <w:tcW w:w="284" w:type="pct"/>
            <w:tcBorders>
              <w:top w:val="single" w:sz="8" w:space="0" w:color="auto"/>
              <w:left w:val="nil"/>
              <w:bottom w:val="nil"/>
              <w:right w:val="single" w:sz="8" w:space="0" w:color="auto"/>
            </w:tcBorders>
            <w:shd w:val="clear" w:color="auto" w:fill="auto"/>
            <w:vAlign w:val="center"/>
            <w:hideMark/>
          </w:tcPr>
          <w:p w14:paraId="096F1691" w14:textId="77777777" w:rsidR="00BD0259"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104A3AEC" w14:textId="36F8FF83"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nil"/>
              <w:right w:val="single" w:sz="8" w:space="0" w:color="auto"/>
            </w:tcBorders>
            <w:shd w:val="clear" w:color="auto" w:fill="auto"/>
            <w:vAlign w:val="center"/>
            <w:hideMark/>
          </w:tcPr>
          <w:p w14:paraId="0AC3239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European Commission / IPA Funds</w:t>
            </w:r>
          </w:p>
        </w:tc>
        <w:tc>
          <w:tcPr>
            <w:tcW w:w="330" w:type="pct"/>
            <w:tcBorders>
              <w:top w:val="single" w:sz="8" w:space="0" w:color="auto"/>
              <w:left w:val="nil"/>
              <w:bottom w:val="nil"/>
              <w:right w:val="single" w:sz="8" w:space="0" w:color="auto"/>
            </w:tcBorders>
            <w:shd w:val="clear" w:color="auto" w:fill="auto"/>
            <w:vAlign w:val="center"/>
            <w:hideMark/>
          </w:tcPr>
          <w:p w14:paraId="7B38FFA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KEEF</w:t>
            </w:r>
          </w:p>
        </w:tc>
        <w:tc>
          <w:tcPr>
            <w:tcW w:w="411" w:type="pct"/>
            <w:tcBorders>
              <w:top w:val="single" w:sz="8" w:space="0" w:color="auto"/>
              <w:left w:val="nil"/>
              <w:bottom w:val="nil"/>
              <w:right w:val="single" w:sz="8" w:space="0" w:color="auto"/>
            </w:tcBorders>
            <w:shd w:val="clear" w:color="auto" w:fill="auto"/>
            <w:vAlign w:val="center"/>
            <w:hideMark/>
          </w:tcPr>
          <w:p w14:paraId="54B421BA"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saving - 2 </w:t>
            </w:r>
            <w:proofErr w:type="spellStart"/>
            <w:r>
              <w:rPr>
                <w:rFonts w:ascii="Times New Roman" w:hAnsi="Times New Roman"/>
                <w:sz w:val="18"/>
              </w:rPr>
              <w:t>ktoe</w:t>
            </w:r>
            <w:proofErr w:type="spellEnd"/>
            <w:r>
              <w:rPr>
                <w:rFonts w:ascii="Times New Roman" w:hAnsi="Times New Roman"/>
                <w:sz w:val="18"/>
              </w:rPr>
              <w:t>/year</w:t>
            </w:r>
          </w:p>
        </w:tc>
        <w:tc>
          <w:tcPr>
            <w:tcW w:w="419" w:type="pct"/>
            <w:tcBorders>
              <w:top w:val="nil"/>
              <w:left w:val="nil"/>
              <w:bottom w:val="single" w:sz="8" w:space="0" w:color="auto"/>
              <w:right w:val="single" w:sz="8" w:space="0" w:color="auto"/>
            </w:tcBorders>
            <w:shd w:val="clear" w:color="auto" w:fill="auto"/>
            <w:vAlign w:val="center"/>
            <w:hideMark/>
          </w:tcPr>
          <w:p w14:paraId="1D7EACD2"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auto" w:fill="auto"/>
            <w:vAlign w:val="bottom"/>
            <w:hideMark/>
          </w:tcPr>
          <w:p w14:paraId="1FB8BC5F" w14:textId="5B79078A" w:rsidR="00215057" w:rsidRPr="0014539F"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During 2023, KEEF published a public call for applications for the Emergency Project for Energy Efficiency (EE) Measures for Social Multi-Apartment Buildings owned by municipalities, supported by the European Union under the IPA program, the Energy Support Package of the Government of the Republic of Kosovo (GRK), with the support of the European Union (EU) under the IPA program, the Energy Support Package of the Government of the Republic of Kosovo (GRK). </w:t>
            </w:r>
          </w:p>
          <w:p w14:paraId="0D1F5850" w14:textId="3749668B"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From this call, Project Initiation Agreements have been signed for twenty-eight (28) Social Multi-Apartment Buildings (MABs) in thirteen (13) municipalities. </w:t>
            </w:r>
          </w:p>
          <w:p w14:paraId="068BB9B3" w14:textId="70807898"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Recently, KEEF has signed Co-Financing Agreements with twelve (12) municipalities for twenty-five (25) social Multi-Apartment Buildings (MABs), and through </w:t>
            </w:r>
            <w:r>
              <w:rPr>
                <w:rFonts w:ascii="Times New Roman" w:hAnsi="Times New Roman"/>
                <w:sz w:val="18"/>
              </w:rPr>
              <w:lastRenderedPageBreak/>
              <w:t>seven (7) works contractors, the implementation of EE measures in these buildings has begun. For one municipality, KEEF is awaiting the resolution of complaints in the Procurement Review Body (PRB) regarding the selection of the works contractor.</w:t>
            </w:r>
          </w:p>
          <w:p w14:paraId="395FCA31" w14:textId="4A6DBB5A" w:rsidR="00571EAF"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The total budget spent for this process has reached €240,763.80.</w:t>
            </w:r>
          </w:p>
        </w:tc>
      </w:tr>
      <w:tr w:rsidR="007833F1" w:rsidRPr="0086165A" w14:paraId="3FD2DD55" w14:textId="77777777" w:rsidTr="000134C7">
        <w:trPr>
          <w:trHeight w:val="1170"/>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679514B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III.1.17</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5D4914DC" w14:textId="77777777" w:rsidR="00571EAF" w:rsidRPr="0086165A" w:rsidRDefault="001B7470" w:rsidP="00571EAF">
            <w:pPr>
              <w:spacing w:after="0" w:line="240" w:lineRule="auto"/>
              <w:rPr>
                <w:rFonts w:ascii="Times New Roman" w:eastAsia="Times New Roman" w:hAnsi="Times New Roman" w:cs="Times New Roman"/>
                <w:sz w:val="18"/>
                <w:szCs w:val="18"/>
              </w:rPr>
            </w:pPr>
            <w:r>
              <w:rPr>
                <w:rFonts w:ascii="Times New Roman" w:hAnsi="Times New Roman"/>
                <w:sz w:val="18"/>
              </w:rPr>
              <w:t>Implementation of Energy Efficiency (EE) measures in the residential sector and MSMEs.</w:t>
            </w:r>
          </w:p>
        </w:tc>
        <w:tc>
          <w:tcPr>
            <w:tcW w:w="299" w:type="pct"/>
            <w:tcBorders>
              <w:top w:val="single" w:sz="8" w:space="0" w:color="auto"/>
              <w:left w:val="nil"/>
              <w:bottom w:val="nil"/>
              <w:right w:val="single" w:sz="8" w:space="0" w:color="auto"/>
            </w:tcBorders>
            <w:shd w:val="clear" w:color="000000" w:fill="FFFFFF"/>
            <w:vAlign w:val="center"/>
            <w:hideMark/>
          </w:tcPr>
          <w:p w14:paraId="57B22E5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49" w:type="pct"/>
            <w:tcBorders>
              <w:top w:val="single" w:sz="8" w:space="0" w:color="auto"/>
              <w:left w:val="nil"/>
              <w:bottom w:val="single" w:sz="8" w:space="0" w:color="auto"/>
              <w:right w:val="single" w:sz="8" w:space="0" w:color="auto"/>
            </w:tcBorders>
            <w:shd w:val="clear" w:color="000000" w:fill="FFFFFF"/>
            <w:vAlign w:val="center"/>
            <w:hideMark/>
          </w:tcPr>
          <w:p w14:paraId="69A8811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006D461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single" w:sz="8" w:space="0" w:color="auto"/>
              <w:right w:val="single" w:sz="8" w:space="0" w:color="auto"/>
            </w:tcBorders>
            <w:shd w:val="clear" w:color="000000" w:fill="FFFFFF"/>
            <w:vAlign w:val="center"/>
            <w:hideMark/>
          </w:tcPr>
          <w:p w14:paraId="7B27C2E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single" w:sz="8" w:space="0" w:color="auto"/>
              <w:left w:val="nil"/>
              <w:bottom w:val="single" w:sz="8" w:space="0" w:color="auto"/>
              <w:right w:val="single" w:sz="8" w:space="0" w:color="auto"/>
            </w:tcBorders>
            <w:shd w:val="clear" w:color="000000" w:fill="FFFFFF"/>
            <w:vAlign w:val="center"/>
            <w:hideMark/>
          </w:tcPr>
          <w:p w14:paraId="3F6D78E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520" w:type="pct"/>
            <w:tcBorders>
              <w:top w:val="single" w:sz="8" w:space="0" w:color="auto"/>
              <w:left w:val="nil"/>
              <w:bottom w:val="single" w:sz="8" w:space="0" w:color="auto"/>
              <w:right w:val="single" w:sz="8" w:space="0" w:color="auto"/>
            </w:tcBorders>
            <w:shd w:val="clear" w:color="000000" w:fill="FFFFFF"/>
            <w:vAlign w:val="center"/>
            <w:hideMark/>
          </w:tcPr>
          <w:p w14:paraId="65C5137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 (WBIF)</w:t>
            </w:r>
          </w:p>
        </w:tc>
        <w:tc>
          <w:tcPr>
            <w:tcW w:w="330" w:type="pct"/>
            <w:tcBorders>
              <w:top w:val="single" w:sz="8" w:space="0" w:color="auto"/>
              <w:left w:val="nil"/>
              <w:bottom w:val="single" w:sz="8" w:space="0" w:color="auto"/>
              <w:right w:val="single" w:sz="8" w:space="0" w:color="auto"/>
            </w:tcBorders>
            <w:shd w:val="clear" w:color="000000" w:fill="FFFFFF"/>
            <w:vAlign w:val="center"/>
            <w:hideMark/>
          </w:tcPr>
          <w:p w14:paraId="548856E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KEEF</w:t>
            </w:r>
          </w:p>
        </w:tc>
        <w:tc>
          <w:tcPr>
            <w:tcW w:w="411" w:type="pct"/>
            <w:tcBorders>
              <w:top w:val="single" w:sz="8" w:space="0" w:color="auto"/>
              <w:left w:val="nil"/>
              <w:bottom w:val="nil"/>
              <w:right w:val="single" w:sz="8" w:space="0" w:color="auto"/>
            </w:tcBorders>
            <w:shd w:val="clear" w:color="000000" w:fill="FFFFFF"/>
            <w:vAlign w:val="center"/>
            <w:hideMark/>
          </w:tcPr>
          <w:p w14:paraId="0D7ACF3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saving 0.14 </w:t>
            </w:r>
            <w:proofErr w:type="spellStart"/>
            <w:r>
              <w:rPr>
                <w:rFonts w:ascii="Times New Roman" w:hAnsi="Times New Roman"/>
                <w:sz w:val="18"/>
              </w:rPr>
              <w:t>ktoe</w:t>
            </w:r>
            <w:proofErr w:type="spellEnd"/>
          </w:p>
        </w:tc>
        <w:tc>
          <w:tcPr>
            <w:tcW w:w="419" w:type="pct"/>
            <w:tcBorders>
              <w:top w:val="nil"/>
              <w:left w:val="nil"/>
              <w:bottom w:val="single" w:sz="8" w:space="0" w:color="auto"/>
              <w:right w:val="single" w:sz="8" w:space="0" w:color="auto"/>
            </w:tcBorders>
            <w:shd w:val="clear" w:color="000000" w:fill="FFFFFF"/>
            <w:vAlign w:val="center"/>
            <w:hideMark/>
          </w:tcPr>
          <w:p w14:paraId="3B6CF92E"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noWrap/>
            <w:vAlign w:val="bottom"/>
            <w:hideMark/>
          </w:tcPr>
          <w:p w14:paraId="5EA01F05" w14:textId="77777777" w:rsidR="00571EAF" w:rsidRPr="0014539F" w:rsidRDefault="00571EAF" w:rsidP="00571EAF">
            <w:pPr>
              <w:spacing w:after="0" w:line="240" w:lineRule="auto"/>
              <w:rPr>
                <w:rFonts w:ascii="Times New Roman" w:eastAsia="Times New Roman" w:hAnsi="Times New Roman" w:cs="Times New Roman"/>
                <w:sz w:val="20"/>
                <w:szCs w:val="20"/>
              </w:rPr>
            </w:pPr>
            <w:r>
              <w:rPr>
                <w:rFonts w:ascii="Times New Roman" w:hAnsi="Times New Roman"/>
                <w:sz w:val="20"/>
              </w:rPr>
              <w:t> </w:t>
            </w:r>
          </w:p>
        </w:tc>
      </w:tr>
      <w:tr w:rsidR="007833F1" w:rsidRPr="0086165A" w14:paraId="0832C9E9" w14:textId="77777777" w:rsidTr="000134C7">
        <w:trPr>
          <w:trHeight w:val="1650"/>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1781C98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III.1.18</w:t>
            </w:r>
          </w:p>
        </w:tc>
        <w:tc>
          <w:tcPr>
            <w:tcW w:w="411" w:type="pct"/>
            <w:tcBorders>
              <w:top w:val="nil"/>
              <w:left w:val="nil"/>
              <w:bottom w:val="nil"/>
              <w:right w:val="single" w:sz="8" w:space="0" w:color="auto"/>
            </w:tcBorders>
            <w:shd w:val="clear" w:color="000000" w:fill="FFFFFF"/>
            <w:vAlign w:val="center"/>
            <w:hideMark/>
          </w:tcPr>
          <w:p w14:paraId="691D8DCB" w14:textId="08BBBDE6" w:rsidR="00571EAF" w:rsidRPr="0086165A" w:rsidRDefault="00E84DCC" w:rsidP="00571EAF">
            <w:pPr>
              <w:spacing w:after="0" w:line="240" w:lineRule="auto"/>
              <w:rPr>
                <w:rFonts w:ascii="Times New Roman" w:eastAsia="Times New Roman" w:hAnsi="Times New Roman" w:cs="Times New Roman"/>
                <w:sz w:val="18"/>
                <w:szCs w:val="18"/>
              </w:rPr>
            </w:pPr>
            <w:r>
              <w:rPr>
                <w:rFonts w:ascii="Times New Roman" w:hAnsi="Times New Roman"/>
                <w:sz w:val="18"/>
              </w:rPr>
              <w:t>Implementation of Energy Efficiency (EE) measures in the residential sector;</w:t>
            </w:r>
          </w:p>
        </w:tc>
        <w:tc>
          <w:tcPr>
            <w:tcW w:w="299" w:type="pct"/>
            <w:tcBorders>
              <w:top w:val="single" w:sz="8" w:space="0" w:color="auto"/>
              <w:left w:val="nil"/>
              <w:bottom w:val="nil"/>
              <w:right w:val="single" w:sz="8" w:space="0" w:color="auto"/>
            </w:tcBorders>
            <w:shd w:val="clear" w:color="000000" w:fill="FFFFFF"/>
            <w:vAlign w:val="center"/>
            <w:hideMark/>
          </w:tcPr>
          <w:p w14:paraId="2DD59CB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2022/2023</w:t>
            </w:r>
          </w:p>
        </w:tc>
        <w:tc>
          <w:tcPr>
            <w:tcW w:w="349" w:type="pct"/>
            <w:tcBorders>
              <w:top w:val="nil"/>
              <w:left w:val="nil"/>
              <w:bottom w:val="nil"/>
              <w:right w:val="single" w:sz="8" w:space="0" w:color="auto"/>
            </w:tcBorders>
            <w:shd w:val="clear" w:color="000000" w:fill="FFFFFF"/>
            <w:vAlign w:val="center"/>
            <w:hideMark/>
          </w:tcPr>
          <w:p w14:paraId="76E99E2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5,000,000.00 </w:t>
            </w:r>
          </w:p>
        </w:tc>
        <w:tc>
          <w:tcPr>
            <w:tcW w:w="375" w:type="pct"/>
            <w:tcBorders>
              <w:top w:val="single" w:sz="8" w:space="0" w:color="auto"/>
              <w:left w:val="nil"/>
              <w:bottom w:val="nil"/>
              <w:right w:val="single" w:sz="8" w:space="0" w:color="auto"/>
            </w:tcBorders>
            <w:shd w:val="clear" w:color="000000" w:fill="FFFFFF"/>
            <w:vAlign w:val="center"/>
            <w:hideMark/>
          </w:tcPr>
          <w:p w14:paraId="7B65F6B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10,000,000.00 </w:t>
            </w:r>
          </w:p>
        </w:tc>
        <w:tc>
          <w:tcPr>
            <w:tcW w:w="375" w:type="pct"/>
            <w:tcBorders>
              <w:top w:val="nil"/>
              <w:left w:val="nil"/>
              <w:bottom w:val="nil"/>
              <w:right w:val="single" w:sz="8" w:space="0" w:color="auto"/>
            </w:tcBorders>
            <w:shd w:val="clear" w:color="000000" w:fill="FFFFFF"/>
            <w:vAlign w:val="center"/>
            <w:hideMark/>
          </w:tcPr>
          <w:p w14:paraId="11B5D61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nil"/>
              <w:left w:val="nil"/>
              <w:bottom w:val="nil"/>
              <w:right w:val="single" w:sz="8" w:space="0" w:color="auto"/>
            </w:tcBorders>
            <w:shd w:val="clear" w:color="000000" w:fill="FFFFFF"/>
            <w:vAlign w:val="center"/>
            <w:hideMark/>
          </w:tcPr>
          <w:p w14:paraId="134F168A" w14:textId="77777777" w:rsidR="00B84A42"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07E41372" w14:textId="0694BE24"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nil"/>
              <w:right w:val="single" w:sz="8" w:space="0" w:color="auto"/>
            </w:tcBorders>
            <w:shd w:val="clear" w:color="000000" w:fill="FFFFFF"/>
            <w:vAlign w:val="center"/>
            <w:hideMark/>
          </w:tcPr>
          <w:p w14:paraId="53CAA805" w14:textId="5479AE7B"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r>
              <w:rPr>
                <w:rFonts w:ascii="Times New Roman" w:hAnsi="Times New Roman"/>
                <w:sz w:val="18"/>
              </w:rPr>
              <w:br/>
              <w:t>donors.</w:t>
            </w:r>
          </w:p>
        </w:tc>
        <w:tc>
          <w:tcPr>
            <w:tcW w:w="330" w:type="pct"/>
            <w:tcBorders>
              <w:top w:val="nil"/>
              <w:left w:val="nil"/>
              <w:bottom w:val="single" w:sz="8" w:space="0" w:color="auto"/>
              <w:right w:val="single" w:sz="8" w:space="0" w:color="auto"/>
            </w:tcBorders>
            <w:shd w:val="clear" w:color="000000" w:fill="FFFFFF"/>
            <w:vAlign w:val="center"/>
            <w:hideMark/>
          </w:tcPr>
          <w:p w14:paraId="209CBD1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411" w:type="pct"/>
            <w:tcBorders>
              <w:top w:val="single" w:sz="8" w:space="0" w:color="auto"/>
              <w:left w:val="nil"/>
              <w:bottom w:val="nil"/>
              <w:right w:val="single" w:sz="8" w:space="0" w:color="auto"/>
            </w:tcBorders>
            <w:shd w:val="clear" w:color="000000" w:fill="FFFFFF"/>
            <w:vAlign w:val="center"/>
            <w:hideMark/>
          </w:tcPr>
          <w:p w14:paraId="380E8C5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Subsidy schemes for efficient heating equipment, efficient household appliances &amp; solar systems</w:t>
            </w:r>
          </w:p>
        </w:tc>
        <w:tc>
          <w:tcPr>
            <w:tcW w:w="419" w:type="pct"/>
            <w:tcBorders>
              <w:top w:val="nil"/>
              <w:left w:val="nil"/>
              <w:bottom w:val="single" w:sz="8" w:space="0" w:color="auto"/>
              <w:right w:val="single" w:sz="8" w:space="0" w:color="auto"/>
            </w:tcBorders>
            <w:shd w:val="clear" w:color="000000" w:fill="FFFFFF"/>
            <w:vAlign w:val="center"/>
            <w:hideMark/>
          </w:tcPr>
          <w:p w14:paraId="212BE5C4"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vAlign w:val="center"/>
            <w:hideMark/>
          </w:tcPr>
          <w:p w14:paraId="2C1A4E18" w14:textId="77777777" w:rsidR="00571EAF" w:rsidRPr="006D6D77" w:rsidRDefault="00571EAF" w:rsidP="00571EAF">
            <w:pPr>
              <w:spacing w:after="0" w:line="240" w:lineRule="auto"/>
              <w:jc w:val="center"/>
              <w:rPr>
                <w:rFonts w:ascii="Times New Roman" w:eastAsia="Times New Roman" w:hAnsi="Times New Roman" w:cs="Times New Roman"/>
                <w:sz w:val="20"/>
                <w:szCs w:val="20"/>
              </w:rPr>
            </w:pPr>
          </w:p>
        </w:tc>
      </w:tr>
      <w:tr w:rsidR="007833F1" w:rsidRPr="0086165A" w14:paraId="2B59D85E" w14:textId="77777777" w:rsidTr="000134C7">
        <w:trPr>
          <w:trHeight w:val="2025"/>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1F78A54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III.1.19</w:t>
            </w:r>
          </w:p>
        </w:tc>
        <w:tc>
          <w:tcPr>
            <w:tcW w:w="411" w:type="pct"/>
            <w:tcBorders>
              <w:top w:val="single" w:sz="8" w:space="0" w:color="auto"/>
              <w:left w:val="nil"/>
              <w:bottom w:val="nil"/>
              <w:right w:val="single" w:sz="8" w:space="0" w:color="auto"/>
            </w:tcBorders>
            <w:shd w:val="clear" w:color="000000" w:fill="FFFFFF"/>
            <w:vAlign w:val="center"/>
            <w:hideMark/>
          </w:tcPr>
          <w:p w14:paraId="726A0A2E" w14:textId="77777777" w:rsidR="00571EAF" w:rsidRPr="0086165A" w:rsidRDefault="00AD23AD" w:rsidP="00571EAF">
            <w:pPr>
              <w:spacing w:after="0" w:line="240" w:lineRule="auto"/>
              <w:rPr>
                <w:rFonts w:ascii="Times New Roman" w:eastAsia="Times New Roman" w:hAnsi="Times New Roman" w:cs="Times New Roman"/>
                <w:sz w:val="18"/>
                <w:szCs w:val="18"/>
              </w:rPr>
            </w:pPr>
            <w:r>
              <w:rPr>
                <w:rFonts w:ascii="Times New Roman" w:hAnsi="Times New Roman"/>
                <w:sz w:val="18"/>
              </w:rPr>
              <w:t>Implementation of Energy Efficiency (EE) measures in the residential sector (Micro, Small and Medium-Sized Enterprises - MSMEs).</w:t>
            </w:r>
          </w:p>
        </w:tc>
        <w:tc>
          <w:tcPr>
            <w:tcW w:w="299" w:type="pct"/>
            <w:tcBorders>
              <w:top w:val="single" w:sz="8" w:space="0" w:color="auto"/>
              <w:left w:val="nil"/>
              <w:bottom w:val="nil"/>
              <w:right w:val="single" w:sz="8" w:space="0" w:color="auto"/>
            </w:tcBorders>
            <w:shd w:val="clear" w:color="000000" w:fill="FFFFFF"/>
            <w:vAlign w:val="center"/>
            <w:hideMark/>
          </w:tcPr>
          <w:p w14:paraId="6915820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single" w:sz="8" w:space="0" w:color="auto"/>
              <w:left w:val="nil"/>
              <w:bottom w:val="nil"/>
              <w:right w:val="single" w:sz="8" w:space="0" w:color="auto"/>
            </w:tcBorders>
            <w:shd w:val="clear" w:color="000000" w:fill="FFFFFF"/>
            <w:vAlign w:val="center"/>
            <w:hideMark/>
          </w:tcPr>
          <w:p w14:paraId="792AB93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7711197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5,000,000.00 </w:t>
            </w:r>
          </w:p>
        </w:tc>
        <w:tc>
          <w:tcPr>
            <w:tcW w:w="375" w:type="pct"/>
            <w:tcBorders>
              <w:top w:val="single" w:sz="8" w:space="0" w:color="auto"/>
              <w:left w:val="nil"/>
              <w:bottom w:val="nil"/>
              <w:right w:val="single" w:sz="8" w:space="0" w:color="auto"/>
            </w:tcBorders>
            <w:shd w:val="clear" w:color="000000" w:fill="FFFFFF"/>
            <w:vAlign w:val="center"/>
            <w:hideMark/>
          </w:tcPr>
          <w:p w14:paraId="660A24E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single" w:sz="8" w:space="0" w:color="auto"/>
              <w:left w:val="nil"/>
              <w:bottom w:val="nil"/>
              <w:right w:val="single" w:sz="8" w:space="0" w:color="auto"/>
            </w:tcBorders>
            <w:shd w:val="clear" w:color="000000" w:fill="FFFFFF"/>
            <w:vAlign w:val="center"/>
            <w:hideMark/>
          </w:tcPr>
          <w:p w14:paraId="0B24DF53" w14:textId="77777777" w:rsidR="009806E0"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2E374AFA" w14:textId="7EDD4ECC"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single" w:sz="8" w:space="0" w:color="auto"/>
              <w:left w:val="nil"/>
              <w:bottom w:val="nil"/>
              <w:right w:val="single" w:sz="8" w:space="0" w:color="auto"/>
            </w:tcBorders>
            <w:shd w:val="clear" w:color="000000" w:fill="FFFFFF"/>
            <w:vAlign w:val="center"/>
            <w:hideMark/>
          </w:tcPr>
          <w:p w14:paraId="1A44191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European Commission / IPA Funds</w:t>
            </w:r>
          </w:p>
        </w:tc>
        <w:tc>
          <w:tcPr>
            <w:tcW w:w="330" w:type="pct"/>
            <w:tcBorders>
              <w:top w:val="nil"/>
              <w:left w:val="nil"/>
              <w:bottom w:val="nil"/>
              <w:right w:val="single" w:sz="8" w:space="0" w:color="auto"/>
            </w:tcBorders>
            <w:shd w:val="clear" w:color="000000" w:fill="FFFFFF"/>
            <w:vAlign w:val="center"/>
            <w:hideMark/>
          </w:tcPr>
          <w:p w14:paraId="41841B2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411" w:type="pct"/>
            <w:tcBorders>
              <w:top w:val="single" w:sz="8" w:space="0" w:color="auto"/>
              <w:left w:val="nil"/>
              <w:bottom w:val="nil"/>
              <w:right w:val="single" w:sz="8" w:space="0" w:color="auto"/>
            </w:tcBorders>
            <w:shd w:val="clear" w:color="000000" w:fill="FFFFFF"/>
            <w:vAlign w:val="center"/>
            <w:hideMark/>
          </w:tcPr>
          <w:p w14:paraId="04130BD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Subsidy schemes for efficient heating equipment, efficient work appliances &amp; solar systems</w:t>
            </w:r>
          </w:p>
        </w:tc>
        <w:tc>
          <w:tcPr>
            <w:tcW w:w="419" w:type="pct"/>
            <w:tcBorders>
              <w:top w:val="nil"/>
              <w:left w:val="nil"/>
              <w:bottom w:val="single" w:sz="8" w:space="0" w:color="auto"/>
              <w:right w:val="single" w:sz="8" w:space="0" w:color="auto"/>
            </w:tcBorders>
            <w:shd w:val="clear" w:color="000000" w:fill="FFFFFF"/>
            <w:vAlign w:val="center"/>
            <w:hideMark/>
          </w:tcPr>
          <w:p w14:paraId="69BA6BC1"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vAlign w:val="center"/>
            <w:hideMark/>
          </w:tcPr>
          <w:p w14:paraId="2FC4C8D8" w14:textId="77777777" w:rsidR="00571EAF" w:rsidRPr="006D6D77" w:rsidRDefault="00571EAF" w:rsidP="00571EAF">
            <w:pPr>
              <w:spacing w:after="0" w:line="240" w:lineRule="auto"/>
              <w:jc w:val="center"/>
              <w:rPr>
                <w:rFonts w:ascii="Times New Roman" w:eastAsia="Times New Roman" w:hAnsi="Times New Roman" w:cs="Times New Roman"/>
                <w:sz w:val="20"/>
                <w:szCs w:val="20"/>
              </w:rPr>
            </w:pPr>
          </w:p>
        </w:tc>
      </w:tr>
      <w:tr w:rsidR="007833F1" w:rsidRPr="0086165A" w14:paraId="467B111F" w14:textId="77777777" w:rsidTr="000134C7">
        <w:trPr>
          <w:trHeight w:val="880"/>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30CE561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III.1.20</w:t>
            </w:r>
          </w:p>
        </w:tc>
        <w:tc>
          <w:tcPr>
            <w:tcW w:w="411" w:type="pct"/>
            <w:tcBorders>
              <w:top w:val="single" w:sz="8" w:space="0" w:color="auto"/>
              <w:left w:val="nil"/>
              <w:bottom w:val="nil"/>
              <w:right w:val="single" w:sz="8" w:space="0" w:color="auto"/>
            </w:tcBorders>
            <w:shd w:val="clear" w:color="000000" w:fill="FFFFFF"/>
            <w:vAlign w:val="center"/>
            <w:hideMark/>
          </w:tcPr>
          <w:p w14:paraId="76C9257D" w14:textId="0A518155"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Installation of solar PV systems in regional water companies (RWCs) </w:t>
            </w:r>
          </w:p>
        </w:tc>
        <w:tc>
          <w:tcPr>
            <w:tcW w:w="299" w:type="pct"/>
            <w:tcBorders>
              <w:top w:val="single" w:sz="8" w:space="0" w:color="auto"/>
              <w:left w:val="nil"/>
              <w:bottom w:val="nil"/>
              <w:right w:val="single" w:sz="8" w:space="0" w:color="auto"/>
            </w:tcBorders>
            <w:shd w:val="clear" w:color="000000" w:fill="FFFFFF"/>
            <w:vAlign w:val="center"/>
            <w:hideMark/>
          </w:tcPr>
          <w:p w14:paraId="1DB01FA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49" w:type="pct"/>
            <w:tcBorders>
              <w:top w:val="single" w:sz="8" w:space="0" w:color="auto"/>
              <w:left w:val="nil"/>
              <w:bottom w:val="nil"/>
              <w:right w:val="single" w:sz="8" w:space="0" w:color="auto"/>
            </w:tcBorders>
            <w:shd w:val="clear" w:color="000000" w:fill="FFFFFF"/>
            <w:vAlign w:val="center"/>
            <w:hideMark/>
          </w:tcPr>
          <w:p w14:paraId="08BB0B3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nil"/>
              <w:right w:val="single" w:sz="8" w:space="0" w:color="auto"/>
            </w:tcBorders>
            <w:shd w:val="clear" w:color="000000" w:fill="FFFFFF"/>
            <w:vAlign w:val="center"/>
            <w:hideMark/>
          </w:tcPr>
          <w:p w14:paraId="0AAAADCE" w14:textId="77777777" w:rsidR="00571EAF" w:rsidRPr="0086165A" w:rsidRDefault="00571EAF" w:rsidP="00571EAF">
            <w:pPr>
              <w:spacing w:after="0" w:line="240" w:lineRule="auto"/>
              <w:jc w:val="right"/>
              <w:rPr>
                <w:rFonts w:ascii="Times New Roman" w:eastAsia="Times New Roman" w:hAnsi="Times New Roman" w:cs="Times New Roman"/>
                <w:sz w:val="18"/>
                <w:szCs w:val="18"/>
              </w:rPr>
            </w:pPr>
            <w:r>
              <w:rPr>
                <w:rFonts w:ascii="Times New Roman" w:hAnsi="Times New Roman"/>
                <w:sz w:val="18"/>
              </w:rPr>
              <w:t xml:space="preserve">                     100000.00 </w:t>
            </w:r>
          </w:p>
        </w:tc>
        <w:tc>
          <w:tcPr>
            <w:tcW w:w="375" w:type="pct"/>
            <w:tcBorders>
              <w:top w:val="single" w:sz="8" w:space="0" w:color="auto"/>
              <w:left w:val="nil"/>
              <w:bottom w:val="nil"/>
              <w:right w:val="single" w:sz="8" w:space="0" w:color="auto"/>
            </w:tcBorders>
            <w:shd w:val="clear" w:color="000000" w:fill="FFFFFF"/>
            <w:vAlign w:val="center"/>
            <w:hideMark/>
          </w:tcPr>
          <w:p w14:paraId="50DA635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14,900,000.00 </w:t>
            </w:r>
          </w:p>
        </w:tc>
        <w:tc>
          <w:tcPr>
            <w:tcW w:w="284" w:type="pct"/>
            <w:tcBorders>
              <w:top w:val="single" w:sz="8" w:space="0" w:color="auto"/>
              <w:left w:val="nil"/>
              <w:bottom w:val="nil"/>
              <w:right w:val="single" w:sz="8" w:space="0" w:color="auto"/>
            </w:tcBorders>
            <w:shd w:val="clear" w:color="000000" w:fill="FFFFFF"/>
            <w:vAlign w:val="center"/>
            <w:hideMark/>
          </w:tcPr>
          <w:p w14:paraId="080340AE" w14:textId="77777777" w:rsidR="009806E0"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6522FB71" w14:textId="20982655"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single" w:sz="8" w:space="0" w:color="auto"/>
              <w:left w:val="nil"/>
              <w:bottom w:val="nil"/>
              <w:right w:val="single" w:sz="8" w:space="0" w:color="auto"/>
            </w:tcBorders>
            <w:shd w:val="clear" w:color="000000" w:fill="FFFFFF"/>
            <w:vAlign w:val="center"/>
            <w:hideMark/>
          </w:tcPr>
          <w:p w14:paraId="0A15064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w:t>
            </w:r>
            <w:proofErr w:type="spellStart"/>
            <w:r>
              <w:rPr>
                <w:rFonts w:ascii="Times New Roman" w:hAnsi="Times New Roman"/>
                <w:sz w:val="18"/>
              </w:rPr>
              <w:t>KfW</w:t>
            </w:r>
            <w:proofErr w:type="spellEnd"/>
            <w:r>
              <w:rPr>
                <w:rFonts w:ascii="Times New Roman" w:hAnsi="Times New Roman"/>
                <w:sz w:val="18"/>
              </w:rPr>
              <w:t xml:space="preserve"> </w:t>
            </w:r>
          </w:p>
        </w:tc>
        <w:tc>
          <w:tcPr>
            <w:tcW w:w="330" w:type="pct"/>
            <w:tcBorders>
              <w:top w:val="single" w:sz="8" w:space="0" w:color="auto"/>
              <w:left w:val="nil"/>
              <w:bottom w:val="nil"/>
              <w:right w:val="single" w:sz="8" w:space="0" w:color="auto"/>
            </w:tcBorders>
            <w:shd w:val="clear" w:color="000000" w:fill="FFFFFF"/>
            <w:vAlign w:val="center"/>
            <w:hideMark/>
          </w:tcPr>
          <w:p w14:paraId="639E9EA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ME </w:t>
            </w:r>
          </w:p>
        </w:tc>
        <w:tc>
          <w:tcPr>
            <w:tcW w:w="411" w:type="pct"/>
            <w:tcBorders>
              <w:top w:val="single" w:sz="8" w:space="0" w:color="auto"/>
              <w:left w:val="nil"/>
              <w:bottom w:val="nil"/>
              <w:right w:val="single" w:sz="8" w:space="0" w:color="auto"/>
            </w:tcBorders>
            <w:shd w:val="clear" w:color="000000" w:fill="FFFFFF"/>
            <w:hideMark/>
          </w:tcPr>
          <w:p w14:paraId="5739EDE5" w14:textId="5F156F73"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w:t>
            </w:r>
            <w:r>
              <w:rPr>
                <w:rFonts w:ascii="Times New Roman" w:hAnsi="Times New Roman"/>
              </w:rPr>
              <w:t>Diversification of energy sources in RWCs,</w:t>
            </w:r>
            <w:r>
              <w:rPr>
                <w:rFonts w:ascii="Times New Roman" w:hAnsi="Times New Roman"/>
              </w:rPr>
              <w:br/>
              <w:t>about twenty-six percent (26%) of energy consumption will be covered by RES</w:t>
            </w:r>
            <w:r>
              <w:rPr>
                <w:rFonts w:ascii="Times New Roman" w:hAnsi="Times New Roman"/>
                <w:sz w:val="18"/>
              </w:rPr>
              <w:br/>
              <w:t xml:space="preserve">   </w:t>
            </w:r>
          </w:p>
        </w:tc>
        <w:tc>
          <w:tcPr>
            <w:tcW w:w="419" w:type="pct"/>
            <w:tcBorders>
              <w:top w:val="nil"/>
              <w:left w:val="nil"/>
              <w:bottom w:val="nil"/>
              <w:right w:val="single" w:sz="8" w:space="0" w:color="auto"/>
            </w:tcBorders>
            <w:shd w:val="clear" w:color="000000" w:fill="FFFFFF"/>
            <w:vAlign w:val="center"/>
            <w:hideMark/>
          </w:tcPr>
          <w:p w14:paraId="646859FC"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996" w:type="pct"/>
            <w:tcBorders>
              <w:top w:val="nil"/>
              <w:left w:val="nil"/>
              <w:bottom w:val="single" w:sz="8" w:space="0" w:color="auto"/>
              <w:right w:val="single" w:sz="8" w:space="0" w:color="auto"/>
            </w:tcBorders>
            <w:shd w:val="clear" w:color="000000" w:fill="FFFFFF"/>
            <w:vAlign w:val="center"/>
            <w:hideMark/>
          </w:tcPr>
          <w:p w14:paraId="1250F2B0" w14:textId="77777777" w:rsidR="00571EAF" w:rsidRPr="0086165A" w:rsidRDefault="00A174A0"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Review of the project's terms of reference by the Ministry of Economy (ME) and </w:t>
            </w:r>
            <w:proofErr w:type="spellStart"/>
            <w:r>
              <w:rPr>
                <w:rFonts w:ascii="Times New Roman" w:hAnsi="Times New Roman"/>
                <w:sz w:val="18"/>
              </w:rPr>
              <w:t>KfW</w:t>
            </w:r>
            <w:proofErr w:type="spellEnd"/>
            <w:r>
              <w:rPr>
                <w:rFonts w:ascii="Times New Roman" w:hAnsi="Times New Roman"/>
                <w:sz w:val="18"/>
              </w:rPr>
              <w:t>.</w:t>
            </w:r>
          </w:p>
        </w:tc>
      </w:tr>
      <w:tr w:rsidR="007833F1" w:rsidRPr="0086165A" w14:paraId="39005336" w14:textId="77777777" w:rsidTr="000134C7">
        <w:trPr>
          <w:trHeight w:val="1455"/>
        </w:trPr>
        <w:tc>
          <w:tcPr>
            <w:tcW w:w="231" w:type="pct"/>
            <w:tcBorders>
              <w:top w:val="nil"/>
              <w:left w:val="single" w:sz="8" w:space="0" w:color="auto"/>
              <w:bottom w:val="single" w:sz="8" w:space="0" w:color="auto"/>
              <w:right w:val="single" w:sz="8" w:space="0" w:color="auto"/>
            </w:tcBorders>
            <w:shd w:val="clear" w:color="000000" w:fill="FFFFFF"/>
            <w:vAlign w:val="center"/>
            <w:hideMark/>
          </w:tcPr>
          <w:p w14:paraId="7A4C9B2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III.1.21</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67E99058"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Development of the ESCO market</w:t>
            </w:r>
          </w:p>
        </w:tc>
        <w:tc>
          <w:tcPr>
            <w:tcW w:w="299" w:type="pct"/>
            <w:tcBorders>
              <w:top w:val="single" w:sz="8" w:space="0" w:color="auto"/>
              <w:left w:val="nil"/>
              <w:bottom w:val="single" w:sz="8" w:space="0" w:color="auto"/>
              <w:right w:val="single" w:sz="8" w:space="0" w:color="auto"/>
            </w:tcBorders>
            <w:shd w:val="clear" w:color="000000" w:fill="FFFFFF"/>
            <w:vAlign w:val="center"/>
            <w:hideMark/>
          </w:tcPr>
          <w:p w14:paraId="0653640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 /2025</w:t>
            </w:r>
          </w:p>
        </w:tc>
        <w:tc>
          <w:tcPr>
            <w:tcW w:w="349" w:type="pct"/>
            <w:tcBorders>
              <w:top w:val="single" w:sz="8" w:space="0" w:color="auto"/>
              <w:left w:val="nil"/>
              <w:bottom w:val="single" w:sz="8" w:space="0" w:color="auto"/>
              <w:right w:val="nil"/>
            </w:tcBorders>
            <w:shd w:val="clear" w:color="000000" w:fill="FFFFFF"/>
            <w:vAlign w:val="center"/>
            <w:hideMark/>
          </w:tcPr>
          <w:p w14:paraId="48301A4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86D248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single" w:sz="8" w:space="0" w:color="auto"/>
              <w:left w:val="nil"/>
              <w:bottom w:val="single" w:sz="8" w:space="0" w:color="auto"/>
              <w:right w:val="single" w:sz="8" w:space="0" w:color="auto"/>
            </w:tcBorders>
            <w:shd w:val="clear" w:color="000000" w:fill="FFFFFF"/>
            <w:vAlign w:val="center"/>
            <w:hideMark/>
          </w:tcPr>
          <w:p w14:paraId="0E1F503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10,000.00 </w:t>
            </w:r>
          </w:p>
        </w:tc>
        <w:tc>
          <w:tcPr>
            <w:tcW w:w="284" w:type="pct"/>
            <w:tcBorders>
              <w:top w:val="single" w:sz="8" w:space="0" w:color="auto"/>
              <w:left w:val="nil"/>
              <w:bottom w:val="single" w:sz="8" w:space="0" w:color="auto"/>
              <w:right w:val="single" w:sz="8" w:space="0" w:color="auto"/>
            </w:tcBorders>
            <w:shd w:val="clear" w:color="000000" w:fill="FFFFFF"/>
            <w:vAlign w:val="center"/>
            <w:hideMark/>
          </w:tcPr>
          <w:p w14:paraId="625553E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520" w:type="pct"/>
            <w:tcBorders>
              <w:top w:val="single" w:sz="8" w:space="0" w:color="auto"/>
              <w:left w:val="nil"/>
              <w:bottom w:val="single" w:sz="8" w:space="0" w:color="auto"/>
              <w:right w:val="single" w:sz="8" w:space="0" w:color="auto"/>
            </w:tcBorders>
            <w:shd w:val="clear" w:color="000000" w:fill="FFFFFF"/>
            <w:vAlign w:val="center"/>
            <w:hideMark/>
          </w:tcPr>
          <w:p w14:paraId="7E7FA8E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330" w:type="pct"/>
            <w:tcBorders>
              <w:top w:val="single" w:sz="8" w:space="0" w:color="auto"/>
              <w:left w:val="nil"/>
              <w:bottom w:val="single" w:sz="8" w:space="0" w:color="auto"/>
              <w:right w:val="single" w:sz="8" w:space="0" w:color="auto"/>
            </w:tcBorders>
            <w:shd w:val="clear" w:color="000000" w:fill="FFFFFF"/>
            <w:vAlign w:val="center"/>
            <w:hideMark/>
          </w:tcPr>
          <w:p w14:paraId="0280127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06514A0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Three types of sample contracts have been developed for ESCO and a methodology for defining ESCO</w:t>
            </w:r>
          </w:p>
        </w:tc>
        <w:tc>
          <w:tcPr>
            <w:tcW w:w="419" w:type="pct"/>
            <w:tcBorders>
              <w:top w:val="single" w:sz="8" w:space="0" w:color="auto"/>
              <w:left w:val="nil"/>
              <w:bottom w:val="single" w:sz="8" w:space="0" w:color="auto"/>
              <w:right w:val="single" w:sz="8" w:space="0" w:color="auto"/>
            </w:tcBorders>
            <w:shd w:val="clear" w:color="000000" w:fill="FFFFFF"/>
            <w:vAlign w:val="center"/>
            <w:hideMark/>
          </w:tcPr>
          <w:p w14:paraId="7790DBF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Administrative Instruction (AI) on Energy Service Providers</w:t>
            </w:r>
          </w:p>
        </w:tc>
        <w:tc>
          <w:tcPr>
            <w:tcW w:w="996" w:type="pct"/>
            <w:tcBorders>
              <w:top w:val="nil"/>
              <w:left w:val="nil"/>
              <w:bottom w:val="single" w:sz="8" w:space="0" w:color="auto"/>
              <w:right w:val="single" w:sz="8" w:space="0" w:color="auto"/>
            </w:tcBorders>
            <w:shd w:val="clear" w:color="000000" w:fill="FFFFFF"/>
            <w:noWrap/>
            <w:vAlign w:val="bottom"/>
            <w:hideMark/>
          </w:tcPr>
          <w:p w14:paraId="0B54384B" w14:textId="77777777" w:rsidR="00571EAF" w:rsidRPr="0014539F" w:rsidRDefault="00215057" w:rsidP="00571EAF">
            <w:pPr>
              <w:spacing w:after="0" w:line="240" w:lineRule="auto"/>
              <w:rPr>
                <w:rFonts w:ascii="Times New Roman" w:eastAsia="Times New Roman" w:hAnsi="Times New Roman" w:cs="Times New Roman"/>
                <w:sz w:val="18"/>
                <w:szCs w:val="20"/>
              </w:rPr>
            </w:pPr>
            <w:r>
              <w:rPr>
                <w:rFonts w:ascii="Times New Roman" w:hAnsi="Times New Roman"/>
                <w:sz w:val="18"/>
              </w:rPr>
              <w:t>No development.</w:t>
            </w:r>
          </w:p>
        </w:tc>
      </w:tr>
      <w:tr w:rsidR="007833F1" w:rsidRPr="0086165A" w14:paraId="3267E465" w14:textId="77777777" w:rsidTr="000134C7">
        <w:trPr>
          <w:trHeight w:val="315"/>
        </w:trPr>
        <w:tc>
          <w:tcPr>
            <w:tcW w:w="231" w:type="pct"/>
            <w:tcBorders>
              <w:top w:val="nil"/>
              <w:left w:val="single" w:sz="8" w:space="0" w:color="auto"/>
              <w:bottom w:val="single" w:sz="8" w:space="0" w:color="auto"/>
              <w:right w:val="single" w:sz="8" w:space="0" w:color="auto"/>
            </w:tcBorders>
            <w:shd w:val="clear" w:color="000000" w:fill="D9D9D9"/>
            <w:vAlign w:val="center"/>
            <w:hideMark/>
          </w:tcPr>
          <w:p w14:paraId="5C8520C6"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III.2</w:t>
            </w:r>
          </w:p>
        </w:tc>
        <w:tc>
          <w:tcPr>
            <w:tcW w:w="3773" w:type="pct"/>
            <w:gridSpan w:val="10"/>
            <w:tcBorders>
              <w:top w:val="single" w:sz="8" w:space="0" w:color="auto"/>
              <w:left w:val="nil"/>
              <w:bottom w:val="single" w:sz="8" w:space="0" w:color="auto"/>
              <w:right w:val="single" w:sz="8" w:space="0" w:color="000000"/>
            </w:tcBorders>
            <w:shd w:val="clear" w:color="000000" w:fill="D9D9D9"/>
            <w:vAlign w:val="center"/>
            <w:hideMark/>
          </w:tcPr>
          <w:p w14:paraId="7A4723D1"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Promoting efficient co-generation and efficient District Heating  (DH) systems</w:t>
            </w:r>
          </w:p>
        </w:tc>
        <w:tc>
          <w:tcPr>
            <w:tcW w:w="996" w:type="pct"/>
            <w:tcBorders>
              <w:top w:val="nil"/>
              <w:left w:val="nil"/>
              <w:bottom w:val="nil"/>
              <w:right w:val="nil"/>
            </w:tcBorders>
            <w:shd w:val="clear" w:color="auto" w:fill="auto"/>
            <w:noWrap/>
            <w:vAlign w:val="bottom"/>
            <w:hideMark/>
          </w:tcPr>
          <w:p w14:paraId="16360B9B" w14:textId="77777777" w:rsidR="00571EAF" w:rsidRPr="00863836" w:rsidRDefault="00571EAF" w:rsidP="00571EAF">
            <w:pPr>
              <w:spacing w:after="0" w:line="240" w:lineRule="auto"/>
              <w:rPr>
                <w:rFonts w:ascii="Times New Roman" w:eastAsia="Times New Roman" w:hAnsi="Times New Roman" w:cs="Times New Roman"/>
                <w:b/>
                <w:bCs/>
                <w:sz w:val="18"/>
                <w:szCs w:val="18"/>
              </w:rPr>
            </w:pPr>
          </w:p>
        </w:tc>
      </w:tr>
      <w:tr w:rsidR="007833F1" w:rsidRPr="0086165A" w14:paraId="516CBD7A" w14:textId="77777777" w:rsidTr="000134C7">
        <w:trPr>
          <w:trHeight w:val="735"/>
        </w:trPr>
        <w:tc>
          <w:tcPr>
            <w:tcW w:w="231" w:type="pct"/>
            <w:tcBorders>
              <w:top w:val="nil"/>
              <w:left w:val="single" w:sz="8" w:space="0" w:color="auto"/>
              <w:bottom w:val="single" w:sz="8" w:space="0" w:color="auto"/>
              <w:right w:val="single" w:sz="8" w:space="0" w:color="auto"/>
            </w:tcBorders>
            <w:shd w:val="clear" w:color="000000" w:fill="D0CECE"/>
            <w:vAlign w:val="center"/>
            <w:hideMark/>
          </w:tcPr>
          <w:p w14:paraId="56B1BB2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411" w:type="pct"/>
            <w:tcBorders>
              <w:top w:val="nil"/>
              <w:left w:val="nil"/>
              <w:bottom w:val="nil"/>
              <w:right w:val="single" w:sz="8" w:space="0" w:color="auto"/>
            </w:tcBorders>
            <w:shd w:val="clear" w:color="000000" w:fill="D0CECE"/>
            <w:vAlign w:val="center"/>
            <w:hideMark/>
          </w:tcPr>
          <w:p w14:paraId="7B6687E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1023" w:type="pct"/>
            <w:gridSpan w:val="3"/>
            <w:tcBorders>
              <w:top w:val="single" w:sz="8" w:space="0" w:color="auto"/>
              <w:left w:val="nil"/>
              <w:bottom w:val="single" w:sz="8" w:space="0" w:color="auto"/>
              <w:right w:val="nil"/>
            </w:tcBorders>
            <w:shd w:val="clear" w:color="000000" w:fill="D9D9D9"/>
            <w:vAlign w:val="center"/>
            <w:hideMark/>
          </w:tcPr>
          <w:p w14:paraId="2779CCD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659" w:type="pct"/>
            <w:gridSpan w:val="2"/>
            <w:tcBorders>
              <w:top w:val="single" w:sz="8" w:space="0" w:color="auto"/>
              <w:left w:val="single" w:sz="8" w:space="0" w:color="auto"/>
              <w:bottom w:val="single" w:sz="8" w:space="0" w:color="auto"/>
              <w:right w:val="nil"/>
            </w:tcBorders>
            <w:shd w:val="clear" w:color="000000" w:fill="D9D9D9"/>
            <w:vAlign w:val="center"/>
            <w:hideMark/>
          </w:tcPr>
          <w:p w14:paraId="06B3447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520" w:type="pct"/>
            <w:tcBorders>
              <w:top w:val="nil"/>
              <w:left w:val="single" w:sz="8" w:space="0" w:color="auto"/>
              <w:bottom w:val="single" w:sz="8" w:space="0" w:color="auto"/>
              <w:right w:val="single" w:sz="8" w:space="0" w:color="auto"/>
            </w:tcBorders>
            <w:shd w:val="clear" w:color="000000" w:fill="D9D9D9"/>
            <w:vAlign w:val="center"/>
            <w:hideMark/>
          </w:tcPr>
          <w:p w14:paraId="2656819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160" w:type="pct"/>
            <w:gridSpan w:val="3"/>
            <w:tcBorders>
              <w:top w:val="single" w:sz="8" w:space="0" w:color="auto"/>
              <w:left w:val="nil"/>
              <w:bottom w:val="single" w:sz="8" w:space="0" w:color="auto"/>
              <w:right w:val="single" w:sz="8" w:space="0" w:color="000000"/>
            </w:tcBorders>
            <w:shd w:val="clear" w:color="000000" w:fill="D9D9D9"/>
            <w:vAlign w:val="center"/>
            <w:hideMark/>
          </w:tcPr>
          <w:p w14:paraId="5FB5669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996" w:type="pct"/>
            <w:tcBorders>
              <w:top w:val="nil"/>
              <w:left w:val="nil"/>
              <w:bottom w:val="nil"/>
              <w:right w:val="nil"/>
            </w:tcBorders>
            <w:shd w:val="clear" w:color="auto" w:fill="auto"/>
            <w:noWrap/>
            <w:vAlign w:val="bottom"/>
            <w:hideMark/>
          </w:tcPr>
          <w:p w14:paraId="4D2CF98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7833F1" w:rsidRPr="0086165A" w14:paraId="3FE66315" w14:textId="77777777" w:rsidTr="000134C7">
        <w:trPr>
          <w:trHeight w:val="73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53ADD59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1.</w:t>
            </w:r>
          </w:p>
        </w:tc>
        <w:tc>
          <w:tcPr>
            <w:tcW w:w="411" w:type="pct"/>
            <w:tcBorders>
              <w:top w:val="single" w:sz="8" w:space="0" w:color="auto"/>
              <w:left w:val="nil"/>
              <w:bottom w:val="nil"/>
              <w:right w:val="single" w:sz="8" w:space="0" w:color="auto"/>
            </w:tcBorders>
            <w:shd w:val="clear" w:color="auto" w:fill="auto"/>
            <w:hideMark/>
          </w:tcPr>
          <w:p w14:paraId="4EE74397"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Increasing of co-generation capacity in “</w:t>
            </w:r>
            <w:proofErr w:type="spellStart"/>
            <w:r>
              <w:rPr>
                <w:rFonts w:ascii="Times New Roman" w:hAnsi="Times New Roman"/>
                <w:sz w:val="18"/>
              </w:rPr>
              <w:t>Termokos</w:t>
            </w:r>
            <w:proofErr w:type="spellEnd"/>
            <w:r>
              <w:rPr>
                <w:rFonts w:ascii="Times New Roman" w:hAnsi="Times New Roman"/>
                <w:sz w:val="18"/>
              </w:rPr>
              <w:t>” (</w:t>
            </w:r>
            <w:proofErr w:type="spellStart"/>
            <w:r>
              <w:rPr>
                <w:rFonts w:ascii="Times New Roman" w:hAnsi="Times New Roman"/>
                <w:sz w:val="18"/>
              </w:rPr>
              <w:t>Prishtina</w:t>
            </w:r>
            <w:proofErr w:type="spellEnd"/>
            <w:r>
              <w:rPr>
                <w:rFonts w:ascii="Times New Roman" w:hAnsi="Times New Roman"/>
                <w:sz w:val="18"/>
              </w:rPr>
              <w:t>)</w:t>
            </w:r>
          </w:p>
        </w:tc>
        <w:tc>
          <w:tcPr>
            <w:tcW w:w="1023" w:type="pct"/>
            <w:gridSpan w:val="3"/>
            <w:tcBorders>
              <w:top w:val="single" w:sz="8" w:space="0" w:color="auto"/>
              <w:left w:val="nil"/>
              <w:bottom w:val="single" w:sz="8" w:space="0" w:color="auto"/>
              <w:right w:val="single" w:sz="8" w:space="0" w:color="000000"/>
            </w:tcBorders>
            <w:shd w:val="clear" w:color="auto" w:fill="auto"/>
            <w:vAlign w:val="center"/>
            <w:hideMark/>
          </w:tcPr>
          <w:p w14:paraId="1918D3D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140 </w:t>
            </w:r>
            <w:proofErr w:type="spellStart"/>
            <w:r>
              <w:rPr>
                <w:rFonts w:ascii="Times New Roman" w:hAnsi="Times New Roman"/>
                <w:sz w:val="18"/>
              </w:rPr>
              <w:t>MWth</w:t>
            </w:r>
            <w:proofErr w:type="spellEnd"/>
          </w:p>
        </w:tc>
        <w:tc>
          <w:tcPr>
            <w:tcW w:w="659" w:type="pct"/>
            <w:gridSpan w:val="2"/>
            <w:tcBorders>
              <w:top w:val="single" w:sz="8" w:space="0" w:color="auto"/>
              <w:left w:val="nil"/>
              <w:bottom w:val="single" w:sz="8" w:space="0" w:color="auto"/>
              <w:right w:val="single" w:sz="8" w:space="0" w:color="000000"/>
            </w:tcBorders>
            <w:shd w:val="clear" w:color="auto" w:fill="auto"/>
            <w:vAlign w:val="center"/>
            <w:hideMark/>
          </w:tcPr>
          <w:p w14:paraId="6884C79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140 </w:t>
            </w:r>
            <w:proofErr w:type="spellStart"/>
            <w:r>
              <w:rPr>
                <w:rFonts w:ascii="Times New Roman" w:hAnsi="Times New Roman"/>
                <w:sz w:val="18"/>
              </w:rPr>
              <w:t>MWth</w:t>
            </w:r>
            <w:proofErr w:type="spellEnd"/>
          </w:p>
        </w:tc>
        <w:tc>
          <w:tcPr>
            <w:tcW w:w="520" w:type="pct"/>
            <w:tcBorders>
              <w:top w:val="nil"/>
              <w:left w:val="nil"/>
              <w:bottom w:val="single" w:sz="8" w:space="0" w:color="auto"/>
              <w:right w:val="single" w:sz="8" w:space="0" w:color="auto"/>
            </w:tcBorders>
            <w:shd w:val="clear" w:color="auto" w:fill="auto"/>
            <w:vAlign w:val="center"/>
            <w:hideMark/>
          </w:tcPr>
          <w:p w14:paraId="48E99A7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280 </w:t>
            </w:r>
            <w:proofErr w:type="spellStart"/>
            <w:r>
              <w:rPr>
                <w:rFonts w:ascii="Times New Roman" w:hAnsi="Times New Roman"/>
                <w:sz w:val="18"/>
              </w:rPr>
              <w:t>MWth</w:t>
            </w:r>
            <w:proofErr w:type="spellEnd"/>
          </w:p>
        </w:tc>
        <w:tc>
          <w:tcPr>
            <w:tcW w:w="1160" w:type="pct"/>
            <w:gridSpan w:val="3"/>
            <w:tcBorders>
              <w:top w:val="single" w:sz="8" w:space="0" w:color="auto"/>
              <w:left w:val="nil"/>
              <w:bottom w:val="single" w:sz="8" w:space="0" w:color="auto"/>
              <w:right w:val="single" w:sz="8" w:space="0" w:color="000000"/>
            </w:tcBorders>
            <w:shd w:val="clear" w:color="auto" w:fill="auto"/>
            <w:vAlign w:val="center"/>
            <w:hideMark/>
          </w:tcPr>
          <w:p w14:paraId="44D779F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996" w:type="pct"/>
            <w:tcBorders>
              <w:top w:val="nil"/>
              <w:left w:val="nil"/>
              <w:bottom w:val="nil"/>
              <w:right w:val="nil"/>
            </w:tcBorders>
            <w:shd w:val="clear" w:color="auto" w:fill="auto"/>
            <w:noWrap/>
            <w:vAlign w:val="bottom"/>
            <w:hideMark/>
          </w:tcPr>
          <w:p w14:paraId="196E84B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p>
        </w:tc>
      </w:tr>
      <w:tr w:rsidR="007833F1" w:rsidRPr="0086165A" w14:paraId="4842016A" w14:textId="77777777" w:rsidTr="000134C7">
        <w:trPr>
          <w:trHeight w:val="1935"/>
        </w:trPr>
        <w:tc>
          <w:tcPr>
            <w:tcW w:w="231" w:type="pct"/>
            <w:tcBorders>
              <w:top w:val="nil"/>
              <w:left w:val="single" w:sz="8" w:space="0" w:color="auto"/>
              <w:bottom w:val="nil"/>
              <w:right w:val="single" w:sz="8" w:space="0" w:color="auto"/>
            </w:tcBorders>
            <w:shd w:val="clear" w:color="auto" w:fill="auto"/>
            <w:vAlign w:val="center"/>
            <w:hideMark/>
          </w:tcPr>
          <w:p w14:paraId="0473E71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411" w:type="pct"/>
            <w:tcBorders>
              <w:top w:val="single" w:sz="8" w:space="0" w:color="auto"/>
              <w:left w:val="nil"/>
              <w:bottom w:val="nil"/>
              <w:right w:val="single" w:sz="8" w:space="0" w:color="auto"/>
            </w:tcBorders>
            <w:shd w:val="clear" w:color="auto" w:fill="auto"/>
            <w:vAlign w:val="center"/>
            <w:hideMark/>
          </w:tcPr>
          <w:p w14:paraId="6D75E5C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The number of consumers connected to District Heating systems (</w:t>
            </w:r>
            <w:proofErr w:type="spellStart"/>
            <w:r>
              <w:rPr>
                <w:rFonts w:ascii="Times New Roman" w:hAnsi="Times New Roman"/>
                <w:sz w:val="18"/>
              </w:rPr>
              <w:t>Prishtina</w:t>
            </w:r>
            <w:proofErr w:type="spellEnd"/>
            <w:r>
              <w:rPr>
                <w:rFonts w:ascii="Times New Roman" w:hAnsi="Times New Roman"/>
                <w:sz w:val="18"/>
              </w:rPr>
              <w:t xml:space="preserve"> &amp; </w:t>
            </w:r>
            <w:proofErr w:type="spellStart"/>
            <w:r>
              <w:rPr>
                <w:rFonts w:ascii="Times New Roman" w:hAnsi="Times New Roman"/>
                <w:sz w:val="18"/>
              </w:rPr>
              <w:t>Gjakova</w:t>
            </w:r>
            <w:proofErr w:type="spellEnd"/>
            <w:r>
              <w:rPr>
                <w:rFonts w:ascii="Times New Roman" w:hAnsi="Times New Roman"/>
                <w:sz w:val="18"/>
              </w:rPr>
              <w:t>)</w:t>
            </w:r>
          </w:p>
          <w:p w14:paraId="5EFCDD81" w14:textId="77777777" w:rsidR="004A694D" w:rsidRPr="0086165A" w:rsidRDefault="004A694D" w:rsidP="00571EAF">
            <w:pPr>
              <w:spacing w:after="0" w:line="240" w:lineRule="auto"/>
              <w:rPr>
                <w:rFonts w:ascii="Times New Roman" w:eastAsia="Times New Roman" w:hAnsi="Times New Roman" w:cs="Times New Roman"/>
                <w:sz w:val="18"/>
                <w:szCs w:val="18"/>
              </w:rPr>
            </w:pPr>
          </w:p>
        </w:tc>
        <w:tc>
          <w:tcPr>
            <w:tcW w:w="1023" w:type="pct"/>
            <w:gridSpan w:val="3"/>
            <w:tcBorders>
              <w:top w:val="single" w:sz="8" w:space="0" w:color="auto"/>
              <w:left w:val="nil"/>
              <w:bottom w:val="single" w:sz="8" w:space="0" w:color="auto"/>
              <w:right w:val="single" w:sz="8" w:space="0" w:color="000000"/>
            </w:tcBorders>
            <w:shd w:val="clear" w:color="auto" w:fill="auto"/>
            <w:vAlign w:val="center"/>
            <w:hideMark/>
          </w:tcPr>
          <w:p w14:paraId="25CA926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17.791</w:t>
            </w:r>
          </w:p>
        </w:tc>
        <w:tc>
          <w:tcPr>
            <w:tcW w:w="659" w:type="pct"/>
            <w:gridSpan w:val="2"/>
            <w:tcBorders>
              <w:top w:val="single" w:sz="8" w:space="0" w:color="auto"/>
              <w:left w:val="nil"/>
              <w:bottom w:val="single" w:sz="8" w:space="0" w:color="auto"/>
              <w:right w:val="single" w:sz="8" w:space="0" w:color="000000"/>
            </w:tcBorders>
            <w:shd w:val="clear" w:color="auto" w:fill="auto"/>
            <w:vAlign w:val="center"/>
            <w:hideMark/>
          </w:tcPr>
          <w:p w14:paraId="675E580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24.560</w:t>
            </w:r>
          </w:p>
        </w:tc>
        <w:tc>
          <w:tcPr>
            <w:tcW w:w="520" w:type="pct"/>
            <w:tcBorders>
              <w:top w:val="nil"/>
              <w:left w:val="nil"/>
              <w:bottom w:val="nil"/>
              <w:right w:val="single" w:sz="8" w:space="0" w:color="auto"/>
            </w:tcBorders>
            <w:shd w:val="clear" w:color="auto" w:fill="auto"/>
            <w:vAlign w:val="center"/>
            <w:hideMark/>
          </w:tcPr>
          <w:p w14:paraId="2963AE4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38,240 in </w:t>
            </w:r>
            <w:proofErr w:type="spellStart"/>
            <w:r>
              <w:rPr>
                <w:rFonts w:ascii="Times New Roman" w:hAnsi="Times New Roman"/>
                <w:sz w:val="18"/>
              </w:rPr>
              <w:t>Prishtina</w:t>
            </w:r>
            <w:proofErr w:type="spellEnd"/>
            <w:r>
              <w:rPr>
                <w:rFonts w:ascii="Times New Roman" w:hAnsi="Times New Roman"/>
                <w:sz w:val="18"/>
              </w:rPr>
              <w:t xml:space="preserve"> and </w:t>
            </w:r>
            <w:r>
              <w:rPr>
                <w:rFonts w:ascii="Times New Roman" w:hAnsi="Times New Roman"/>
                <w:sz w:val="18"/>
              </w:rPr>
              <w:br/>
            </w:r>
            <w:proofErr w:type="spellStart"/>
            <w:r>
              <w:rPr>
                <w:rFonts w:ascii="Times New Roman" w:hAnsi="Times New Roman"/>
                <w:sz w:val="18"/>
              </w:rPr>
              <w:t>Gjakova</w:t>
            </w:r>
            <w:proofErr w:type="spellEnd"/>
            <w:r>
              <w:rPr>
                <w:rFonts w:ascii="Times New Roman" w:hAnsi="Times New Roman"/>
                <w:sz w:val="18"/>
              </w:rPr>
              <w:t>. For other municipalities,</w:t>
            </w:r>
            <w:r>
              <w:rPr>
                <w:rFonts w:ascii="Times New Roman" w:hAnsi="Times New Roman"/>
                <w:sz w:val="18"/>
              </w:rPr>
              <w:cr/>
            </w:r>
            <w:r>
              <w:rPr>
                <w:rFonts w:ascii="Times New Roman" w:hAnsi="Times New Roman"/>
                <w:sz w:val="18"/>
              </w:rPr>
              <w:br/>
              <w:t xml:space="preserve">it will be decided based on the feasibility study. </w:t>
            </w:r>
          </w:p>
        </w:tc>
        <w:tc>
          <w:tcPr>
            <w:tcW w:w="1160" w:type="pct"/>
            <w:gridSpan w:val="3"/>
            <w:tcBorders>
              <w:top w:val="single" w:sz="8" w:space="0" w:color="auto"/>
              <w:left w:val="nil"/>
              <w:bottom w:val="nil"/>
              <w:right w:val="single" w:sz="8" w:space="0" w:color="000000"/>
            </w:tcBorders>
            <w:shd w:val="clear" w:color="auto" w:fill="auto"/>
            <w:vAlign w:val="center"/>
            <w:hideMark/>
          </w:tcPr>
          <w:p w14:paraId="7021BA4C" w14:textId="7358C313" w:rsidR="00571EAF" w:rsidRPr="00524375" w:rsidRDefault="00D903C0" w:rsidP="00524375">
            <w:pPr>
              <w:spacing w:after="0" w:line="240" w:lineRule="auto"/>
              <w:jc w:val="both"/>
              <w:rPr>
                <w:rFonts w:ascii="Times New Roman" w:eastAsia="Times New Roman" w:hAnsi="Times New Roman" w:cs="Times New Roman"/>
                <w:sz w:val="18"/>
                <w:szCs w:val="18"/>
                <w:highlight w:val="yellow"/>
              </w:rPr>
            </w:pPr>
            <w:r>
              <w:rPr>
                <w:rFonts w:ascii="Times New Roman" w:hAnsi="Times New Roman"/>
                <w:sz w:val="18"/>
              </w:rPr>
              <w:t xml:space="preserve"> 17,791 (2024)</w:t>
            </w:r>
          </w:p>
        </w:tc>
        <w:tc>
          <w:tcPr>
            <w:tcW w:w="996" w:type="pct"/>
            <w:tcBorders>
              <w:top w:val="nil"/>
              <w:left w:val="nil"/>
              <w:bottom w:val="nil"/>
              <w:right w:val="nil"/>
            </w:tcBorders>
            <w:shd w:val="clear" w:color="auto" w:fill="auto"/>
            <w:noWrap/>
            <w:vAlign w:val="bottom"/>
            <w:hideMark/>
          </w:tcPr>
          <w:p w14:paraId="58F4F403"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7833F1" w:rsidRPr="0086165A" w14:paraId="76D183CD" w14:textId="77777777" w:rsidTr="000134C7">
        <w:trPr>
          <w:trHeight w:val="315"/>
        </w:trPr>
        <w:tc>
          <w:tcPr>
            <w:tcW w:w="23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73D0FA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1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C8F6DA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9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56FCCD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383" w:type="pct"/>
            <w:gridSpan w:val="4"/>
            <w:tcBorders>
              <w:top w:val="single" w:sz="8" w:space="0" w:color="auto"/>
              <w:left w:val="nil"/>
              <w:bottom w:val="single" w:sz="8" w:space="0" w:color="auto"/>
              <w:right w:val="nil"/>
            </w:tcBorders>
            <w:shd w:val="clear" w:color="000000" w:fill="D9D9D9"/>
            <w:vAlign w:val="center"/>
            <w:hideMark/>
          </w:tcPr>
          <w:p w14:paraId="3D12D82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52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6FC48C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33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780117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41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72AFE0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41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75F95A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References to documents </w:t>
            </w:r>
          </w:p>
        </w:tc>
        <w:tc>
          <w:tcPr>
            <w:tcW w:w="996"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8FC0179" w14:textId="77777777" w:rsidR="00571EAF" w:rsidRPr="0086165A" w:rsidRDefault="000532B1" w:rsidP="005D6B3A">
            <w:pPr>
              <w:spacing w:after="0" w:line="240" w:lineRule="auto"/>
              <w:jc w:val="center"/>
              <w:rPr>
                <w:rFonts w:ascii="Times New Roman" w:eastAsia="Times New Roman" w:hAnsi="Times New Roman" w:cs="Times New Roman"/>
                <w:b/>
                <w:bCs/>
                <w:color w:val="FF0000"/>
              </w:rPr>
            </w:pPr>
            <w:r>
              <w:rPr>
                <w:rFonts w:ascii="Times New Roman" w:hAnsi="Times New Roman"/>
                <w:b/>
              </w:rPr>
              <w:t>Implementation progress for 2024</w:t>
            </w:r>
          </w:p>
        </w:tc>
      </w:tr>
      <w:tr w:rsidR="007833F1" w:rsidRPr="0086165A" w14:paraId="6F2732BB" w14:textId="77777777" w:rsidTr="000134C7">
        <w:trPr>
          <w:trHeight w:val="300"/>
        </w:trPr>
        <w:tc>
          <w:tcPr>
            <w:tcW w:w="231" w:type="pct"/>
            <w:vMerge/>
            <w:tcBorders>
              <w:top w:val="single" w:sz="8" w:space="0" w:color="auto"/>
              <w:left w:val="single" w:sz="8" w:space="0" w:color="auto"/>
              <w:bottom w:val="single" w:sz="8" w:space="0" w:color="000000"/>
              <w:right w:val="single" w:sz="8" w:space="0" w:color="auto"/>
            </w:tcBorders>
            <w:vAlign w:val="center"/>
            <w:hideMark/>
          </w:tcPr>
          <w:p w14:paraId="5EBA519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1" w:type="pct"/>
            <w:vMerge/>
            <w:tcBorders>
              <w:top w:val="single" w:sz="8" w:space="0" w:color="auto"/>
              <w:left w:val="single" w:sz="8" w:space="0" w:color="auto"/>
              <w:bottom w:val="single" w:sz="8" w:space="0" w:color="000000"/>
              <w:right w:val="single" w:sz="8" w:space="0" w:color="auto"/>
            </w:tcBorders>
            <w:vAlign w:val="center"/>
            <w:hideMark/>
          </w:tcPr>
          <w:p w14:paraId="2CDA2E3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99" w:type="pct"/>
            <w:vMerge/>
            <w:tcBorders>
              <w:top w:val="nil"/>
              <w:left w:val="single" w:sz="8" w:space="0" w:color="auto"/>
              <w:bottom w:val="single" w:sz="8" w:space="0" w:color="000000"/>
              <w:right w:val="single" w:sz="8" w:space="0" w:color="auto"/>
            </w:tcBorders>
            <w:vAlign w:val="center"/>
            <w:hideMark/>
          </w:tcPr>
          <w:p w14:paraId="492C75B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49" w:type="pct"/>
            <w:tcBorders>
              <w:top w:val="nil"/>
              <w:left w:val="nil"/>
              <w:bottom w:val="nil"/>
              <w:right w:val="single" w:sz="8" w:space="0" w:color="auto"/>
            </w:tcBorders>
            <w:shd w:val="clear" w:color="000000" w:fill="D9D9D9"/>
            <w:vAlign w:val="center"/>
            <w:hideMark/>
          </w:tcPr>
          <w:p w14:paraId="49AD812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75" w:type="pct"/>
            <w:tcBorders>
              <w:top w:val="nil"/>
              <w:left w:val="nil"/>
              <w:bottom w:val="nil"/>
              <w:right w:val="single" w:sz="8" w:space="0" w:color="auto"/>
            </w:tcBorders>
            <w:shd w:val="clear" w:color="000000" w:fill="D9D9D9"/>
            <w:vAlign w:val="center"/>
            <w:hideMark/>
          </w:tcPr>
          <w:p w14:paraId="204025B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75" w:type="pct"/>
            <w:tcBorders>
              <w:top w:val="nil"/>
              <w:left w:val="nil"/>
              <w:bottom w:val="nil"/>
              <w:right w:val="single" w:sz="8" w:space="0" w:color="auto"/>
            </w:tcBorders>
            <w:shd w:val="clear" w:color="000000" w:fill="D9D9D9"/>
            <w:vAlign w:val="center"/>
            <w:hideMark/>
          </w:tcPr>
          <w:p w14:paraId="57F4671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284" w:type="pct"/>
            <w:tcBorders>
              <w:top w:val="nil"/>
              <w:left w:val="nil"/>
              <w:bottom w:val="nil"/>
              <w:right w:val="single" w:sz="8" w:space="0" w:color="auto"/>
            </w:tcBorders>
            <w:shd w:val="clear" w:color="000000" w:fill="D9D9D9"/>
            <w:vAlign w:val="center"/>
            <w:hideMark/>
          </w:tcPr>
          <w:p w14:paraId="5624271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520" w:type="pct"/>
            <w:vMerge/>
            <w:tcBorders>
              <w:top w:val="single" w:sz="8" w:space="0" w:color="auto"/>
              <w:left w:val="single" w:sz="8" w:space="0" w:color="auto"/>
              <w:bottom w:val="single" w:sz="8" w:space="0" w:color="000000"/>
              <w:right w:val="single" w:sz="8" w:space="0" w:color="auto"/>
            </w:tcBorders>
            <w:vAlign w:val="center"/>
            <w:hideMark/>
          </w:tcPr>
          <w:p w14:paraId="43FB69C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30" w:type="pct"/>
            <w:vMerge/>
            <w:tcBorders>
              <w:top w:val="single" w:sz="8" w:space="0" w:color="auto"/>
              <w:left w:val="single" w:sz="8" w:space="0" w:color="auto"/>
              <w:bottom w:val="single" w:sz="8" w:space="0" w:color="000000"/>
              <w:right w:val="single" w:sz="8" w:space="0" w:color="auto"/>
            </w:tcBorders>
            <w:vAlign w:val="center"/>
            <w:hideMark/>
          </w:tcPr>
          <w:p w14:paraId="1F14DBE5"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1" w:type="pct"/>
            <w:vMerge/>
            <w:tcBorders>
              <w:top w:val="single" w:sz="8" w:space="0" w:color="auto"/>
              <w:left w:val="single" w:sz="8" w:space="0" w:color="auto"/>
              <w:bottom w:val="single" w:sz="8" w:space="0" w:color="000000"/>
              <w:right w:val="single" w:sz="8" w:space="0" w:color="auto"/>
            </w:tcBorders>
            <w:vAlign w:val="center"/>
            <w:hideMark/>
          </w:tcPr>
          <w:p w14:paraId="7E449E4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9" w:type="pct"/>
            <w:vMerge/>
            <w:tcBorders>
              <w:top w:val="single" w:sz="8" w:space="0" w:color="auto"/>
              <w:left w:val="single" w:sz="8" w:space="0" w:color="auto"/>
              <w:bottom w:val="single" w:sz="8" w:space="0" w:color="000000"/>
              <w:right w:val="single" w:sz="8" w:space="0" w:color="auto"/>
            </w:tcBorders>
            <w:vAlign w:val="center"/>
            <w:hideMark/>
          </w:tcPr>
          <w:p w14:paraId="297A066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96" w:type="pct"/>
            <w:vMerge/>
            <w:tcBorders>
              <w:top w:val="single" w:sz="8" w:space="0" w:color="auto"/>
              <w:left w:val="single" w:sz="8" w:space="0" w:color="auto"/>
              <w:bottom w:val="single" w:sz="8" w:space="0" w:color="000000"/>
              <w:right w:val="single" w:sz="8" w:space="0" w:color="auto"/>
            </w:tcBorders>
            <w:vAlign w:val="center"/>
            <w:hideMark/>
          </w:tcPr>
          <w:p w14:paraId="4955799C" w14:textId="77777777" w:rsidR="00571EAF" w:rsidRPr="0086165A" w:rsidRDefault="00571EAF" w:rsidP="00571EAF">
            <w:pPr>
              <w:spacing w:after="0" w:line="240" w:lineRule="auto"/>
              <w:rPr>
                <w:rFonts w:ascii="Times New Roman" w:eastAsia="Times New Roman" w:hAnsi="Times New Roman" w:cs="Times New Roman"/>
                <w:b/>
                <w:bCs/>
              </w:rPr>
            </w:pPr>
          </w:p>
        </w:tc>
      </w:tr>
      <w:tr w:rsidR="007833F1" w:rsidRPr="0086165A" w14:paraId="206B2977" w14:textId="77777777" w:rsidTr="000134C7">
        <w:trPr>
          <w:trHeight w:val="675"/>
        </w:trPr>
        <w:tc>
          <w:tcPr>
            <w:tcW w:w="231" w:type="pct"/>
            <w:vMerge/>
            <w:tcBorders>
              <w:top w:val="single" w:sz="8" w:space="0" w:color="auto"/>
              <w:left w:val="single" w:sz="8" w:space="0" w:color="auto"/>
              <w:bottom w:val="single" w:sz="8" w:space="0" w:color="000000"/>
              <w:right w:val="single" w:sz="8" w:space="0" w:color="auto"/>
            </w:tcBorders>
            <w:vAlign w:val="center"/>
            <w:hideMark/>
          </w:tcPr>
          <w:p w14:paraId="4DD220B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1" w:type="pct"/>
            <w:vMerge/>
            <w:tcBorders>
              <w:top w:val="single" w:sz="8" w:space="0" w:color="auto"/>
              <w:left w:val="single" w:sz="8" w:space="0" w:color="auto"/>
              <w:bottom w:val="single" w:sz="8" w:space="0" w:color="000000"/>
              <w:right w:val="single" w:sz="8" w:space="0" w:color="auto"/>
            </w:tcBorders>
            <w:vAlign w:val="center"/>
            <w:hideMark/>
          </w:tcPr>
          <w:p w14:paraId="113D5B1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99" w:type="pct"/>
            <w:vMerge/>
            <w:tcBorders>
              <w:top w:val="nil"/>
              <w:left w:val="single" w:sz="8" w:space="0" w:color="auto"/>
              <w:bottom w:val="single" w:sz="8" w:space="0" w:color="000000"/>
              <w:right w:val="single" w:sz="8" w:space="0" w:color="auto"/>
            </w:tcBorders>
            <w:vAlign w:val="center"/>
            <w:hideMark/>
          </w:tcPr>
          <w:p w14:paraId="79DCD9B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49" w:type="pct"/>
            <w:tcBorders>
              <w:top w:val="nil"/>
              <w:left w:val="nil"/>
              <w:bottom w:val="single" w:sz="8" w:space="0" w:color="auto"/>
              <w:right w:val="single" w:sz="8" w:space="0" w:color="auto"/>
            </w:tcBorders>
            <w:shd w:val="clear" w:color="000000" w:fill="D9D9D9"/>
            <w:vAlign w:val="center"/>
            <w:hideMark/>
          </w:tcPr>
          <w:p w14:paraId="289A646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2022</w:t>
            </w:r>
          </w:p>
        </w:tc>
        <w:tc>
          <w:tcPr>
            <w:tcW w:w="375" w:type="pct"/>
            <w:tcBorders>
              <w:top w:val="nil"/>
              <w:left w:val="nil"/>
              <w:bottom w:val="single" w:sz="8" w:space="0" w:color="auto"/>
              <w:right w:val="single" w:sz="8" w:space="0" w:color="auto"/>
            </w:tcBorders>
            <w:shd w:val="clear" w:color="000000" w:fill="D9D9D9"/>
            <w:vAlign w:val="center"/>
            <w:hideMark/>
          </w:tcPr>
          <w:p w14:paraId="460AB28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375" w:type="pct"/>
            <w:tcBorders>
              <w:top w:val="nil"/>
              <w:left w:val="nil"/>
              <w:bottom w:val="single" w:sz="8" w:space="0" w:color="auto"/>
              <w:right w:val="single" w:sz="8" w:space="0" w:color="auto"/>
            </w:tcBorders>
            <w:shd w:val="clear" w:color="000000" w:fill="D9D9D9"/>
            <w:vAlign w:val="center"/>
            <w:hideMark/>
          </w:tcPr>
          <w:p w14:paraId="237019E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284" w:type="pct"/>
            <w:tcBorders>
              <w:top w:val="nil"/>
              <w:left w:val="nil"/>
              <w:bottom w:val="single" w:sz="8" w:space="0" w:color="auto"/>
              <w:right w:val="single" w:sz="8" w:space="0" w:color="auto"/>
            </w:tcBorders>
            <w:shd w:val="clear" w:color="000000" w:fill="D9D9D9"/>
            <w:vAlign w:val="center"/>
            <w:hideMark/>
          </w:tcPr>
          <w:p w14:paraId="1E9F38A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2025</w:t>
            </w:r>
          </w:p>
        </w:tc>
        <w:tc>
          <w:tcPr>
            <w:tcW w:w="520" w:type="pct"/>
            <w:vMerge/>
            <w:tcBorders>
              <w:top w:val="single" w:sz="8" w:space="0" w:color="auto"/>
              <w:left w:val="single" w:sz="8" w:space="0" w:color="auto"/>
              <w:bottom w:val="single" w:sz="8" w:space="0" w:color="000000"/>
              <w:right w:val="single" w:sz="8" w:space="0" w:color="auto"/>
            </w:tcBorders>
            <w:vAlign w:val="center"/>
            <w:hideMark/>
          </w:tcPr>
          <w:p w14:paraId="5D4CD77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30" w:type="pct"/>
            <w:vMerge/>
            <w:tcBorders>
              <w:top w:val="single" w:sz="8" w:space="0" w:color="auto"/>
              <w:left w:val="single" w:sz="8" w:space="0" w:color="auto"/>
              <w:bottom w:val="single" w:sz="8" w:space="0" w:color="000000"/>
              <w:right w:val="single" w:sz="8" w:space="0" w:color="auto"/>
            </w:tcBorders>
            <w:vAlign w:val="center"/>
            <w:hideMark/>
          </w:tcPr>
          <w:p w14:paraId="67F32C6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1" w:type="pct"/>
            <w:vMerge/>
            <w:tcBorders>
              <w:top w:val="single" w:sz="8" w:space="0" w:color="auto"/>
              <w:left w:val="single" w:sz="8" w:space="0" w:color="auto"/>
              <w:bottom w:val="single" w:sz="8" w:space="0" w:color="000000"/>
              <w:right w:val="single" w:sz="8" w:space="0" w:color="auto"/>
            </w:tcBorders>
            <w:vAlign w:val="center"/>
            <w:hideMark/>
          </w:tcPr>
          <w:p w14:paraId="76FA3C8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19" w:type="pct"/>
            <w:vMerge/>
            <w:tcBorders>
              <w:top w:val="single" w:sz="8" w:space="0" w:color="auto"/>
              <w:left w:val="single" w:sz="8" w:space="0" w:color="auto"/>
              <w:bottom w:val="single" w:sz="8" w:space="0" w:color="000000"/>
              <w:right w:val="single" w:sz="8" w:space="0" w:color="auto"/>
            </w:tcBorders>
            <w:vAlign w:val="center"/>
            <w:hideMark/>
          </w:tcPr>
          <w:p w14:paraId="78F12F8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996" w:type="pct"/>
            <w:vMerge/>
            <w:tcBorders>
              <w:top w:val="single" w:sz="8" w:space="0" w:color="auto"/>
              <w:left w:val="single" w:sz="8" w:space="0" w:color="auto"/>
              <w:bottom w:val="single" w:sz="8" w:space="0" w:color="000000"/>
              <w:right w:val="single" w:sz="8" w:space="0" w:color="auto"/>
            </w:tcBorders>
            <w:vAlign w:val="center"/>
            <w:hideMark/>
          </w:tcPr>
          <w:p w14:paraId="57BA480E" w14:textId="77777777" w:rsidR="00571EAF" w:rsidRPr="0086165A" w:rsidRDefault="00571EAF" w:rsidP="00571EAF">
            <w:pPr>
              <w:spacing w:after="0" w:line="240" w:lineRule="auto"/>
              <w:rPr>
                <w:rFonts w:ascii="Times New Roman" w:eastAsia="Times New Roman" w:hAnsi="Times New Roman" w:cs="Times New Roman"/>
                <w:b/>
                <w:bCs/>
              </w:rPr>
            </w:pPr>
          </w:p>
        </w:tc>
      </w:tr>
      <w:tr w:rsidR="007833F1" w:rsidRPr="0086165A" w14:paraId="183F452A" w14:textId="77777777" w:rsidTr="000134C7">
        <w:trPr>
          <w:trHeight w:val="7635"/>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4A226EAE" w14:textId="77777777" w:rsidR="00571EAF" w:rsidRPr="0086165A" w:rsidRDefault="00571EAF" w:rsidP="004A694D">
            <w:pPr>
              <w:spacing w:after="0" w:line="240" w:lineRule="auto"/>
              <w:rPr>
                <w:rFonts w:ascii="Times New Roman" w:eastAsia="Times New Roman" w:hAnsi="Times New Roman" w:cs="Times New Roman"/>
                <w:sz w:val="18"/>
                <w:szCs w:val="18"/>
              </w:rPr>
            </w:pPr>
            <w:r>
              <w:rPr>
                <w:rFonts w:ascii="Times New Roman" w:hAnsi="Times New Roman"/>
                <w:sz w:val="18"/>
              </w:rPr>
              <w:lastRenderedPageBreak/>
              <w:t>III.2.1</w:t>
            </w:r>
          </w:p>
        </w:tc>
        <w:tc>
          <w:tcPr>
            <w:tcW w:w="411" w:type="pct"/>
            <w:tcBorders>
              <w:top w:val="nil"/>
              <w:left w:val="nil"/>
              <w:bottom w:val="single" w:sz="8" w:space="0" w:color="auto"/>
              <w:right w:val="single" w:sz="8" w:space="0" w:color="auto"/>
            </w:tcBorders>
            <w:shd w:val="clear" w:color="auto" w:fill="auto"/>
            <w:vAlign w:val="center"/>
            <w:hideMark/>
          </w:tcPr>
          <w:p w14:paraId="25FCE8BF"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Expansion and rehabilitation of the District Heating (DH) network of Prishtina;</w:t>
            </w:r>
          </w:p>
        </w:tc>
        <w:tc>
          <w:tcPr>
            <w:tcW w:w="299" w:type="pct"/>
            <w:tcBorders>
              <w:top w:val="nil"/>
              <w:left w:val="nil"/>
              <w:bottom w:val="single" w:sz="8" w:space="0" w:color="auto"/>
              <w:right w:val="single" w:sz="8" w:space="0" w:color="auto"/>
            </w:tcBorders>
            <w:shd w:val="clear" w:color="000000" w:fill="FFFFFF"/>
            <w:vAlign w:val="center"/>
            <w:hideMark/>
          </w:tcPr>
          <w:p w14:paraId="7279B19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349" w:type="pct"/>
            <w:tcBorders>
              <w:top w:val="nil"/>
              <w:left w:val="nil"/>
              <w:bottom w:val="single" w:sz="8" w:space="0" w:color="auto"/>
              <w:right w:val="single" w:sz="8" w:space="0" w:color="auto"/>
            </w:tcBorders>
            <w:shd w:val="clear" w:color="000000" w:fill="FFFFFF"/>
            <w:vAlign w:val="center"/>
            <w:hideMark/>
          </w:tcPr>
          <w:p w14:paraId="419DDAC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9,200,000.00 </w:t>
            </w:r>
          </w:p>
        </w:tc>
        <w:tc>
          <w:tcPr>
            <w:tcW w:w="375" w:type="pct"/>
            <w:tcBorders>
              <w:top w:val="nil"/>
              <w:left w:val="nil"/>
              <w:bottom w:val="single" w:sz="8" w:space="0" w:color="auto"/>
              <w:right w:val="single" w:sz="8" w:space="0" w:color="auto"/>
            </w:tcBorders>
            <w:shd w:val="clear" w:color="000000" w:fill="FFFFFF"/>
            <w:vAlign w:val="center"/>
            <w:hideMark/>
          </w:tcPr>
          <w:p w14:paraId="5FDEA25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6,676,063.00 </w:t>
            </w:r>
          </w:p>
        </w:tc>
        <w:tc>
          <w:tcPr>
            <w:tcW w:w="375" w:type="pct"/>
            <w:tcBorders>
              <w:top w:val="nil"/>
              <w:left w:val="nil"/>
              <w:bottom w:val="single" w:sz="8" w:space="0" w:color="auto"/>
              <w:right w:val="single" w:sz="8" w:space="0" w:color="auto"/>
            </w:tcBorders>
            <w:shd w:val="clear" w:color="000000" w:fill="FFFFFF"/>
            <w:vAlign w:val="center"/>
            <w:hideMark/>
          </w:tcPr>
          <w:p w14:paraId="7B06B739"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 xml:space="preserve"> €             2,835,663.00 </w:t>
            </w:r>
          </w:p>
        </w:tc>
        <w:tc>
          <w:tcPr>
            <w:tcW w:w="284" w:type="pct"/>
            <w:tcBorders>
              <w:top w:val="nil"/>
              <w:left w:val="nil"/>
              <w:bottom w:val="single" w:sz="8" w:space="0" w:color="auto"/>
              <w:right w:val="single" w:sz="8" w:space="0" w:color="auto"/>
            </w:tcBorders>
            <w:shd w:val="clear" w:color="000000" w:fill="FFFFFF"/>
            <w:vAlign w:val="center"/>
            <w:hideMark/>
          </w:tcPr>
          <w:p w14:paraId="4BAFFAD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520" w:type="pct"/>
            <w:tcBorders>
              <w:top w:val="nil"/>
              <w:left w:val="nil"/>
              <w:bottom w:val="single" w:sz="8" w:space="0" w:color="auto"/>
              <w:right w:val="single" w:sz="8" w:space="0" w:color="auto"/>
            </w:tcBorders>
            <w:shd w:val="clear" w:color="000000" w:fill="FFFFFF"/>
            <w:vAlign w:val="center"/>
            <w:hideMark/>
          </w:tcPr>
          <w:p w14:paraId="3936208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proofErr w:type="spellStart"/>
            <w:r>
              <w:rPr>
                <w:rFonts w:ascii="Times New Roman" w:hAnsi="Times New Roman"/>
                <w:sz w:val="18"/>
              </w:rPr>
              <w:t>KfW</w:t>
            </w:r>
            <w:proofErr w:type="spellEnd"/>
            <w:r>
              <w:rPr>
                <w:rFonts w:ascii="Times New Roman" w:hAnsi="Times New Roman"/>
                <w:sz w:val="18"/>
              </w:rPr>
              <w:t>/</w:t>
            </w:r>
            <w:proofErr w:type="spellStart"/>
            <w:r>
              <w:rPr>
                <w:rFonts w:ascii="Times New Roman" w:hAnsi="Times New Roman"/>
                <w:sz w:val="18"/>
              </w:rPr>
              <w:t>Termokos</w:t>
            </w:r>
            <w:proofErr w:type="spellEnd"/>
          </w:p>
        </w:tc>
        <w:tc>
          <w:tcPr>
            <w:tcW w:w="330" w:type="pct"/>
            <w:tcBorders>
              <w:top w:val="nil"/>
              <w:left w:val="nil"/>
              <w:bottom w:val="single" w:sz="8" w:space="0" w:color="auto"/>
              <w:right w:val="single" w:sz="8" w:space="0" w:color="auto"/>
            </w:tcBorders>
            <w:shd w:val="clear" w:color="000000" w:fill="FFFFFF"/>
            <w:vAlign w:val="center"/>
            <w:hideMark/>
          </w:tcPr>
          <w:p w14:paraId="6C8ADDD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proofErr w:type="spellStart"/>
            <w:r>
              <w:rPr>
                <w:rFonts w:ascii="Times New Roman" w:hAnsi="Times New Roman"/>
                <w:sz w:val="18"/>
              </w:rPr>
              <w:t>Termokos</w:t>
            </w:r>
            <w:proofErr w:type="spellEnd"/>
          </w:p>
        </w:tc>
        <w:tc>
          <w:tcPr>
            <w:tcW w:w="411" w:type="pct"/>
            <w:tcBorders>
              <w:top w:val="nil"/>
              <w:left w:val="nil"/>
              <w:bottom w:val="single" w:sz="8" w:space="0" w:color="auto"/>
              <w:right w:val="single" w:sz="8" w:space="0" w:color="auto"/>
            </w:tcBorders>
            <w:shd w:val="clear" w:color="000000" w:fill="FFFFFF"/>
            <w:vAlign w:val="center"/>
            <w:hideMark/>
          </w:tcPr>
          <w:p w14:paraId="266E6D09" w14:textId="27F2BCE0"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District Heating (DH) network expanded and rehabilitated</w:t>
            </w:r>
          </w:p>
        </w:tc>
        <w:tc>
          <w:tcPr>
            <w:tcW w:w="419" w:type="pct"/>
            <w:tcBorders>
              <w:top w:val="nil"/>
              <w:left w:val="nil"/>
              <w:bottom w:val="single" w:sz="8" w:space="0" w:color="auto"/>
              <w:right w:val="single" w:sz="8" w:space="0" w:color="auto"/>
            </w:tcBorders>
            <w:shd w:val="clear" w:color="000000" w:fill="FFFFFF"/>
            <w:vAlign w:val="center"/>
            <w:hideMark/>
          </w:tcPr>
          <w:p w14:paraId="6F845AB4" w14:textId="77777777" w:rsidR="00040276"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p w14:paraId="7559AE95" w14:textId="75F5BDEE"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r>
            <w:proofErr w:type="spellStart"/>
            <w:r>
              <w:rPr>
                <w:rFonts w:ascii="Times New Roman" w:hAnsi="Times New Roman"/>
                <w:sz w:val="18"/>
              </w:rPr>
              <w:t>Termokos</w:t>
            </w:r>
            <w:proofErr w:type="spellEnd"/>
            <w:r>
              <w:rPr>
                <w:rFonts w:ascii="Times New Roman" w:hAnsi="Times New Roman"/>
                <w:sz w:val="18"/>
              </w:rPr>
              <w:t xml:space="preserve"> Development Plan for the period 2022–2031</w:t>
            </w:r>
          </w:p>
        </w:tc>
        <w:tc>
          <w:tcPr>
            <w:tcW w:w="996" w:type="pct"/>
            <w:tcBorders>
              <w:top w:val="nil"/>
              <w:left w:val="nil"/>
              <w:bottom w:val="single" w:sz="8" w:space="0" w:color="auto"/>
              <w:right w:val="single" w:sz="8" w:space="0" w:color="auto"/>
            </w:tcBorders>
            <w:shd w:val="clear" w:color="000000" w:fill="FFFFFF"/>
            <w:hideMark/>
          </w:tcPr>
          <w:p w14:paraId="0C8B92CD" w14:textId="476AE86E"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The Prishtina District Heating (DH) Network Expansion and Rehabilitation Project, financed by </w:t>
            </w:r>
            <w:proofErr w:type="spellStart"/>
            <w:r>
              <w:rPr>
                <w:rFonts w:ascii="Times New Roman" w:hAnsi="Times New Roman"/>
                <w:sz w:val="18"/>
              </w:rPr>
              <w:t>KfW</w:t>
            </w:r>
            <w:proofErr w:type="spellEnd"/>
            <w:r>
              <w:rPr>
                <w:rFonts w:ascii="Times New Roman" w:hAnsi="Times New Roman"/>
                <w:sz w:val="18"/>
              </w:rPr>
              <w:t xml:space="preserve"> in co-financing with POE “</w:t>
            </w:r>
            <w:proofErr w:type="spellStart"/>
            <w:r>
              <w:rPr>
                <w:rFonts w:ascii="Times New Roman" w:hAnsi="Times New Roman"/>
                <w:sz w:val="18"/>
              </w:rPr>
              <w:t>Termokos</w:t>
            </w:r>
            <w:proofErr w:type="spellEnd"/>
            <w:r>
              <w:rPr>
                <w:rFonts w:ascii="Times New Roman" w:hAnsi="Times New Roman"/>
                <w:sz w:val="18"/>
              </w:rPr>
              <w:t>” JSC, is divided into two (2) tender packages, T1 and T2.</w:t>
            </w:r>
          </w:p>
          <w:p w14:paraId="618B81EF" w14:textId="7C44C41C"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1. Contract T-1, “Supply and Installation of Heat Storage, Thermal Substations, Chemical Water Treatment and SCADA.”</w:t>
            </w:r>
          </w:p>
          <w:p w14:paraId="4004A842" w14:textId="24C91F52"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The contract for this tender package was signed at the end of December 2021.</w:t>
            </w:r>
          </w:p>
          <w:p w14:paraId="0DB7BE2D" w14:textId="77777777"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Work for the implementation of the project under Contract T1 (substations) has been fully completed, with the installation of:</w:t>
            </w:r>
          </w:p>
          <w:p w14:paraId="5D0781CA" w14:textId="7436EB9B"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three hundred twenty-five (325) new substations in the expansion and densification areas;</w:t>
            </w:r>
          </w:p>
          <w:p w14:paraId="040AFA21" w14:textId="505D635F"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two hundred twenty-five (225) rehabilitated/replaced substations;</w:t>
            </w:r>
          </w:p>
          <w:p w14:paraId="342A6C00" w14:textId="0C639503" w:rsidR="00215057" w:rsidRPr="0014539F"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thirty-one (31) automated substations.</w:t>
            </w:r>
          </w:p>
          <w:p w14:paraId="5A7E15B0" w14:textId="16FA5DC9" w:rsidR="00215057" w:rsidRPr="000C6420"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Within this project, two (2) heat storage reservoirs, each of 400 m³ for a total capacity of 800 m³ (2×400 m³), have been constructed, the system has been integrated into SCADA, and the pressure maintenance system in the distribution network has been rehabilitated:</w:t>
            </w:r>
          </w:p>
          <w:p w14:paraId="3212EB0A" w14:textId="77777777" w:rsidR="00215057" w:rsidRPr="0014539F"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 • The water-softening system has been functionalized.  </w:t>
            </w:r>
          </w:p>
          <w:p w14:paraId="1ACF99E7" w14:textId="77777777" w:rsidR="00215057" w:rsidRPr="000C6420"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The handover of works for the substations has been completed.</w:t>
            </w:r>
          </w:p>
          <w:p w14:paraId="29500065" w14:textId="77777777"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                                                                                                     </w:t>
            </w:r>
          </w:p>
          <w:p w14:paraId="7D2BF57C" w14:textId="10A844F2"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Contract T-2, Project: “Improvement of the District Heating System Pristina,” Contract 2 – supply and installation of DH pipes.”</w:t>
            </w:r>
          </w:p>
          <w:p w14:paraId="1A758B3D" w14:textId="1AC1059B" w:rsidR="00215057" w:rsidRPr="00D94C33"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Work carried out under Contract T2:                                                </w:t>
            </w:r>
          </w:p>
          <w:p w14:paraId="2A6B59EF" w14:textId="7A00D359" w:rsidR="00215057" w:rsidRPr="0014539F"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The contract for this tender package was signed at the end of December 2020, while actual fieldwork began in early May 2021.</w:t>
            </w:r>
          </w:p>
          <w:p w14:paraId="7365F732" w14:textId="0E273535"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lastRenderedPageBreak/>
              <w:t>The planned work under Contract T2 (supply and installation of pre-insulated pipes) for the expansion, densification, and rehabilitation of the district heating network has been fully completed, with the installation of:</w:t>
            </w:r>
          </w:p>
          <w:p w14:paraId="29C91D0C" w14:textId="1E06704B"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13 km of pre-insulated pipe – rehabilitation/replacement of the heating network;</w:t>
            </w:r>
          </w:p>
          <w:p w14:paraId="236C0DC8" w14:textId="68C7B65F" w:rsidR="00215057"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32 km of pre-insulated pipe – expansion and densification of the heating network.</w:t>
            </w:r>
          </w:p>
          <w:p w14:paraId="035982E2" w14:textId="77777777" w:rsidR="00215057" w:rsidRPr="0086165A" w:rsidRDefault="00215057" w:rsidP="00215057">
            <w:pPr>
              <w:spacing w:after="0" w:line="240" w:lineRule="auto"/>
              <w:rPr>
                <w:rFonts w:ascii="Times New Roman" w:eastAsia="Times New Roman" w:hAnsi="Times New Roman" w:cs="Times New Roman"/>
                <w:sz w:val="18"/>
                <w:szCs w:val="18"/>
              </w:rPr>
            </w:pPr>
          </w:p>
          <w:p w14:paraId="1BFEC7AF" w14:textId="7B891989" w:rsidR="00571EAF" w:rsidRPr="0086165A"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Through this “Expansion and Rehabilitation of the District Heating (DH) Network” project, 13,030 consumers have been connected to the heating network, of which 7,966 are currently active consumers and 5,064 are passive consumers.  </w:t>
            </w:r>
          </w:p>
        </w:tc>
      </w:tr>
      <w:tr w:rsidR="007833F1" w:rsidRPr="0086165A" w14:paraId="638430C4" w14:textId="77777777" w:rsidTr="000134C7">
        <w:trPr>
          <w:trHeight w:val="8190"/>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4E4D25C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III.2.2</w:t>
            </w:r>
          </w:p>
        </w:tc>
        <w:tc>
          <w:tcPr>
            <w:tcW w:w="411" w:type="pct"/>
            <w:tcBorders>
              <w:top w:val="nil"/>
              <w:left w:val="nil"/>
              <w:bottom w:val="single" w:sz="8" w:space="0" w:color="auto"/>
              <w:right w:val="single" w:sz="8" w:space="0" w:color="auto"/>
            </w:tcBorders>
            <w:shd w:val="clear" w:color="auto" w:fill="auto"/>
            <w:vAlign w:val="center"/>
            <w:hideMark/>
          </w:tcPr>
          <w:p w14:paraId="00AE8AF3"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Feasibility study for increasing the thermal capacity at the </w:t>
            </w:r>
            <w:proofErr w:type="spellStart"/>
            <w:r>
              <w:rPr>
                <w:rFonts w:ascii="Times New Roman" w:hAnsi="Times New Roman"/>
                <w:sz w:val="18"/>
              </w:rPr>
              <w:t>Kosova</w:t>
            </w:r>
            <w:proofErr w:type="spellEnd"/>
            <w:r>
              <w:rPr>
                <w:rFonts w:ascii="Times New Roman" w:hAnsi="Times New Roman"/>
                <w:sz w:val="18"/>
              </w:rPr>
              <w:t xml:space="preserve"> B Cogeneration from 140 </w:t>
            </w:r>
            <w:proofErr w:type="spellStart"/>
            <w:r>
              <w:rPr>
                <w:rFonts w:ascii="Times New Roman" w:hAnsi="Times New Roman"/>
                <w:sz w:val="18"/>
              </w:rPr>
              <w:t>MWth</w:t>
            </w:r>
            <w:proofErr w:type="spellEnd"/>
            <w:r>
              <w:rPr>
                <w:rFonts w:ascii="Times New Roman" w:hAnsi="Times New Roman"/>
                <w:sz w:val="18"/>
              </w:rPr>
              <w:t xml:space="preserve"> to 280 </w:t>
            </w:r>
            <w:proofErr w:type="spellStart"/>
            <w:r>
              <w:rPr>
                <w:rFonts w:ascii="Times New Roman" w:hAnsi="Times New Roman"/>
                <w:sz w:val="18"/>
              </w:rPr>
              <w:t>MWth</w:t>
            </w:r>
            <w:proofErr w:type="spellEnd"/>
            <w:r>
              <w:rPr>
                <w:rFonts w:ascii="Times New Roman" w:hAnsi="Times New Roman"/>
                <w:sz w:val="18"/>
              </w:rPr>
              <w:t>.</w:t>
            </w:r>
          </w:p>
        </w:tc>
        <w:tc>
          <w:tcPr>
            <w:tcW w:w="299" w:type="pct"/>
            <w:tcBorders>
              <w:top w:val="nil"/>
              <w:left w:val="nil"/>
              <w:bottom w:val="single" w:sz="8" w:space="0" w:color="auto"/>
              <w:right w:val="single" w:sz="8" w:space="0" w:color="auto"/>
            </w:tcBorders>
            <w:shd w:val="clear" w:color="000000" w:fill="FFFFFF"/>
            <w:vAlign w:val="center"/>
            <w:hideMark/>
          </w:tcPr>
          <w:p w14:paraId="43154F5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nil"/>
              <w:left w:val="nil"/>
              <w:bottom w:val="single" w:sz="8" w:space="0" w:color="auto"/>
              <w:right w:val="single" w:sz="8" w:space="0" w:color="auto"/>
            </w:tcBorders>
            <w:shd w:val="clear" w:color="000000" w:fill="FFFFFF"/>
            <w:vAlign w:val="center"/>
            <w:hideMark/>
          </w:tcPr>
          <w:p w14:paraId="239185E3" w14:textId="49DAB85D"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nil"/>
              <w:left w:val="nil"/>
              <w:bottom w:val="single" w:sz="8" w:space="0" w:color="auto"/>
              <w:right w:val="single" w:sz="8" w:space="0" w:color="auto"/>
            </w:tcBorders>
            <w:shd w:val="clear" w:color="000000" w:fill="FFFFFF"/>
            <w:vAlign w:val="center"/>
            <w:hideMark/>
          </w:tcPr>
          <w:p w14:paraId="20CA2D22"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1,500,000.00 </w:t>
            </w:r>
          </w:p>
        </w:tc>
        <w:tc>
          <w:tcPr>
            <w:tcW w:w="375" w:type="pct"/>
            <w:tcBorders>
              <w:top w:val="nil"/>
              <w:left w:val="nil"/>
              <w:bottom w:val="single" w:sz="8" w:space="0" w:color="auto"/>
              <w:right w:val="single" w:sz="8" w:space="0" w:color="auto"/>
            </w:tcBorders>
            <w:shd w:val="clear" w:color="000000" w:fill="FFFFFF"/>
            <w:vAlign w:val="center"/>
            <w:hideMark/>
          </w:tcPr>
          <w:p w14:paraId="073238C3"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p>
        </w:tc>
        <w:tc>
          <w:tcPr>
            <w:tcW w:w="284" w:type="pct"/>
            <w:tcBorders>
              <w:top w:val="nil"/>
              <w:left w:val="nil"/>
              <w:bottom w:val="single" w:sz="8" w:space="0" w:color="auto"/>
              <w:right w:val="single" w:sz="8" w:space="0" w:color="auto"/>
            </w:tcBorders>
            <w:shd w:val="clear" w:color="000000" w:fill="FFFFFF"/>
            <w:vAlign w:val="center"/>
            <w:hideMark/>
          </w:tcPr>
          <w:p w14:paraId="2D5F1C41" w14:textId="77777777" w:rsidR="000C6420"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p w14:paraId="2CB8484A" w14:textId="66DFA8E4"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single" w:sz="8" w:space="0" w:color="auto"/>
              <w:right w:val="single" w:sz="8" w:space="0" w:color="auto"/>
            </w:tcBorders>
            <w:shd w:val="clear" w:color="000000" w:fill="FFFFFF"/>
            <w:vAlign w:val="center"/>
            <w:hideMark/>
          </w:tcPr>
          <w:p w14:paraId="34BA023F"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IPA 2020 / Municipality of </w:t>
            </w:r>
            <w:proofErr w:type="spellStart"/>
            <w:r>
              <w:rPr>
                <w:rFonts w:ascii="Times New Roman" w:hAnsi="Times New Roman"/>
                <w:sz w:val="18"/>
              </w:rPr>
              <w:t>Prishtina</w:t>
            </w:r>
            <w:proofErr w:type="spellEnd"/>
            <w:r>
              <w:rPr>
                <w:rFonts w:ascii="Times New Roman" w:hAnsi="Times New Roman"/>
                <w:sz w:val="18"/>
              </w:rPr>
              <w:t xml:space="preserve"> / </w:t>
            </w:r>
            <w:proofErr w:type="spellStart"/>
            <w:r>
              <w:rPr>
                <w:rFonts w:ascii="Times New Roman" w:hAnsi="Times New Roman"/>
                <w:sz w:val="18"/>
              </w:rPr>
              <w:t>Termokos</w:t>
            </w:r>
            <w:proofErr w:type="spellEnd"/>
          </w:p>
        </w:tc>
        <w:tc>
          <w:tcPr>
            <w:tcW w:w="330" w:type="pct"/>
            <w:tcBorders>
              <w:top w:val="nil"/>
              <w:left w:val="nil"/>
              <w:bottom w:val="single" w:sz="8" w:space="0" w:color="auto"/>
              <w:right w:val="single" w:sz="8" w:space="0" w:color="auto"/>
            </w:tcBorders>
            <w:shd w:val="clear" w:color="000000" w:fill="FFFFFF"/>
            <w:vAlign w:val="center"/>
            <w:hideMark/>
          </w:tcPr>
          <w:p w14:paraId="5EF4E9A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proofErr w:type="spellStart"/>
            <w:r>
              <w:rPr>
                <w:rFonts w:ascii="Times New Roman" w:hAnsi="Times New Roman"/>
                <w:sz w:val="18"/>
              </w:rPr>
              <w:t>Termokos</w:t>
            </w:r>
            <w:proofErr w:type="spellEnd"/>
            <w:r>
              <w:rPr>
                <w:rFonts w:ascii="Times New Roman" w:hAnsi="Times New Roman"/>
                <w:sz w:val="18"/>
              </w:rPr>
              <w:t xml:space="preserve"> / KEK</w:t>
            </w:r>
          </w:p>
        </w:tc>
        <w:tc>
          <w:tcPr>
            <w:tcW w:w="411" w:type="pct"/>
            <w:tcBorders>
              <w:top w:val="nil"/>
              <w:left w:val="nil"/>
              <w:bottom w:val="single" w:sz="8" w:space="0" w:color="auto"/>
              <w:right w:val="single" w:sz="8" w:space="0" w:color="auto"/>
            </w:tcBorders>
            <w:shd w:val="clear" w:color="000000" w:fill="FFFFFF"/>
            <w:vAlign w:val="center"/>
            <w:hideMark/>
          </w:tcPr>
          <w:p w14:paraId="74B573ED"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Feasibility study finalized</w:t>
            </w:r>
          </w:p>
        </w:tc>
        <w:tc>
          <w:tcPr>
            <w:tcW w:w="419" w:type="pct"/>
            <w:tcBorders>
              <w:top w:val="nil"/>
              <w:left w:val="nil"/>
              <w:bottom w:val="single" w:sz="8" w:space="0" w:color="auto"/>
              <w:right w:val="single" w:sz="8" w:space="0" w:color="auto"/>
            </w:tcBorders>
            <w:shd w:val="clear" w:color="000000" w:fill="FFFFFF"/>
            <w:vAlign w:val="center"/>
            <w:hideMark/>
          </w:tcPr>
          <w:p w14:paraId="202A34B7" w14:textId="77777777" w:rsidR="00B3119C"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2022 - 2031</w:t>
            </w:r>
          </w:p>
          <w:p w14:paraId="22DA2032" w14:textId="77777777" w:rsidR="00B3119C" w:rsidRPr="006D6D77" w:rsidRDefault="00B3119C" w:rsidP="00571EAF">
            <w:pPr>
              <w:spacing w:after="0" w:line="240" w:lineRule="auto"/>
              <w:jc w:val="center"/>
              <w:rPr>
                <w:rFonts w:ascii="Times New Roman" w:eastAsia="Times New Roman" w:hAnsi="Times New Roman" w:cs="Times New Roman"/>
                <w:sz w:val="18"/>
                <w:szCs w:val="18"/>
              </w:rPr>
            </w:pPr>
          </w:p>
          <w:p w14:paraId="702D4262" w14:textId="0E3503A9"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type="page"/>
            </w:r>
            <w:proofErr w:type="spellStart"/>
            <w:r>
              <w:rPr>
                <w:rFonts w:ascii="Times New Roman" w:hAnsi="Times New Roman"/>
                <w:sz w:val="18"/>
              </w:rPr>
              <w:t>Termokos</w:t>
            </w:r>
            <w:proofErr w:type="spellEnd"/>
            <w:r>
              <w:rPr>
                <w:rFonts w:ascii="Times New Roman" w:hAnsi="Times New Roman"/>
                <w:sz w:val="18"/>
              </w:rPr>
              <w:t xml:space="preserve"> Development Plan 2022 - 2031;</w:t>
            </w:r>
          </w:p>
        </w:tc>
        <w:tc>
          <w:tcPr>
            <w:tcW w:w="996" w:type="pct"/>
            <w:tcBorders>
              <w:top w:val="nil"/>
              <w:left w:val="nil"/>
              <w:bottom w:val="single" w:sz="8" w:space="0" w:color="auto"/>
              <w:right w:val="single" w:sz="8" w:space="0" w:color="auto"/>
            </w:tcBorders>
            <w:shd w:val="clear" w:color="000000" w:fill="FFFFFF"/>
            <w:hideMark/>
          </w:tcPr>
          <w:p w14:paraId="13588A0A" w14:textId="634C802F" w:rsidR="00215057" w:rsidRPr="00863836" w:rsidRDefault="0055506E" w:rsidP="00215057">
            <w:pPr>
              <w:spacing w:after="0" w:line="240" w:lineRule="auto"/>
              <w:rPr>
                <w:rFonts w:ascii="Times New Roman" w:eastAsia="Times New Roman" w:hAnsi="Times New Roman" w:cs="Times New Roman"/>
                <w:sz w:val="18"/>
                <w:szCs w:val="18"/>
              </w:rPr>
            </w:pPr>
            <w:r>
              <w:br w:type="page"/>
            </w:r>
            <w:r>
              <w:rPr>
                <w:rFonts w:ascii="Times New Roman" w:hAnsi="Times New Roman"/>
                <w:sz w:val="18"/>
              </w:rPr>
              <w:t xml:space="preserve">This project is part of the master plan study for network expansion and provision of additional thermal energy capacity by doubling the generating capacity from 140 to 280 </w:t>
            </w:r>
            <w:proofErr w:type="spellStart"/>
            <w:r>
              <w:rPr>
                <w:rFonts w:ascii="Times New Roman" w:hAnsi="Times New Roman"/>
                <w:sz w:val="18"/>
              </w:rPr>
              <w:t>MWth</w:t>
            </w:r>
            <w:proofErr w:type="spellEnd"/>
            <w:r>
              <w:rPr>
                <w:rFonts w:ascii="Times New Roman" w:hAnsi="Times New Roman"/>
                <w:sz w:val="18"/>
              </w:rPr>
              <w:t xml:space="preserve"> from TPP “</w:t>
            </w:r>
            <w:proofErr w:type="spellStart"/>
            <w:r>
              <w:rPr>
                <w:rFonts w:ascii="Times New Roman" w:hAnsi="Times New Roman"/>
                <w:sz w:val="18"/>
              </w:rPr>
              <w:t>Kosova</w:t>
            </w:r>
            <w:proofErr w:type="spellEnd"/>
            <w:r>
              <w:rPr>
                <w:rFonts w:ascii="Times New Roman" w:hAnsi="Times New Roman"/>
                <w:sz w:val="18"/>
              </w:rPr>
              <w:t xml:space="preserve"> B.” </w:t>
            </w:r>
            <w:r>
              <w:rPr>
                <w:rFonts w:ascii="Times New Roman" w:hAnsi="Times New Roman"/>
                <w:sz w:val="18"/>
              </w:rPr>
              <w:br/>
              <w:t>The following developments for this project have been completed:</w:t>
            </w:r>
          </w:p>
          <w:p w14:paraId="46B44C6B" w14:textId="782A9EE0"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The decarbonization project was approved by the company's Board in January 2024;</w:t>
            </w:r>
          </w:p>
          <w:p w14:paraId="0DE473D9" w14:textId="3CB01406"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The consultancy company has presented the initial design for the installation of pipes in the turbine hall TUH, HES1 &amp; HES2, as well as the network HES-2 HRS-2;</w:t>
            </w:r>
          </w:p>
          <w:p w14:paraId="103D108B" w14:textId="77777777"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 A concept design was prepared for network expansion under this project; </w:t>
            </w:r>
          </w:p>
          <w:p w14:paraId="11B06DA1" w14:textId="4E253433"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The proposed route for the TPP “</w:t>
            </w:r>
            <w:proofErr w:type="spellStart"/>
            <w:r>
              <w:rPr>
                <w:rFonts w:ascii="Times New Roman" w:hAnsi="Times New Roman"/>
                <w:sz w:val="18"/>
              </w:rPr>
              <w:t>Kosova</w:t>
            </w:r>
            <w:proofErr w:type="spellEnd"/>
            <w:r>
              <w:rPr>
                <w:rFonts w:ascii="Times New Roman" w:hAnsi="Times New Roman"/>
                <w:sz w:val="18"/>
              </w:rPr>
              <w:t xml:space="preserve"> B”–</w:t>
            </w:r>
            <w:proofErr w:type="spellStart"/>
            <w:r>
              <w:rPr>
                <w:rFonts w:ascii="Times New Roman" w:hAnsi="Times New Roman"/>
                <w:sz w:val="18"/>
              </w:rPr>
              <w:t>Termokos</w:t>
            </w:r>
            <w:proofErr w:type="spellEnd"/>
            <w:r>
              <w:rPr>
                <w:rFonts w:ascii="Times New Roman" w:hAnsi="Times New Roman"/>
                <w:sz w:val="18"/>
              </w:rPr>
              <w:t xml:space="preserve"> network was presented;</w:t>
            </w:r>
          </w:p>
          <w:p w14:paraId="386A77C1" w14:textId="14F81D23" w:rsidR="00215057" w:rsidRPr="0014539F"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 The location for HRS-2 has been defined. The existing </w:t>
            </w:r>
            <w:proofErr w:type="spellStart"/>
            <w:r>
              <w:rPr>
                <w:rFonts w:ascii="Times New Roman" w:hAnsi="Times New Roman"/>
                <w:sz w:val="18"/>
              </w:rPr>
              <w:t>Termokis</w:t>
            </w:r>
            <w:proofErr w:type="spellEnd"/>
            <w:r>
              <w:rPr>
                <w:rFonts w:ascii="Times New Roman" w:hAnsi="Times New Roman"/>
                <w:sz w:val="18"/>
              </w:rPr>
              <w:t xml:space="preserve"> building will be designated for this purpose; </w:t>
            </w:r>
          </w:p>
          <w:p w14:paraId="6780FEC7" w14:textId="15B8DAF9"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 The basic hydraulic calculation of the cogeneration transmission network has been presented, including the connection for the Municipality of </w:t>
            </w:r>
            <w:proofErr w:type="spellStart"/>
            <w:r>
              <w:rPr>
                <w:rFonts w:ascii="Times New Roman" w:hAnsi="Times New Roman"/>
                <w:sz w:val="18"/>
              </w:rPr>
              <w:t>Obiliq</w:t>
            </w:r>
            <w:proofErr w:type="spellEnd"/>
            <w:r>
              <w:rPr>
                <w:rFonts w:ascii="Times New Roman" w:hAnsi="Times New Roman"/>
                <w:sz w:val="18"/>
              </w:rPr>
              <w:t xml:space="preserve"> and the Solar Plant.</w:t>
            </w:r>
          </w:p>
          <w:p w14:paraId="5ABB0610" w14:textId="77777777"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 The project’s financial assessment has been prepared;    </w:t>
            </w:r>
          </w:p>
          <w:p w14:paraId="53E4719F" w14:textId="77777777"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 The Environmental and Social Impact Assessment (ESIA) Report was approved by EIB; </w:t>
            </w:r>
          </w:p>
          <w:p w14:paraId="7DE7CA7B" w14:textId="30588BDE"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Work continues on completing the necessary documentation for various permits: identification of parcels along the route, expropriation documentation, environmental consent, etc.;</w:t>
            </w:r>
          </w:p>
          <w:p w14:paraId="404FDC33" w14:textId="598A57D6"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The expropriation/servitude documentation is being finalized for submission to MESPI;</w:t>
            </w:r>
          </w:p>
          <w:p w14:paraId="52BF72C2" w14:textId="321E1AE1"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xml:space="preserve">• The project financing plan was presented but has not yet been approved by </w:t>
            </w:r>
            <w:proofErr w:type="spellStart"/>
            <w:r>
              <w:rPr>
                <w:rFonts w:ascii="Times New Roman" w:hAnsi="Times New Roman"/>
                <w:sz w:val="18"/>
              </w:rPr>
              <w:t>Termokos</w:t>
            </w:r>
            <w:proofErr w:type="spellEnd"/>
            <w:r>
              <w:rPr>
                <w:rFonts w:ascii="Times New Roman" w:hAnsi="Times New Roman"/>
                <w:sz w:val="18"/>
              </w:rPr>
              <w:t xml:space="preserve">;                                                                            </w:t>
            </w:r>
          </w:p>
          <w:p w14:paraId="15A25B57" w14:textId="6E107FE5"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lastRenderedPageBreak/>
              <w:t xml:space="preserve">   • A joint meeting with the Ministry of Finance, </w:t>
            </w:r>
            <w:proofErr w:type="spellStart"/>
            <w:r>
              <w:rPr>
                <w:rFonts w:ascii="Times New Roman" w:hAnsi="Times New Roman"/>
                <w:sz w:val="18"/>
              </w:rPr>
              <w:t>Labour</w:t>
            </w:r>
            <w:proofErr w:type="spellEnd"/>
            <w:r>
              <w:rPr>
                <w:rFonts w:ascii="Times New Roman" w:hAnsi="Times New Roman"/>
                <w:sz w:val="18"/>
              </w:rPr>
              <w:t xml:space="preserve"> and Transfers (MFLT), the Ministry of Economy (ME), the Municipality of </w:t>
            </w:r>
            <w:proofErr w:type="spellStart"/>
            <w:r>
              <w:rPr>
                <w:rFonts w:ascii="Times New Roman" w:hAnsi="Times New Roman"/>
                <w:sz w:val="18"/>
              </w:rPr>
              <w:t>Prishtina</w:t>
            </w:r>
            <w:proofErr w:type="spellEnd"/>
            <w:r>
              <w:rPr>
                <w:rFonts w:ascii="Times New Roman" w:hAnsi="Times New Roman"/>
                <w:sz w:val="18"/>
              </w:rPr>
              <w:t xml:space="preserve">, </w:t>
            </w:r>
            <w:proofErr w:type="spellStart"/>
            <w:r>
              <w:rPr>
                <w:rFonts w:ascii="Times New Roman" w:hAnsi="Times New Roman"/>
                <w:sz w:val="18"/>
              </w:rPr>
              <w:t>TetraTech</w:t>
            </w:r>
            <w:proofErr w:type="spellEnd"/>
            <w:r>
              <w:rPr>
                <w:rFonts w:ascii="Times New Roman" w:hAnsi="Times New Roman"/>
                <w:sz w:val="18"/>
              </w:rPr>
              <w:t xml:space="preserve">, and the EIB was held to address financing modality requests;         </w:t>
            </w:r>
          </w:p>
          <w:p w14:paraId="1096CA70" w14:textId="43B83CE1" w:rsidR="00215057" w:rsidRPr="00863836" w:rsidRDefault="00215057" w:rsidP="00215057">
            <w:pPr>
              <w:spacing w:after="0" w:line="240" w:lineRule="auto"/>
              <w:rPr>
                <w:rFonts w:ascii="Times New Roman" w:eastAsia="Times New Roman" w:hAnsi="Times New Roman" w:cs="Times New Roman"/>
                <w:sz w:val="18"/>
                <w:szCs w:val="18"/>
              </w:rPr>
            </w:pPr>
            <w:r>
              <w:rPr>
                <w:rFonts w:ascii="Times New Roman" w:hAnsi="Times New Roman"/>
                <w:sz w:val="18"/>
              </w:rPr>
              <w:t>• A new network expansion master plan was approved for this project.</w:t>
            </w:r>
          </w:p>
          <w:p w14:paraId="03E0D626" w14:textId="77777777" w:rsidR="00571EAF" w:rsidRPr="00863836" w:rsidRDefault="00571EAF" w:rsidP="00ED684D">
            <w:pPr>
              <w:spacing w:after="0" w:line="240" w:lineRule="auto"/>
              <w:rPr>
                <w:rFonts w:ascii="Times New Roman" w:eastAsia="Times New Roman" w:hAnsi="Times New Roman" w:cs="Times New Roman"/>
                <w:sz w:val="18"/>
                <w:szCs w:val="18"/>
              </w:rPr>
            </w:pPr>
          </w:p>
        </w:tc>
      </w:tr>
      <w:tr w:rsidR="007833F1" w:rsidRPr="0086165A" w14:paraId="0ABB9705" w14:textId="77777777" w:rsidTr="000134C7">
        <w:trPr>
          <w:trHeight w:val="3720"/>
        </w:trPr>
        <w:tc>
          <w:tcPr>
            <w:tcW w:w="231" w:type="pct"/>
            <w:tcBorders>
              <w:top w:val="nil"/>
              <w:left w:val="single" w:sz="8" w:space="0" w:color="auto"/>
              <w:bottom w:val="nil"/>
              <w:right w:val="single" w:sz="8" w:space="0" w:color="auto"/>
            </w:tcBorders>
            <w:shd w:val="clear" w:color="000000" w:fill="FFFFFF"/>
            <w:vAlign w:val="center"/>
            <w:hideMark/>
          </w:tcPr>
          <w:p w14:paraId="614FBB8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III.2.3</w:t>
            </w:r>
          </w:p>
        </w:tc>
        <w:tc>
          <w:tcPr>
            <w:tcW w:w="411" w:type="pct"/>
            <w:tcBorders>
              <w:top w:val="nil"/>
              <w:left w:val="nil"/>
              <w:bottom w:val="single" w:sz="8" w:space="0" w:color="auto"/>
              <w:right w:val="single" w:sz="8" w:space="0" w:color="auto"/>
            </w:tcBorders>
            <w:shd w:val="clear" w:color="000000" w:fill="FFFFFF"/>
            <w:vAlign w:val="center"/>
            <w:hideMark/>
          </w:tcPr>
          <w:p w14:paraId="4ADADCB9"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Doubling the production capacity of cogeneration from 140 </w:t>
            </w:r>
            <w:proofErr w:type="spellStart"/>
            <w:r>
              <w:rPr>
                <w:rFonts w:ascii="Times New Roman" w:hAnsi="Times New Roman"/>
                <w:sz w:val="18"/>
              </w:rPr>
              <w:t>MWth</w:t>
            </w:r>
            <w:proofErr w:type="spellEnd"/>
            <w:r>
              <w:rPr>
                <w:rFonts w:ascii="Times New Roman" w:hAnsi="Times New Roman"/>
                <w:sz w:val="18"/>
              </w:rPr>
              <w:t xml:space="preserve"> to 280 </w:t>
            </w:r>
            <w:proofErr w:type="spellStart"/>
            <w:r>
              <w:rPr>
                <w:rFonts w:ascii="Times New Roman" w:hAnsi="Times New Roman"/>
                <w:sz w:val="18"/>
              </w:rPr>
              <w:t>MWth</w:t>
            </w:r>
            <w:proofErr w:type="spellEnd"/>
            <w:r>
              <w:rPr>
                <w:rFonts w:ascii="Times New Roman" w:hAnsi="Times New Roman"/>
                <w:sz w:val="18"/>
              </w:rPr>
              <w:t xml:space="preserve"> and expanding the transmission network.</w:t>
            </w:r>
          </w:p>
        </w:tc>
        <w:tc>
          <w:tcPr>
            <w:tcW w:w="299" w:type="pct"/>
            <w:tcBorders>
              <w:top w:val="nil"/>
              <w:left w:val="nil"/>
              <w:bottom w:val="single" w:sz="8" w:space="0" w:color="auto"/>
              <w:right w:val="single" w:sz="8" w:space="0" w:color="auto"/>
            </w:tcBorders>
            <w:shd w:val="clear" w:color="000000" w:fill="FFFFFF"/>
            <w:vAlign w:val="center"/>
            <w:hideMark/>
          </w:tcPr>
          <w:p w14:paraId="4952908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49" w:type="pct"/>
            <w:tcBorders>
              <w:top w:val="nil"/>
              <w:left w:val="nil"/>
              <w:bottom w:val="single" w:sz="8" w:space="0" w:color="auto"/>
              <w:right w:val="single" w:sz="8" w:space="0" w:color="auto"/>
            </w:tcBorders>
            <w:shd w:val="clear" w:color="000000" w:fill="FFFFFF"/>
            <w:vAlign w:val="center"/>
            <w:hideMark/>
          </w:tcPr>
          <w:p w14:paraId="7F7E82E5"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nil"/>
              <w:left w:val="nil"/>
              <w:bottom w:val="single" w:sz="8" w:space="0" w:color="auto"/>
              <w:right w:val="single" w:sz="8" w:space="0" w:color="auto"/>
            </w:tcBorders>
            <w:shd w:val="clear" w:color="000000" w:fill="FFFFFF"/>
            <w:vAlign w:val="center"/>
            <w:hideMark/>
          </w:tcPr>
          <w:p w14:paraId="337089D2"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   </w:t>
            </w:r>
          </w:p>
        </w:tc>
        <w:tc>
          <w:tcPr>
            <w:tcW w:w="375" w:type="pct"/>
            <w:tcBorders>
              <w:top w:val="nil"/>
              <w:left w:val="nil"/>
              <w:bottom w:val="single" w:sz="8" w:space="0" w:color="auto"/>
              <w:right w:val="single" w:sz="8" w:space="0" w:color="auto"/>
            </w:tcBorders>
            <w:shd w:val="clear" w:color="000000" w:fill="FFFFFF"/>
            <w:vAlign w:val="center"/>
            <w:hideMark/>
          </w:tcPr>
          <w:p w14:paraId="7F64163A"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 xml:space="preserve"> €           12,000,000.00 </w:t>
            </w:r>
          </w:p>
        </w:tc>
        <w:tc>
          <w:tcPr>
            <w:tcW w:w="284" w:type="pct"/>
            <w:tcBorders>
              <w:top w:val="nil"/>
              <w:left w:val="nil"/>
              <w:bottom w:val="single" w:sz="8" w:space="0" w:color="auto"/>
              <w:right w:val="single" w:sz="8" w:space="0" w:color="auto"/>
            </w:tcBorders>
            <w:shd w:val="clear" w:color="000000" w:fill="FFFFFF"/>
            <w:vAlign w:val="center"/>
            <w:hideMark/>
          </w:tcPr>
          <w:p w14:paraId="3DB5A03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520" w:type="pct"/>
            <w:tcBorders>
              <w:top w:val="nil"/>
              <w:left w:val="nil"/>
              <w:bottom w:val="single" w:sz="8" w:space="0" w:color="auto"/>
              <w:right w:val="single" w:sz="8" w:space="0" w:color="auto"/>
            </w:tcBorders>
            <w:shd w:val="clear" w:color="000000" w:fill="FFFFFF"/>
            <w:vAlign w:val="center"/>
            <w:hideMark/>
          </w:tcPr>
          <w:p w14:paraId="7BD01C3E" w14:textId="77777777" w:rsidR="00571EAF" w:rsidRPr="0014539F" w:rsidRDefault="00E35F20"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Donors/Municipality of </w:t>
            </w:r>
            <w:proofErr w:type="spellStart"/>
            <w:r>
              <w:rPr>
                <w:rFonts w:ascii="Times New Roman" w:hAnsi="Times New Roman"/>
                <w:sz w:val="18"/>
              </w:rPr>
              <w:t>Prishtina</w:t>
            </w:r>
            <w:proofErr w:type="spellEnd"/>
            <w:r>
              <w:rPr>
                <w:rFonts w:ascii="Times New Roman" w:hAnsi="Times New Roman"/>
                <w:sz w:val="18"/>
              </w:rPr>
              <w:t>/</w:t>
            </w:r>
            <w:proofErr w:type="spellStart"/>
            <w:r>
              <w:rPr>
                <w:rFonts w:ascii="Times New Roman" w:hAnsi="Times New Roman"/>
                <w:sz w:val="18"/>
              </w:rPr>
              <w:t>Termokos</w:t>
            </w:r>
            <w:proofErr w:type="spellEnd"/>
          </w:p>
        </w:tc>
        <w:tc>
          <w:tcPr>
            <w:tcW w:w="330" w:type="pct"/>
            <w:tcBorders>
              <w:top w:val="nil"/>
              <w:left w:val="nil"/>
              <w:bottom w:val="single" w:sz="8" w:space="0" w:color="auto"/>
              <w:right w:val="single" w:sz="8" w:space="0" w:color="auto"/>
            </w:tcBorders>
            <w:shd w:val="clear" w:color="000000" w:fill="FFFFFF"/>
            <w:vAlign w:val="center"/>
            <w:hideMark/>
          </w:tcPr>
          <w:p w14:paraId="79D8748D" w14:textId="77777777" w:rsidR="00571EAF" w:rsidRPr="0086165A" w:rsidRDefault="00571EAF" w:rsidP="00571EAF">
            <w:pPr>
              <w:spacing w:after="0" w:line="240" w:lineRule="auto"/>
              <w:rPr>
                <w:rFonts w:ascii="Times New Roman" w:eastAsia="Times New Roman" w:hAnsi="Times New Roman" w:cs="Times New Roman"/>
                <w:sz w:val="18"/>
                <w:szCs w:val="18"/>
              </w:rPr>
            </w:pPr>
            <w:proofErr w:type="spellStart"/>
            <w:r>
              <w:rPr>
                <w:rFonts w:ascii="Times New Roman" w:hAnsi="Times New Roman"/>
                <w:sz w:val="18"/>
              </w:rPr>
              <w:t>Termokos</w:t>
            </w:r>
            <w:proofErr w:type="spellEnd"/>
            <w:r>
              <w:rPr>
                <w:rFonts w:ascii="Times New Roman" w:hAnsi="Times New Roman"/>
                <w:sz w:val="18"/>
              </w:rPr>
              <w:t xml:space="preserve"> / KEK</w:t>
            </w:r>
          </w:p>
        </w:tc>
        <w:tc>
          <w:tcPr>
            <w:tcW w:w="411" w:type="pct"/>
            <w:tcBorders>
              <w:top w:val="nil"/>
              <w:left w:val="nil"/>
              <w:bottom w:val="single" w:sz="8" w:space="0" w:color="auto"/>
              <w:right w:val="single" w:sz="8" w:space="0" w:color="auto"/>
            </w:tcBorders>
            <w:shd w:val="clear" w:color="000000" w:fill="FFFFFF"/>
            <w:vAlign w:val="center"/>
            <w:hideMark/>
          </w:tcPr>
          <w:p w14:paraId="7FFC332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Thermal generation capacities doubled. It is expected to meet the budget up to the value of 80,000,000 from donors and international financial institutions. The project is expected to be completed and 2027.</w:t>
            </w:r>
          </w:p>
        </w:tc>
        <w:tc>
          <w:tcPr>
            <w:tcW w:w="419" w:type="pct"/>
            <w:tcBorders>
              <w:top w:val="nil"/>
              <w:left w:val="nil"/>
              <w:bottom w:val="single" w:sz="8" w:space="0" w:color="auto"/>
              <w:right w:val="single" w:sz="8" w:space="0" w:color="auto"/>
            </w:tcBorders>
            <w:shd w:val="clear" w:color="000000" w:fill="FFFFFF"/>
            <w:vAlign w:val="center"/>
            <w:hideMark/>
          </w:tcPr>
          <w:p w14:paraId="2C1A1138" w14:textId="77777777" w:rsidR="00856877"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p w14:paraId="0942D7E7" w14:textId="31372884"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r>
            <w:proofErr w:type="spellStart"/>
            <w:r>
              <w:rPr>
                <w:rFonts w:ascii="Times New Roman" w:hAnsi="Times New Roman"/>
                <w:sz w:val="18"/>
              </w:rPr>
              <w:t>Termokos</w:t>
            </w:r>
            <w:proofErr w:type="spellEnd"/>
            <w:r>
              <w:rPr>
                <w:rFonts w:ascii="Times New Roman" w:hAnsi="Times New Roman"/>
                <w:sz w:val="18"/>
              </w:rPr>
              <w:t xml:space="preserve"> Development Plan for the period 2022–2031</w:t>
            </w:r>
          </w:p>
        </w:tc>
        <w:tc>
          <w:tcPr>
            <w:tcW w:w="996" w:type="pct"/>
            <w:tcBorders>
              <w:top w:val="nil"/>
              <w:left w:val="nil"/>
              <w:bottom w:val="single" w:sz="8" w:space="0" w:color="auto"/>
              <w:right w:val="single" w:sz="8" w:space="0" w:color="auto"/>
            </w:tcBorders>
            <w:shd w:val="clear" w:color="000000" w:fill="FFFFFF"/>
            <w:vAlign w:val="center"/>
            <w:hideMark/>
          </w:tcPr>
          <w:p w14:paraId="64617B14" w14:textId="77777777" w:rsidR="00571EAF" w:rsidRPr="0014539F" w:rsidRDefault="004E2ADE" w:rsidP="00863836">
            <w:pPr>
              <w:spacing w:after="0" w:line="240" w:lineRule="auto"/>
              <w:rPr>
                <w:rFonts w:ascii="Times New Roman" w:eastAsia="Times New Roman" w:hAnsi="Times New Roman" w:cs="Times New Roman"/>
                <w:sz w:val="18"/>
                <w:szCs w:val="18"/>
              </w:rPr>
            </w:pPr>
            <w:r>
              <w:rPr>
                <w:rFonts w:ascii="Times New Roman" w:hAnsi="Times New Roman"/>
                <w:sz w:val="18"/>
              </w:rPr>
              <w:t>The implementation of the project has not commenced.</w:t>
            </w:r>
          </w:p>
        </w:tc>
      </w:tr>
      <w:tr w:rsidR="007833F1" w:rsidRPr="0086165A" w14:paraId="4791604F" w14:textId="77777777" w:rsidTr="000134C7">
        <w:trPr>
          <w:trHeight w:val="1870"/>
        </w:trPr>
        <w:tc>
          <w:tcPr>
            <w:tcW w:w="231" w:type="pct"/>
            <w:tcBorders>
              <w:top w:val="single" w:sz="8" w:space="0" w:color="auto"/>
              <w:left w:val="single" w:sz="8" w:space="0" w:color="auto"/>
              <w:bottom w:val="nil"/>
              <w:right w:val="single" w:sz="8" w:space="0" w:color="auto"/>
            </w:tcBorders>
            <w:shd w:val="clear" w:color="auto" w:fill="auto"/>
            <w:vAlign w:val="center"/>
            <w:hideMark/>
          </w:tcPr>
          <w:p w14:paraId="599D4BB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III.2.4</w:t>
            </w:r>
          </w:p>
        </w:tc>
        <w:tc>
          <w:tcPr>
            <w:tcW w:w="411" w:type="pct"/>
            <w:tcBorders>
              <w:top w:val="nil"/>
              <w:left w:val="nil"/>
              <w:bottom w:val="nil"/>
              <w:right w:val="single" w:sz="8" w:space="0" w:color="auto"/>
            </w:tcBorders>
            <w:shd w:val="clear" w:color="auto" w:fill="auto"/>
            <w:vAlign w:val="center"/>
            <w:hideMark/>
          </w:tcPr>
          <w:p w14:paraId="026FA952" w14:textId="63D5459A"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Installation of metering devices for </w:t>
            </w:r>
            <w:proofErr w:type="spellStart"/>
            <w:r>
              <w:rPr>
                <w:rFonts w:ascii="Times New Roman" w:hAnsi="Times New Roman"/>
                <w:sz w:val="18"/>
              </w:rPr>
              <w:t>Termokos</w:t>
            </w:r>
            <w:proofErr w:type="spellEnd"/>
            <w:r>
              <w:rPr>
                <w:rFonts w:ascii="Times New Roman" w:hAnsi="Times New Roman"/>
                <w:sz w:val="18"/>
              </w:rPr>
              <w:t>’ consumers.</w:t>
            </w:r>
          </w:p>
        </w:tc>
        <w:tc>
          <w:tcPr>
            <w:tcW w:w="299" w:type="pct"/>
            <w:tcBorders>
              <w:top w:val="nil"/>
              <w:left w:val="nil"/>
              <w:bottom w:val="nil"/>
              <w:right w:val="single" w:sz="8" w:space="0" w:color="auto"/>
            </w:tcBorders>
            <w:shd w:val="clear" w:color="000000" w:fill="FFFFFF"/>
            <w:vAlign w:val="center"/>
            <w:hideMark/>
          </w:tcPr>
          <w:p w14:paraId="10BF547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nil"/>
              <w:left w:val="nil"/>
              <w:bottom w:val="nil"/>
              <w:right w:val="single" w:sz="8" w:space="0" w:color="auto"/>
            </w:tcBorders>
            <w:shd w:val="clear" w:color="000000" w:fill="FFFFFF"/>
            <w:vAlign w:val="center"/>
            <w:hideMark/>
          </w:tcPr>
          <w:p w14:paraId="1718B42D"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6,000,000.00 </w:t>
            </w:r>
          </w:p>
        </w:tc>
        <w:tc>
          <w:tcPr>
            <w:tcW w:w="375" w:type="pct"/>
            <w:tcBorders>
              <w:top w:val="nil"/>
              <w:left w:val="nil"/>
              <w:bottom w:val="nil"/>
              <w:right w:val="single" w:sz="8" w:space="0" w:color="auto"/>
            </w:tcBorders>
            <w:shd w:val="clear" w:color="000000" w:fill="FFFFFF"/>
            <w:vAlign w:val="center"/>
            <w:hideMark/>
          </w:tcPr>
          <w:p w14:paraId="29C4E363"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4,000,000.00 </w:t>
            </w:r>
          </w:p>
        </w:tc>
        <w:tc>
          <w:tcPr>
            <w:tcW w:w="375" w:type="pct"/>
            <w:tcBorders>
              <w:top w:val="nil"/>
              <w:left w:val="nil"/>
              <w:bottom w:val="single" w:sz="8" w:space="0" w:color="auto"/>
              <w:right w:val="single" w:sz="8" w:space="0" w:color="auto"/>
            </w:tcBorders>
            <w:shd w:val="clear" w:color="000000" w:fill="FFFFFF"/>
            <w:vAlign w:val="center"/>
            <w:hideMark/>
          </w:tcPr>
          <w:p w14:paraId="015419EC"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nil"/>
              <w:left w:val="nil"/>
              <w:bottom w:val="single" w:sz="8" w:space="0" w:color="auto"/>
              <w:right w:val="single" w:sz="8" w:space="0" w:color="auto"/>
            </w:tcBorders>
            <w:shd w:val="clear" w:color="000000" w:fill="FFFFFF"/>
            <w:vAlign w:val="center"/>
            <w:hideMark/>
          </w:tcPr>
          <w:p w14:paraId="53960108" w14:textId="77777777" w:rsidR="006D77E4"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p w14:paraId="127314C1" w14:textId="18DF8FA2"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single" w:sz="8" w:space="0" w:color="auto"/>
              <w:right w:val="single" w:sz="8" w:space="0" w:color="auto"/>
            </w:tcBorders>
            <w:shd w:val="clear" w:color="000000" w:fill="FFFFFF"/>
            <w:vAlign w:val="center"/>
            <w:hideMark/>
          </w:tcPr>
          <w:p w14:paraId="63EFF56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MFK</w:t>
            </w:r>
          </w:p>
        </w:tc>
        <w:tc>
          <w:tcPr>
            <w:tcW w:w="330" w:type="pct"/>
            <w:tcBorders>
              <w:top w:val="nil"/>
              <w:left w:val="nil"/>
              <w:bottom w:val="nil"/>
              <w:right w:val="single" w:sz="8" w:space="0" w:color="auto"/>
            </w:tcBorders>
            <w:shd w:val="clear" w:color="000000" w:fill="FFFFFF"/>
            <w:vAlign w:val="center"/>
            <w:hideMark/>
          </w:tcPr>
          <w:p w14:paraId="07A7164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MFK / </w:t>
            </w:r>
            <w:proofErr w:type="spellStart"/>
            <w:r>
              <w:rPr>
                <w:rFonts w:ascii="Times New Roman" w:hAnsi="Times New Roman"/>
                <w:sz w:val="18"/>
              </w:rPr>
              <w:t>Termokos</w:t>
            </w:r>
            <w:proofErr w:type="spellEnd"/>
          </w:p>
        </w:tc>
        <w:tc>
          <w:tcPr>
            <w:tcW w:w="411" w:type="pct"/>
            <w:tcBorders>
              <w:top w:val="nil"/>
              <w:left w:val="nil"/>
              <w:bottom w:val="nil"/>
              <w:right w:val="single" w:sz="8" w:space="0" w:color="auto"/>
            </w:tcBorders>
            <w:shd w:val="clear" w:color="000000" w:fill="FFFFFF"/>
            <w:vAlign w:val="center"/>
            <w:hideMark/>
          </w:tcPr>
          <w:p w14:paraId="300D678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Heating costs and consumption controlled for up to 17,500 customers of </w:t>
            </w:r>
            <w:proofErr w:type="spellStart"/>
            <w:r>
              <w:rPr>
                <w:rFonts w:ascii="Times New Roman" w:hAnsi="Times New Roman"/>
                <w:sz w:val="18"/>
              </w:rPr>
              <w:t>Termokos</w:t>
            </w:r>
            <w:proofErr w:type="spellEnd"/>
          </w:p>
        </w:tc>
        <w:tc>
          <w:tcPr>
            <w:tcW w:w="419" w:type="pct"/>
            <w:tcBorders>
              <w:top w:val="nil"/>
              <w:left w:val="nil"/>
              <w:bottom w:val="single" w:sz="8" w:space="0" w:color="auto"/>
              <w:right w:val="single" w:sz="8" w:space="0" w:color="auto"/>
            </w:tcBorders>
            <w:shd w:val="clear" w:color="000000" w:fill="FFFFFF"/>
            <w:vAlign w:val="center"/>
            <w:hideMark/>
          </w:tcPr>
          <w:p w14:paraId="51500945" w14:textId="77777777" w:rsidR="00856877"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p w14:paraId="0D494418" w14:textId="5FE0E222"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r>
            <w:proofErr w:type="spellStart"/>
            <w:r>
              <w:rPr>
                <w:rFonts w:ascii="Times New Roman" w:hAnsi="Times New Roman"/>
                <w:sz w:val="18"/>
              </w:rPr>
              <w:t>Termokos</w:t>
            </w:r>
            <w:proofErr w:type="spellEnd"/>
            <w:r>
              <w:rPr>
                <w:rFonts w:ascii="Times New Roman" w:hAnsi="Times New Roman"/>
                <w:sz w:val="18"/>
              </w:rPr>
              <w:t xml:space="preserve"> Development Plan for the period 2022–2031</w:t>
            </w:r>
          </w:p>
        </w:tc>
        <w:tc>
          <w:tcPr>
            <w:tcW w:w="996" w:type="pct"/>
            <w:tcBorders>
              <w:top w:val="nil"/>
              <w:left w:val="nil"/>
              <w:bottom w:val="single" w:sz="8" w:space="0" w:color="auto"/>
              <w:right w:val="single" w:sz="8" w:space="0" w:color="auto"/>
            </w:tcBorders>
            <w:shd w:val="clear" w:color="000000" w:fill="FFFFFF"/>
            <w:hideMark/>
          </w:tcPr>
          <w:p w14:paraId="4EC5F9FA" w14:textId="3CB27F2D" w:rsidR="004A694D" w:rsidRPr="0086165A" w:rsidRDefault="004A694D" w:rsidP="004A694D">
            <w:pPr>
              <w:spacing w:after="24" w:line="240" w:lineRule="auto"/>
              <w:rPr>
                <w:rFonts w:ascii="Times New Roman" w:eastAsia="Times New Roman" w:hAnsi="Times New Roman" w:cs="Times New Roman"/>
                <w:color w:val="202122"/>
                <w:sz w:val="18"/>
                <w:szCs w:val="18"/>
              </w:rPr>
            </w:pPr>
            <w:r>
              <w:rPr>
                <w:rFonts w:ascii="Times New Roman" w:hAnsi="Times New Roman"/>
                <w:color w:val="202122"/>
                <w:sz w:val="18"/>
              </w:rPr>
              <w:t>The contract for this project was signed in April 2022 between MFK (Millennium Foundation-Kosovo) and the contractor ENERCO LLC – Prishtina, and commenced on 27.07.2022.</w:t>
            </w:r>
            <w:r>
              <w:rPr>
                <w:rFonts w:ascii="Times New Roman" w:hAnsi="Times New Roman"/>
                <w:color w:val="202122"/>
                <w:sz w:val="18"/>
              </w:rPr>
              <w:br/>
              <w:t>The first part of the project has been completed, and regarding the installations, the following were realized:</w:t>
            </w:r>
            <w:r>
              <w:rPr>
                <w:rFonts w:ascii="Times New Roman" w:hAnsi="Times New Roman"/>
                <w:color w:val="202122"/>
                <w:sz w:val="18"/>
              </w:rPr>
              <w:br/>
              <w:t xml:space="preserve">–Thermostatic valves: 77,632 units; </w:t>
            </w:r>
          </w:p>
          <w:p w14:paraId="1C13BA93" w14:textId="77777777" w:rsidR="004A694D" w:rsidRPr="0086165A" w:rsidRDefault="004A694D" w:rsidP="004A694D">
            <w:pPr>
              <w:spacing w:after="24" w:line="240" w:lineRule="auto"/>
              <w:rPr>
                <w:rFonts w:ascii="Times New Roman" w:eastAsia="Times New Roman" w:hAnsi="Times New Roman" w:cs="Times New Roman"/>
                <w:color w:val="202122"/>
                <w:sz w:val="18"/>
                <w:szCs w:val="18"/>
              </w:rPr>
            </w:pPr>
            <w:r>
              <w:rPr>
                <w:rFonts w:ascii="Times New Roman" w:hAnsi="Times New Roman"/>
                <w:color w:val="202122"/>
                <w:sz w:val="18"/>
              </w:rPr>
              <w:t>–Allocators: 56,144 units;</w:t>
            </w:r>
          </w:p>
          <w:p w14:paraId="3BE94935" w14:textId="77777777" w:rsidR="004A694D" w:rsidRPr="0086165A" w:rsidRDefault="004A694D" w:rsidP="004A694D">
            <w:pPr>
              <w:spacing w:after="24" w:line="240" w:lineRule="auto"/>
              <w:rPr>
                <w:rFonts w:ascii="Times New Roman" w:eastAsia="Times New Roman" w:hAnsi="Times New Roman" w:cs="Times New Roman"/>
                <w:color w:val="202122"/>
                <w:sz w:val="18"/>
                <w:szCs w:val="18"/>
              </w:rPr>
            </w:pPr>
            <w:r>
              <w:rPr>
                <w:rFonts w:ascii="Times New Roman" w:hAnsi="Times New Roman"/>
                <w:color w:val="202122"/>
                <w:sz w:val="18"/>
              </w:rPr>
              <w:t>–Thermal energy meters: 4,202 units;</w:t>
            </w:r>
          </w:p>
          <w:p w14:paraId="7FAA4BBE" w14:textId="78DB05EC" w:rsidR="004A694D" w:rsidRPr="0086165A" w:rsidRDefault="004A694D" w:rsidP="004A694D">
            <w:pPr>
              <w:spacing w:after="24" w:line="240" w:lineRule="auto"/>
              <w:rPr>
                <w:rFonts w:ascii="Times New Roman" w:eastAsia="Times New Roman" w:hAnsi="Times New Roman" w:cs="Times New Roman"/>
                <w:color w:val="202122"/>
                <w:sz w:val="18"/>
                <w:szCs w:val="18"/>
              </w:rPr>
            </w:pPr>
            <w:r>
              <w:rPr>
                <w:rFonts w:ascii="Times New Roman" w:hAnsi="Times New Roman"/>
                <w:color w:val="202122"/>
                <w:sz w:val="18"/>
              </w:rPr>
              <w:t>–Circulation pumps: two hundred and thirty-three (233) units;</w:t>
            </w:r>
            <w:r>
              <w:rPr>
                <w:rFonts w:ascii="Times New Roman" w:hAnsi="Times New Roman"/>
                <w:color w:val="202122"/>
                <w:sz w:val="18"/>
              </w:rPr>
              <w:br/>
              <w:t>–Balancing valves – eighteen (18) units;</w:t>
            </w:r>
          </w:p>
          <w:p w14:paraId="4328C1E4" w14:textId="4D36A8CE" w:rsidR="004A694D" w:rsidRPr="0086165A" w:rsidRDefault="004A694D" w:rsidP="004A694D">
            <w:pPr>
              <w:spacing w:after="24" w:line="240" w:lineRule="auto"/>
              <w:rPr>
                <w:rFonts w:ascii="Times New Roman" w:eastAsia="Times New Roman" w:hAnsi="Times New Roman" w:cs="Times New Roman"/>
                <w:color w:val="202122"/>
                <w:sz w:val="18"/>
                <w:szCs w:val="18"/>
              </w:rPr>
            </w:pPr>
            <w:r>
              <w:rPr>
                <w:rFonts w:ascii="Times New Roman" w:hAnsi="Times New Roman"/>
                <w:color w:val="202122"/>
                <w:sz w:val="18"/>
              </w:rPr>
              <w:t>–Thermostatic valves and allocators were installed in 17,469 apartment units.</w:t>
            </w:r>
            <w:r>
              <w:rPr>
                <w:rFonts w:ascii="Times New Roman" w:hAnsi="Times New Roman"/>
                <w:color w:val="202122"/>
                <w:sz w:val="18"/>
              </w:rPr>
              <w:br/>
              <w:t>–Apartment units completed at one hundred percent (100%) are 16,221 apartment units.</w:t>
            </w:r>
          </w:p>
          <w:p w14:paraId="0DA32A10" w14:textId="77777777" w:rsidR="00571EAF" w:rsidRPr="0086165A" w:rsidRDefault="00571EAF" w:rsidP="0052554D">
            <w:pPr>
              <w:spacing w:after="24" w:line="240" w:lineRule="auto"/>
              <w:rPr>
                <w:rFonts w:ascii="Times New Roman" w:eastAsia="Times New Roman" w:hAnsi="Times New Roman" w:cs="Times New Roman"/>
                <w:color w:val="202122"/>
                <w:sz w:val="24"/>
                <w:szCs w:val="24"/>
              </w:rPr>
            </w:pPr>
          </w:p>
        </w:tc>
      </w:tr>
      <w:tr w:rsidR="007833F1" w:rsidRPr="0086165A" w14:paraId="7263C8CE" w14:textId="77777777" w:rsidTr="00514C84">
        <w:trPr>
          <w:trHeight w:val="2460"/>
        </w:trPr>
        <w:tc>
          <w:tcPr>
            <w:tcW w:w="231"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F288EE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III.2.5</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41FE92A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Improvement of the performance of the District Heating in </w:t>
            </w:r>
            <w:proofErr w:type="spellStart"/>
            <w:r>
              <w:rPr>
                <w:rFonts w:ascii="Times New Roman" w:hAnsi="Times New Roman"/>
                <w:sz w:val="18"/>
              </w:rPr>
              <w:t>Gjakova</w:t>
            </w:r>
            <w:proofErr w:type="spellEnd"/>
            <w:r>
              <w:rPr>
                <w:rFonts w:ascii="Times New Roman" w:hAnsi="Times New Roman"/>
                <w:sz w:val="18"/>
              </w:rPr>
              <w:t>.</w:t>
            </w:r>
          </w:p>
        </w:tc>
        <w:tc>
          <w:tcPr>
            <w:tcW w:w="299" w:type="pct"/>
            <w:tcBorders>
              <w:top w:val="single" w:sz="8" w:space="0" w:color="auto"/>
              <w:left w:val="nil"/>
              <w:bottom w:val="single" w:sz="8" w:space="0" w:color="auto"/>
              <w:right w:val="single" w:sz="8" w:space="0" w:color="auto"/>
            </w:tcBorders>
            <w:shd w:val="clear" w:color="000000" w:fill="FFFFFF"/>
            <w:vAlign w:val="center"/>
            <w:hideMark/>
          </w:tcPr>
          <w:p w14:paraId="5E4CD1A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49" w:type="pct"/>
            <w:tcBorders>
              <w:top w:val="single" w:sz="8" w:space="0" w:color="auto"/>
              <w:left w:val="nil"/>
              <w:bottom w:val="single" w:sz="8" w:space="0" w:color="auto"/>
              <w:right w:val="single" w:sz="8" w:space="0" w:color="auto"/>
            </w:tcBorders>
            <w:shd w:val="clear" w:color="000000" w:fill="FFFFFF"/>
            <w:vAlign w:val="center"/>
            <w:hideMark/>
          </w:tcPr>
          <w:p w14:paraId="4412F9D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2,361,000.00 </w:t>
            </w:r>
          </w:p>
        </w:tc>
        <w:tc>
          <w:tcPr>
            <w:tcW w:w="375" w:type="pct"/>
            <w:tcBorders>
              <w:top w:val="single" w:sz="8" w:space="0" w:color="auto"/>
              <w:left w:val="nil"/>
              <w:bottom w:val="single" w:sz="8" w:space="0" w:color="auto"/>
              <w:right w:val="single" w:sz="8" w:space="0" w:color="auto"/>
            </w:tcBorders>
            <w:shd w:val="clear" w:color="000000" w:fill="FFFFFF"/>
            <w:vAlign w:val="center"/>
            <w:hideMark/>
          </w:tcPr>
          <w:p w14:paraId="2707533F"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823,000.00 </w:t>
            </w:r>
          </w:p>
        </w:tc>
        <w:tc>
          <w:tcPr>
            <w:tcW w:w="375" w:type="pct"/>
            <w:tcBorders>
              <w:top w:val="nil"/>
              <w:left w:val="nil"/>
              <w:bottom w:val="single" w:sz="4" w:space="0" w:color="auto"/>
              <w:right w:val="single" w:sz="8" w:space="0" w:color="auto"/>
            </w:tcBorders>
            <w:shd w:val="clear" w:color="000000" w:fill="FFFFFF"/>
            <w:vAlign w:val="center"/>
            <w:hideMark/>
          </w:tcPr>
          <w:p w14:paraId="5F115CD2"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 xml:space="preserve"> €                               -   </w:t>
            </w:r>
          </w:p>
        </w:tc>
        <w:tc>
          <w:tcPr>
            <w:tcW w:w="284" w:type="pct"/>
            <w:tcBorders>
              <w:top w:val="nil"/>
              <w:left w:val="nil"/>
              <w:bottom w:val="single" w:sz="4" w:space="0" w:color="auto"/>
              <w:right w:val="single" w:sz="8" w:space="0" w:color="auto"/>
            </w:tcBorders>
            <w:shd w:val="clear" w:color="000000" w:fill="FFFFFF"/>
            <w:vAlign w:val="center"/>
            <w:hideMark/>
          </w:tcPr>
          <w:p w14:paraId="7567003C" w14:textId="77777777" w:rsidR="0024042E"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p w14:paraId="3822C253" w14:textId="0AB8FA4D"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tc>
        <w:tc>
          <w:tcPr>
            <w:tcW w:w="520" w:type="pct"/>
            <w:tcBorders>
              <w:top w:val="nil"/>
              <w:left w:val="nil"/>
              <w:bottom w:val="single" w:sz="4" w:space="0" w:color="auto"/>
              <w:right w:val="single" w:sz="8" w:space="0" w:color="auto"/>
            </w:tcBorders>
            <w:shd w:val="clear" w:color="000000" w:fill="FFFFFF"/>
            <w:vAlign w:val="center"/>
            <w:hideMark/>
          </w:tcPr>
          <w:p w14:paraId="2885C26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Swiss State Secretariat for Economic Affairs (SECO), Municipality of </w:t>
            </w:r>
            <w:proofErr w:type="spellStart"/>
            <w:r>
              <w:rPr>
                <w:rFonts w:ascii="Times New Roman" w:hAnsi="Times New Roman"/>
                <w:sz w:val="18"/>
              </w:rPr>
              <w:t>Gjakova</w:t>
            </w:r>
            <w:proofErr w:type="spellEnd"/>
          </w:p>
        </w:tc>
        <w:tc>
          <w:tcPr>
            <w:tcW w:w="330" w:type="pct"/>
            <w:tcBorders>
              <w:top w:val="single" w:sz="8" w:space="0" w:color="auto"/>
              <w:left w:val="nil"/>
              <w:bottom w:val="single" w:sz="8" w:space="0" w:color="auto"/>
              <w:right w:val="single" w:sz="8" w:space="0" w:color="auto"/>
            </w:tcBorders>
            <w:shd w:val="clear" w:color="000000" w:fill="FFFFFF"/>
            <w:vAlign w:val="center"/>
            <w:hideMark/>
          </w:tcPr>
          <w:p w14:paraId="2E805BAA" w14:textId="77777777" w:rsidR="009E6FE0" w:rsidRPr="0086165A" w:rsidRDefault="009E6FE0"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District Heating (DH) </w:t>
            </w:r>
            <w:proofErr w:type="spellStart"/>
            <w:r>
              <w:rPr>
                <w:rFonts w:ascii="Times New Roman" w:hAnsi="Times New Roman"/>
                <w:sz w:val="18"/>
              </w:rPr>
              <w:t>Gjakova</w:t>
            </w:r>
            <w:proofErr w:type="spellEnd"/>
          </w:p>
          <w:p w14:paraId="0D49459A" w14:textId="77777777" w:rsidR="00571EAF" w:rsidRPr="0086165A" w:rsidRDefault="009E6FE0"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w:t>
            </w:r>
          </w:p>
        </w:tc>
        <w:tc>
          <w:tcPr>
            <w:tcW w:w="411" w:type="pct"/>
            <w:tcBorders>
              <w:top w:val="single" w:sz="8" w:space="0" w:color="auto"/>
              <w:left w:val="nil"/>
              <w:bottom w:val="single" w:sz="8" w:space="0" w:color="auto"/>
              <w:right w:val="single" w:sz="8" w:space="0" w:color="auto"/>
            </w:tcBorders>
            <w:shd w:val="clear" w:color="000000" w:fill="FFFFFF"/>
            <w:vAlign w:val="center"/>
            <w:hideMark/>
          </w:tcPr>
          <w:p w14:paraId="4EFFEB4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Improving the performance of DH </w:t>
            </w:r>
            <w:proofErr w:type="spellStart"/>
            <w:r>
              <w:rPr>
                <w:rFonts w:ascii="Times New Roman" w:hAnsi="Times New Roman"/>
                <w:sz w:val="18"/>
              </w:rPr>
              <w:t>Gjakova</w:t>
            </w:r>
            <w:proofErr w:type="spellEnd"/>
            <w:r>
              <w:rPr>
                <w:rFonts w:ascii="Times New Roman" w:hAnsi="Times New Roman"/>
                <w:sz w:val="18"/>
              </w:rPr>
              <w:t>, improving the heating network of the regional hospital; connecting additional public facilities</w:t>
            </w:r>
          </w:p>
        </w:tc>
        <w:tc>
          <w:tcPr>
            <w:tcW w:w="419" w:type="pct"/>
            <w:tcBorders>
              <w:top w:val="nil"/>
              <w:left w:val="nil"/>
              <w:bottom w:val="single" w:sz="4" w:space="0" w:color="auto"/>
              <w:right w:val="single" w:sz="8" w:space="0" w:color="auto"/>
            </w:tcBorders>
            <w:shd w:val="clear" w:color="000000" w:fill="FFFFFF"/>
            <w:vAlign w:val="center"/>
            <w:hideMark/>
          </w:tcPr>
          <w:p w14:paraId="4AF2D85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District Heating (DH) Development plan for the period 2022-2023 </w:t>
            </w:r>
          </w:p>
        </w:tc>
        <w:tc>
          <w:tcPr>
            <w:tcW w:w="996" w:type="pct"/>
            <w:tcBorders>
              <w:top w:val="nil"/>
              <w:left w:val="nil"/>
              <w:bottom w:val="single" w:sz="4" w:space="0" w:color="auto"/>
              <w:right w:val="single" w:sz="8" w:space="0" w:color="auto"/>
            </w:tcBorders>
            <w:shd w:val="clear" w:color="000000" w:fill="FFFFFF"/>
            <w:vAlign w:val="center"/>
            <w:hideMark/>
          </w:tcPr>
          <w:p w14:paraId="6161721E" w14:textId="1FBB5259" w:rsidR="00571EAF" w:rsidRPr="0086165A" w:rsidRDefault="0052554D" w:rsidP="00571EAF">
            <w:pPr>
              <w:spacing w:after="0" w:line="240" w:lineRule="auto"/>
              <w:rPr>
                <w:rFonts w:ascii="Times New Roman" w:eastAsia="Times New Roman" w:hAnsi="Times New Roman" w:cs="Times New Roman"/>
              </w:rPr>
            </w:pPr>
            <w:r>
              <w:rPr>
                <w:rFonts w:ascii="Times New Roman" w:hAnsi="Times New Roman"/>
                <w:sz w:val="18"/>
              </w:rPr>
              <w:t>There was no activity planned to be carried out during the January – December 2024.</w:t>
            </w:r>
          </w:p>
        </w:tc>
      </w:tr>
      <w:tr w:rsidR="007833F1" w:rsidRPr="008B1E87" w14:paraId="167CF98C" w14:textId="77777777" w:rsidTr="00514C84">
        <w:trPr>
          <w:trHeight w:val="2460"/>
        </w:trPr>
        <w:tc>
          <w:tcPr>
            <w:tcW w:w="231" w:type="pct"/>
            <w:tcBorders>
              <w:top w:val="single" w:sz="8" w:space="0" w:color="auto"/>
              <w:left w:val="single" w:sz="8" w:space="0" w:color="auto"/>
              <w:bottom w:val="single" w:sz="8" w:space="0" w:color="auto"/>
              <w:right w:val="single" w:sz="8" w:space="0" w:color="auto"/>
            </w:tcBorders>
            <w:shd w:val="clear" w:color="000000" w:fill="FFFFFF"/>
            <w:vAlign w:val="center"/>
          </w:tcPr>
          <w:p w14:paraId="2E55183D" w14:textId="6A35FE7E" w:rsidR="00BA4CCF" w:rsidRPr="008B1E87" w:rsidRDefault="000134C7"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III.2.6</w:t>
            </w:r>
          </w:p>
        </w:tc>
        <w:tc>
          <w:tcPr>
            <w:tcW w:w="411" w:type="pct"/>
            <w:tcBorders>
              <w:top w:val="single" w:sz="8" w:space="0" w:color="auto"/>
              <w:left w:val="nil"/>
              <w:bottom w:val="single" w:sz="8" w:space="0" w:color="auto"/>
              <w:right w:val="single" w:sz="8" w:space="0" w:color="auto"/>
            </w:tcBorders>
            <w:shd w:val="clear" w:color="000000" w:fill="FFFFFF"/>
            <w:vAlign w:val="center"/>
          </w:tcPr>
          <w:p w14:paraId="118FA272" w14:textId="3677F10B" w:rsidR="00BA4CCF" w:rsidRPr="008B1E87" w:rsidRDefault="000134C7"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Subsidy for household </w:t>
            </w:r>
            <w:proofErr w:type="spellStart"/>
            <w:r>
              <w:rPr>
                <w:rFonts w:ascii="Times New Roman" w:hAnsi="Times New Roman"/>
                <w:sz w:val="18"/>
              </w:rPr>
              <w:t>consumrs</w:t>
            </w:r>
            <w:proofErr w:type="spellEnd"/>
            <w:r>
              <w:rPr>
                <w:rFonts w:ascii="Times New Roman" w:hAnsi="Times New Roman"/>
                <w:sz w:val="18"/>
              </w:rPr>
              <w:t xml:space="preserve"> and MSME</w:t>
            </w:r>
          </w:p>
        </w:tc>
        <w:tc>
          <w:tcPr>
            <w:tcW w:w="299" w:type="pct"/>
            <w:tcBorders>
              <w:top w:val="single" w:sz="8" w:space="0" w:color="auto"/>
              <w:left w:val="nil"/>
              <w:bottom w:val="single" w:sz="8" w:space="0" w:color="auto"/>
              <w:right w:val="single" w:sz="8" w:space="0" w:color="auto"/>
            </w:tcBorders>
            <w:shd w:val="clear" w:color="000000" w:fill="FFFFFF"/>
            <w:vAlign w:val="center"/>
          </w:tcPr>
          <w:p w14:paraId="4E57B16D" w14:textId="3989650A" w:rsidR="00BA4CCF" w:rsidRPr="008B1E87" w:rsidRDefault="000134C7"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49" w:type="pct"/>
            <w:tcBorders>
              <w:top w:val="single" w:sz="8" w:space="0" w:color="auto"/>
              <w:left w:val="nil"/>
              <w:bottom w:val="single" w:sz="8" w:space="0" w:color="auto"/>
              <w:right w:val="single" w:sz="8" w:space="0" w:color="auto"/>
            </w:tcBorders>
            <w:shd w:val="clear" w:color="000000" w:fill="FFFFFF"/>
            <w:vAlign w:val="center"/>
          </w:tcPr>
          <w:p w14:paraId="153E7D6A" w14:textId="18E608C8" w:rsidR="00BA4CCF" w:rsidRPr="008B1E87" w:rsidRDefault="000134C7"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tc>
        <w:tc>
          <w:tcPr>
            <w:tcW w:w="375" w:type="pct"/>
            <w:tcBorders>
              <w:top w:val="single" w:sz="8" w:space="0" w:color="auto"/>
              <w:left w:val="nil"/>
              <w:bottom w:val="single" w:sz="8" w:space="0" w:color="auto"/>
              <w:right w:val="single" w:sz="8" w:space="0" w:color="auto"/>
            </w:tcBorders>
            <w:shd w:val="clear" w:color="000000" w:fill="FFFFFF"/>
            <w:vAlign w:val="center"/>
          </w:tcPr>
          <w:p w14:paraId="195E04AE" w14:textId="0621CA04" w:rsidR="00BA4CCF" w:rsidRPr="008B1E87" w:rsidRDefault="000134C7"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tc>
        <w:tc>
          <w:tcPr>
            <w:tcW w:w="375" w:type="pct"/>
            <w:tcBorders>
              <w:top w:val="single" w:sz="4" w:space="0" w:color="auto"/>
              <w:left w:val="nil"/>
              <w:bottom w:val="single" w:sz="8" w:space="0" w:color="auto"/>
              <w:right w:val="single" w:sz="8" w:space="0" w:color="auto"/>
            </w:tcBorders>
            <w:shd w:val="clear" w:color="000000" w:fill="FFFFFF"/>
            <w:vAlign w:val="center"/>
          </w:tcPr>
          <w:p w14:paraId="46E65164" w14:textId="4DF88939" w:rsidR="00BA4CCF" w:rsidRPr="008B1E87" w:rsidRDefault="000134C7" w:rsidP="00571EAF">
            <w:pPr>
              <w:spacing w:after="0" w:line="240" w:lineRule="auto"/>
              <w:rPr>
                <w:rFonts w:ascii="Times New Roman" w:eastAsia="Times New Roman" w:hAnsi="Times New Roman" w:cs="Times New Roman"/>
                <w:bCs/>
                <w:sz w:val="18"/>
                <w:szCs w:val="18"/>
              </w:rPr>
            </w:pPr>
            <w:r>
              <w:rPr>
                <w:rFonts w:ascii="Times New Roman" w:hAnsi="Times New Roman"/>
                <w:sz w:val="18"/>
              </w:rPr>
              <w:t>€    14078039.46</w:t>
            </w:r>
          </w:p>
        </w:tc>
        <w:tc>
          <w:tcPr>
            <w:tcW w:w="284" w:type="pct"/>
            <w:tcBorders>
              <w:top w:val="single" w:sz="4" w:space="0" w:color="auto"/>
              <w:left w:val="nil"/>
              <w:bottom w:val="single" w:sz="4" w:space="0" w:color="auto"/>
              <w:right w:val="single" w:sz="8" w:space="0" w:color="auto"/>
            </w:tcBorders>
            <w:shd w:val="clear" w:color="000000" w:fill="FFFFFF"/>
            <w:vAlign w:val="center"/>
          </w:tcPr>
          <w:p w14:paraId="6E1E9D6F" w14:textId="77777777" w:rsidR="0024042E" w:rsidRDefault="000134C7"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w:t>
            </w:r>
          </w:p>
          <w:p w14:paraId="0CCD3C6D" w14:textId="0B80FAB5" w:rsidR="00BA4CCF" w:rsidRPr="008B1E87" w:rsidRDefault="000134C7"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w:t>
            </w:r>
          </w:p>
        </w:tc>
        <w:tc>
          <w:tcPr>
            <w:tcW w:w="520" w:type="pct"/>
            <w:tcBorders>
              <w:top w:val="single" w:sz="4" w:space="0" w:color="auto"/>
              <w:left w:val="nil"/>
              <w:bottom w:val="single" w:sz="8" w:space="0" w:color="auto"/>
              <w:right w:val="single" w:sz="8" w:space="0" w:color="auto"/>
            </w:tcBorders>
            <w:shd w:val="clear" w:color="000000" w:fill="FFFFFF"/>
            <w:vAlign w:val="center"/>
          </w:tcPr>
          <w:p w14:paraId="3893E5EF" w14:textId="15D105C1" w:rsidR="00834996" w:rsidRPr="008B1E87" w:rsidRDefault="0056146D" w:rsidP="0056146D">
            <w:pPr>
              <w:spacing w:after="0" w:line="240" w:lineRule="auto"/>
              <w:rPr>
                <w:rFonts w:ascii="Times New Roman" w:eastAsia="Times New Roman" w:hAnsi="Times New Roman" w:cs="Times New Roman"/>
                <w:sz w:val="18"/>
                <w:szCs w:val="18"/>
              </w:rPr>
            </w:pPr>
            <w:r>
              <w:rPr>
                <w:rFonts w:ascii="Times New Roman" w:hAnsi="Times New Roman"/>
                <w:sz w:val="18"/>
              </w:rPr>
              <w:t xml:space="preserve">     EU Funds</w:t>
            </w:r>
          </w:p>
        </w:tc>
        <w:tc>
          <w:tcPr>
            <w:tcW w:w="330" w:type="pct"/>
            <w:tcBorders>
              <w:top w:val="single" w:sz="8" w:space="0" w:color="auto"/>
              <w:left w:val="nil"/>
              <w:bottom w:val="single" w:sz="8" w:space="0" w:color="auto"/>
              <w:right w:val="single" w:sz="8" w:space="0" w:color="auto"/>
            </w:tcBorders>
            <w:shd w:val="clear" w:color="000000" w:fill="FFFFFF"/>
            <w:vAlign w:val="center"/>
          </w:tcPr>
          <w:p w14:paraId="1CE8CE7A" w14:textId="0CC0946B" w:rsidR="00BA4CCF" w:rsidRPr="008B1E87" w:rsidRDefault="000134C7"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w:t>
            </w:r>
          </w:p>
        </w:tc>
        <w:tc>
          <w:tcPr>
            <w:tcW w:w="411" w:type="pct"/>
            <w:tcBorders>
              <w:top w:val="single" w:sz="8" w:space="0" w:color="auto"/>
              <w:left w:val="nil"/>
              <w:bottom w:val="single" w:sz="8" w:space="0" w:color="auto"/>
              <w:right w:val="single" w:sz="8" w:space="0" w:color="auto"/>
            </w:tcBorders>
            <w:shd w:val="clear" w:color="000000" w:fill="FFFFFF"/>
            <w:vAlign w:val="center"/>
          </w:tcPr>
          <w:p w14:paraId="2A45F131" w14:textId="65095793" w:rsidR="00BA4CCF" w:rsidRPr="008B1E87" w:rsidRDefault="00834996"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Household Consumers Support and MSME Support Services</w:t>
            </w:r>
          </w:p>
        </w:tc>
        <w:tc>
          <w:tcPr>
            <w:tcW w:w="419" w:type="pct"/>
            <w:tcBorders>
              <w:top w:val="single" w:sz="4" w:space="0" w:color="auto"/>
              <w:left w:val="nil"/>
              <w:bottom w:val="single" w:sz="8" w:space="0" w:color="auto"/>
              <w:right w:val="single" w:sz="8" w:space="0" w:color="auto"/>
            </w:tcBorders>
            <w:shd w:val="clear" w:color="000000" w:fill="FFFFFF"/>
            <w:vAlign w:val="center"/>
          </w:tcPr>
          <w:p w14:paraId="5842BA98" w14:textId="5CCC465D" w:rsidR="00BA4CCF" w:rsidRPr="008B1E87" w:rsidRDefault="000134C7"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2022 - 2031</w:t>
            </w:r>
          </w:p>
        </w:tc>
        <w:tc>
          <w:tcPr>
            <w:tcW w:w="996" w:type="pct"/>
            <w:tcBorders>
              <w:top w:val="single" w:sz="4" w:space="0" w:color="auto"/>
              <w:left w:val="nil"/>
              <w:bottom w:val="single" w:sz="8" w:space="0" w:color="auto"/>
              <w:right w:val="single" w:sz="8" w:space="0" w:color="auto"/>
            </w:tcBorders>
            <w:shd w:val="clear" w:color="000000" w:fill="FFFFFF"/>
            <w:vAlign w:val="center"/>
          </w:tcPr>
          <w:p w14:paraId="12FD323D" w14:textId="2F3BB8A5" w:rsidR="00BA4CCF" w:rsidRPr="008B1E87" w:rsidRDefault="000134C7" w:rsidP="00571EAF">
            <w:pPr>
              <w:spacing w:after="0" w:line="240" w:lineRule="auto"/>
              <w:rPr>
                <w:rFonts w:ascii="Times New Roman" w:eastAsia="Times New Roman" w:hAnsi="Times New Roman" w:cs="Times New Roman"/>
                <w:sz w:val="18"/>
              </w:rPr>
            </w:pPr>
            <w:r>
              <w:rPr>
                <w:rFonts w:ascii="Times New Roman" w:hAnsi="Times New Roman"/>
                <w:sz w:val="18"/>
              </w:rPr>
              <w:t>A total of four public calls have been made to support household consumers and MSMEs in investing in efficient heating equipment, as well as renewable energy systems. A total of 32,937 beneficiaries have received subsidies.</w:t>
            </w:r>
          </w:p>
        </w:tc>
      </w:tr>
    </w:tbl>
    <w:p w14:paraId="791B73DA" w14:textId="16B6AFF4" w:rsidR="00682BBE" w:rsidRDefault="00682BBE" w:rsidP="004A694D">
      <w:pPr>
        <w:rPr>
          <w:rFonts w:ascii="Times New Roman" w:hAnsi="Times New Roman" w:cs="Times New Roman"/>
          <w:b/>
          <w:sz w:val="28"/>
          <w:szCs w:val="24"/>
        </w:rPr>
      </w:pPr>
    </w:p>
    <w:p w14:paraId="7988D038" w14:textId="10A8F779" w:rsidR="008B1E87" w:rsidRDefault="008B1E87" w:rsidP="004A694D">
      <w:pPr>
        <w:rPr>
          <w:rFonts w:ascii="Times New Roman" w:hAnsi="Times New Roman" w:cs="Times New Roman"/>
          <w:b/>
          <w:sz w:val="28"/>
          <w:szCs w:val="24"/>
        </w:rPr>
      </w:pPr>
    </w:p>
    <w:p w14:paraId="3D2A8BA3" w14:textId="243BCC46" w:rsidR="008B1E87" w:rsidRDefault="008B1E87" w:rsidP="004A694D">
      <w:pPr>
        <w:rPr>
          <w:rFonts w:ascii="Times New Roman" w:hAnsi="Times New Roman" w:cs="Times New Roman"/>
          <w:b/>
          <w:sz w:val="28"/>
          <w:szCs w:val="24"/>
        </w:rPr>
      </w:pPr>
    </w:p>
    <w:p w14:paraId="25186E07" w14:textId="3541B8CB" w:rsidR="008B1E87" w:rsidRDefault="008B1E87" w:rsidP="004A694D">
      <w:pPr>
        <w:rPr>
          <w:rFonts w:ascii="Times New Roman" w:hAnsi="Times New Roman" w:cs="Times New Roman"/>
          <w:b/>
          <w:sz w:val="28"/>
          <w:szCs w:val="24"/>
        </w:rPr>
      </w:pPr>
    </w:p>
    <w:p w14:paraId="355B0AB4" w14:textId="00B675C2" w:rsidR="008B1E87" w:rsidRDefault="008B1E87" w:rsidP="004A694D">
      <w:pPr>
        <w:rPr>
          <w:rFonts w:ascii="Times New Roman" w:hAnsi="Times New Roman" w:cs="Times New Roman"/>
          <w:b/>
          <w:sz w:val="28"/>
          <w:szCs w:val="24"/>
        </w:rPr>
      </w:pPr>
    </w:p>
    <w:p w14:paraId="72D04933" w14:textId="62703677" w:rsidR="008B1E87" w:rsidRDefault="008B1E87" w:rsidP="004A694D">
      <w:pPr>
        <w:rPr>
          <w:rFonts w:ascii="Times New Roman" w:hAnsi="Times New Roman" w:cs="Times New Roman"/>
          <w:b/>
          <w:sz w:val="28"/>
          <w:szCs w:val="24"/>
        </w:rPr>
      </w:pPr>
    </w:p>
    <w:p w14:paraId="05E668A6" w14:textId="77777777" w:rsidR="00C849A7" w:rsidRDefault="00C849A7" w:rsidP="004A694D">
      <w:pPr>
        <w:rPr>
          <w:rFonts w:ascii="Times New Roman" w:hAnsi="Times New Roman" w:cs="Times New Roman"/>
          <w:b/>
          <w:sz w:val="28"/>
          <w:szCs w:val="24"/>
        </w:rPr>
      </w:pPr>
    </w:p>
    <w:p w14:paraId="600ADAB6" w14:textId="1B755089" w:rsidR="008B1E87" w:rsidRDefault="008B1E87" w:rsidP="004A694D">
      <w:pPr>
        <w:rPr>
          <w:rFonts w:ascii="Times New Roman" w:hAnsi="Times New Roman" w:cs="Times New Roman"/>
          <w:b/>
          <w:sz w:val="28"/>
          <w:szCs w:val="24"/>
        </w:rPr>
      </w:pPr>
    </w:p>
    <w:p w14:paraId="7E9F5821" w14:textId="77777777" w:rsidR="008B1E87" w:rsidRPr="0086165A" w:rsidRDefault="008B1E87" w:rsidP="004A694D">
      <w:pPr>
        <w:rPr>
          <w:rFonts w:ascii="Times New Roman" w:hAnsi="Times New Roman" w:cs="Times New Roman"/>
          <w:b/>
          <w:sz w:val="28"/>
          <w:szCs w:val="24"/>
        </w:rPr>
      </w:pPr>
    </w:p>
    <w:tbl>
      <w:tblPr>
        <w:tblW w:w="5208" w:type="pct"/>
        <w:tblLayout w:type="fixed"/>
        <w:tblLook w:val="04A0" w:firstRow="1" w:lastRow="0" w:firstColumn="1" w:lastColumn="0" w:noHBand="0" w:noVBand="1"/>
      </w:tblPr>
      <w:tblGrid>
        <w:gridCol w:w="590"/>
        <w:gridCol w:w="1897"/>
        <w:gridCol w:w="801"/>
        <w:gridCol w:w="900"/>
        <w:gridCol w:w="1200"/>
        <w:gridCol w:w="1203"/>
        <w:gridCol w:w="1002"/>
        <w:gridCol w:w="1200"/>
        <w:gridCol w:w="1499"/>
        <w:gridCol w:w="1304"/>
        <w:gridCol w:w="1101"/>
        <w:gridCol w:w="2297"/>
      </w:tblGrid>
      <w:tr w:rsidR="008A4679" w:rsidRPr="0086165A" w14:paraId="1C6DC4A7" w14:textId="77777777" w:rsidTr="00B26E71">
        <w:trPr>
          <w:trHeight w:val="480"/>
        </w:trPr>
        <w:tc>
          <w:tcPr>
            <w:tcW w:w="4233" w:type="pct"/>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2D387D7D" w14:textId="57703F2F" w:rsidR="00571EAF" w:rsidRPr="0014539F" w:rsidRDefault="00571EAF" w:rsidP="00571EAF">
            <w:pPr>
              <w:spacing w:after="0" w:line="240" w:lineRule="auto"/>
              <w:jc w:val="center"/>
              <w:rPr>
                <w:rFonts w:ascii="Times New Roman" w:eastAsia="Times New Roman" w:hAnsi="Times New Roman" w:cs="Times New Roman"/>
                <w:b/>
                <w:bCs/>
                <w:i/>
                <w:iCs/>
                <w:sz w:val="18"/>
                <w:szCs w:val="18"/>
              </w:rPr>
            </w:pPr>
            <w:r>
              <w:rPr>
                <w:rFonts w:ascii="Times New Roman" w:hAnsi="Times New Roman"/>
                <w:b/>
                <w:i/>
                <w:sz w:val="18"/>
              </w:rPr>
              <w:lastRenderedPageBreak/>
              <w:t>MONITORING OF THE IMPLEMENTATION OF KESIP FOR THE PERIOD 2022-2025: STRATEGIC OBJECTIVE 4</w:t>
            </w:r>
          </w:p>
        </w:tc>
        <w:tc>
          <w:tcPr>
            <w:tcW w:w="767" w:type="pct"/>
            <w:tcBorders>
              <w:top w:val="nil"/>
              <w:left w:val="nil"/>
              <w:bottom w:val="nil"/>
              <w:right w:val="nil"/>
            </w:tcBorders>
            <w:shd w:val="clear" w:color="auto" w:fill="auto"/>
            <w:noWrap/>
            <w:vAlign w:val="bottom"/>
            <w:hideMark/>
          </w:tcPr>
          <w:p w14:paraId="6B32F1A9" w14:textId="77777777" w:rsidR="00571EAF" w:rsidRPr="0014539F" w:rsidRDefault="00571EAF" w:rsidP="00571EAF">
            <w:pPr>
              <w:spacing w:after="0" w:line="240" w:lineRule="auto"/>
              <w:jc w:val="center"/>
              <w:rPr>
                <w:rFonts w:ascii="Times New Roman" w:eastAsia="Times New Roman" w:hAnsi="Times New Roman" w:cs="Times New Roman"/>
                <w:b/>
                <w:bCs/>
                <w:i/>
                <w:iCs/>
                <w:sz w:val="18"/>
                <w:szCs w:val="18"/>
              </w:rPr>
            </w:pPr>
          </w:p>
        </w:tc>
      </w:tr>
      <w:tr w:rsidR="008A4679" w:rsidRPr="0086165A" w14:paraId="14411EBE" w14:textId="77777777" w:rsidTr="00B26E71">
        <w:trPr>
          <w:trHeight w:val="885"/>
        </w:trPr>
        <w:tc>
          <w:tcPr>
            <w:tcW w:w="4233" w:type="pct"/>
            <w:gridSpan w:val="11"/>
            <w:tcBorders>
              <w:top w:val="nil"/>
              <w:left w:val="nil"/>
              <w:bottom w:val="single" w:sz="8" w:space="0" w:color="auto"/>
              <w:right w:val="nil"/>
            </w:tcBorders>
            <w:shd w:val="clear" w:color="auto" w:fill="auto"/>
            <w:vAlign w:val="center"/>
            <w:hideMark/>
          </w:tcPr>
          <w:p w14:paraId="3A1DEFA5" w14:textId="77777777" w:rsidR="00571EAF" w:rsidRPr="0014539F"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SO4: STRENGTHENING REGIONAL COOPERATION AND MARKET FUNCTIONING</w:t>
            </w:r>
          </w:p>
        </w:tc>
        <w:tc>
          <w:tcPr>
            <w:tcW w:w="767" w:type="pct"/>
            <w:tcBorders>
              <w:top w:val="nil"/>
              <w:left w:val="nil"/>
              <w:bottom w:val="nil"/>
              <w:right w:val="nil"/>
            </w:tcBorders>
            <w:shd w:val="clear" w:color="auto" w:fill="auto"/>
            <w:noWrap/>
            <w:vAlign w:val="bottom"/>
            <w:hideMark/>
          </w:tcPr>
          <w:p w14:paraId="297F5087" w14:textId="77777777" w:rsidR="00571EAF" w:rsidRPr="006D6D77" w:rsidRDefault="00571EAF" w:rsidP="00571EAF">
            <w:pPr>
              <w:spacing w:after="0" w:line="240" w:lineRule="auto"/>
              <w:jc w:val="center"/>
              <w:rPr>
                <w:rFonts w:ascii="Times New Roman" w:eastAsia="Times New Roman" w:hAnsi="Times New Roman" w:cs="Times New Roman"/>
                <w:b/>
                <w:bCs/>
                <w:sz w:val="18"/>
                <w:szCs w:val="18"/>
              </w:rPr>
            </w:pPr>
          </w:p>
        </w:tc>
      </w:tr>
      <w:tr w:rsidR="00B26E71" w:rsidRPr="0086165A" w14:paraId="6EC08DA7" w14:textId="77777777" w:rsidTr="00B26E71">
        <w:trPr>
          <w:trHeight w:val="1275"/>
        </w:trPr>
        <w:tc>
          <w:tcPr>
            <w:tcW w:w="197" w:type="pct"/>
            <w:tcBorders>
              <w:top w:val="nil"/>
              <w:left w:val="single" w:sz="8" w:space="0" w:color="auto"/>
              <w:bottom w:val="single" w:sz="8" w:space="0" w:color="auto"/>
              <w:right w:val="single" w:sz="8" w:space="0" w:color="auto"/>
            </w:tcBorders>
            <w:shd w:val="clear" w:color="000000" w:fill="BDD6EE"/>
            <w:vAlign w:val="center"/>
            <w:hideMark/>
          </w:tcPr>
          <w:p w14:paraId="21450E6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633" w:type="pct"/>
            <w:tcBorders>
              <w:top w:val="nil"/>
              <w:left w:val="nil"/>
              <w:bottom w:val="nil"/>
              <w:right w:val="single" w:sz="8" w:space="0" w:color="auto"/>
            </w:tcBorders>
            <w:shd w:val="clear" w:color="000000" w:fill="BDD6EE"/>
            <w:vAlign w:val="center"/>
            <w:hideMark/>
          </w:tcPr>
          <w:p w14:paraId="71457148"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Strategic and specific objectives, indicators and actions</w:t>
            </w:r>
          </w:p>
        </w:tc>
        <w:tc>
          <w:tcPr>
            <w:tcW w:w="967" w:type="pct"/>
            <w:gridSpan w:val="3"/>
            <w:tcBorders>
              <w:top w:val="single" w:sz="8" w:space="0" w:color="auto"/>
              <w:left w:val="nil"/>
              <w:bottom w:val="nil"/>
              <w:right w:val="single" w:sz="8" w:space="0" w:color="000000"/>
            </w:tcBorders>
            <w:shd w:val="clear" w:color="000000" w:fill="BDD6EE"/>
            <w:vAlign w:val="center"/>
            <w:hideMark/>
          </w:tcPr>
          <w:p w14:paraId="1017D36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Baseline value</w:t>
            </w:r>
          </w:p>
        </w:tc>
        <w:tc>
          <w:tcPr>
            <w:tcW w:w="735" w:type="pct"/>
            <w:gridSpan w:val="2"/>
            <w:tcBorders>
              <w:top w:val="single" w:sz="8" w:space="0" w:color="auto"/>
              <w:left w:val="nil"/>
              <w:bottom w:val="single" w:sz="8" w:space="0" w:color="auto"/>
              <w:right w:val="single" w:sz="8" w:space="0" w:color="000000"/>
            </w:tcBorders>
            <w:shd w:val="clear" w:color="000000" w:fill="BDD6EE"/>
            <w:vAlign w:val="center"/>
            <w:hideMark/>
          </w:tcPr>
          <w:p w14:paraId="7D155D1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Interim objective</w:t>
            </w:r>
            <w:r>
              <w:rPr>
                <w:rFonts w:ascii="Times New Roman" w:hAnsi="Times New Roman"/>
                <w:b/>
                <w:sz w:val="18"/>
              </w:rPr>
              <w:br/>
              <w:t>2025</w:t>
            </w:r>
          </w:p>
        </w:tc>
        <w:tc>
          <w:tcPr>
            <w:tcW w:w="400" w:type="pct"/>
            <w:tcBorders>
              <w:top w:val="nil"/>
              <w:left w:val="nil"/>
              <w:bottom w:val="nil"/>
              <w:right w:val="single" w:sz="8" w:space="0" w:color="auto"/>
            </w:tcBorders>
            <w:shd w:val="clear" w:color="000000" w:fill="BDD6EE"/>
            <w:vAlign w:val="center"/>
            <w:hideMark/>
          </w:tcPr>
          <w:p w14:paraId="37A163A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301" w:type="pct"/>
            <w:gridSpan w:val="3"/>
            <w:tcBorders>
              <w:top w:val="single" w:sz="8" w:space="0" w:color="auto"/>
              <w:left w:val="nil"/>
              <w:bottom w:val="nil"/>
              <w:right w:val="single" w:sz="8" w:space="0" w:color="000000"/>
            </w:tcBorders>
            <w:shd w:val="clear" w:color="000000" w:fill="BDD6EE"/>
            <w:vAlign w:val="center"/>
            <w:hideMark/>
          </w:tcPr>
          <w:p w14:paraId="4578899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Result</w:t>
            </w:r>
          </w:p>
        </w:tc>
        <w:tc>
          <w:tcPr>
            <w:tcW w:w="767" w:type="pct"/>
            <w:tcBorders>
              <w:top w:val="nil"/>
              <w:left w:val="nil"/>
              <w:bottom w:val="nil"/>
              <w:right w:val="nil"/>
            </w:tcBorders>
            <w:shd w:val="clear" w:color="auto" w:fill="auto"/>
            <w:noWrap/>
            <w:vAlign w:val="bottom"/>
            <w:hideMark/>
          </w:tcPr>
          <w:p w14:paraId="3C42EE6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B26E71" w:rsidRPr="0086165A" w14:paraId="2DF9F32D" w14:textId="77777777" w:rsidTr="00B26E71">
        <w:trPr>
          <w:trHeight w:val="330"/>
        </w:trPr>
        <w:tc>
          <w:tcPr>
            <w:tcW w:w="197" w:type="pct"/>
            <w:tcBorders>
              <w:top w:val="nil"/>
              <w:left w:val="single" w:sz="8" w:space="0" w:color="auto"/>
              <w:bottom w:val="single" w:sz="8" w:space="0" w:color="auto"/>
              <w:right w:val="single" w:sz="8" w:space="0" w:color="auto"/>
            </w:tcBorders>
            <w:shd w:val="clear" w:color="000000" w:fill="BFBFBF"/>
            <w:vAlign w:val="center"/>
            <w:hideMark/>
          </w:tcPr>
          <w:p w14:paraId="6C072E4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IV.</w:t>
            </w:r>
          </w:p>
        </w:tc>
        <w:tc>
          <w:tcPr>
            <w:tcW w:w="4037" w:type="pct"/>
            <w:gridSpan w:val="10"/>
            <w:tcBorders>
              <w:top w:val="single" w:sz="8" w:space="0" w:color="auto"/>
              <w:left w:val="nil"/>
              <w:bottom w:val="single" w:sz="8" w:space="0" w:color="auto"/>
              <w:right w:val="single" w:sz="8" w:space="0" w:color="000000"/>
            </w:tcBorders>
            <w:shd w:val="clear" w:color="000000" w:fill="BFBFBF"/>
            <w:vAlign w:val="center"/>
            <w:hideMark/>
          </w:tcPr>
          <w:p w14:paraId="6A869E13"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STRATEGIC OBJECTIVE 4: STRENGTHENING REGIONAL COOPERATION AND MARKET FUNCTIONING</w:t>
            </w:r>
          </w:p>
        </w:tc>
        <w:tc>
          <w:tcPr>
            <w:tcW w:w="767" w:type="pct"/>
            <w:tcBorders>
              <w:top w:val="nil"/>
              <w:left w:val="nil"/>
              <w:bottom w:val="nil"/>
              <w:right w:val="nil"/>
            </w:tcBorders>
            <w:shd w:val="clear" w:color="auto" w:fill="auto"/>
            <w:noWrap/>
            <w:vAlign w:val="bottom"/>
            <w:hideMark/>
          </w:tcPr>
          <w:p w14:paraId="496B21B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48127C64" w14:textId="77777777" w:rsidTr="00B26E71">
        <w:trPr>
          <w:trHeight w:val="1275"/>
        </w:trPr>
        <w:tc>
          <w:tcPr>
            <w:tcW w:w="197" w:type="pct"/>
            <w:tcBorders>
              <w:top w:val="nil"/>
              <w:left w:val="single" w:sz="8" w:space="0" w:color="auto"/>
              <w:bottom w:val="nil"/>
              <w:right w:val="single" w:sz="8" w:space="0" w:color="auto"/>
            </w:tcBorders>
            <w:shd w:val="clear" w:color="auto" w:fill="auto"/>
            <w:vAlign w:val="center"/>
            <w:hideMark/>
          </w:tcPr>
          <w:p w14:paraId="68F2E2E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633" w:type="pct"/>
            <w:tcBorders>
              <w:top w:val="nil"/>
              <w:left w:val="nil"/>
              <w:bottom w:val="nil"/>
              <w:right w:val="single" w:sz="8" w:space="0" w:color="auto"/>
            </w:tcBorders>
            <w:shd w:val="clear" w:color="auto" w:fill="auto"/>
            <w:vAlign w:val="center"/>
            <w:hideMark/>
          </w:tcPr>
          <w:p w14:paraId="48F8BFA5" w14:textId="77777777" w:rsidR="00571EAF" w:rsidRPr="0086165A" w:rsidRDefault="00733C60" w:rsidP="00571EAF">
            <w:pPr>
              <w:spacing w:after="0" w:line="240" w:lineRule="auto"/>
              <w:rPr>
                <w:rFonts w:ascii="Times New Roman" w:eastAsia="Times New Roman" w:hAnsi="Times New Roman" w:cs="Times New Roman"/>
                <w:sz w:val="18"/>
                <w:szCs w:val="18"/>
              </w:rPr>
            </w:pPr>
            <w:r>
              <w:rPr>
                <w:rFonts w:ascii="Times New Roman" w:hAnsi="Times New Roman"/>
                <w:sz w:val="18"/>
              </w:rPr>
              <w:t>Market integration into pan-European electricity markets</w:t>
            </w:r>
          </w:p>
        </w:tc>
        <w:tc>
          <w:tcPr>
            <w:tcW w:w="967" w:type="pct"/>
            <w:gridSpan w:val="3"/>
            <w:tcBorders>
              <w:top w:val="single" w:sz="8" w:space="0" w:color="auto"/>
              <w:left w:val="nil"/>
              <w:bottom w:val="nil"/>
              <w:right w:val="single" w:sz="8" w:space="0" w:color="000000"/>
            </w:tcBorders>
            <w:shd w:val="clear" w:color="auto" w:fill="auto"/>
            <w:vAlign w:val="center"/>
            <w:hideMark/>
          </w:tcPr>
          <w:p w14:paraId="09DCE81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t>Non in place.</w:t>
            </w:r>
          </w:p>
        </w:tc>
        <w:tc>
          <w:tcPr>
            <w:tcW w:w="735" w:type="pct"/>
            <w:gridSpan w:val="2"/>
            <w:tcBorders>
              <w:top w:val="single" w:sz="8" w:space="0" w:color="auto"/>
              <w:left w:val="nil"/>
              <w:bottom w:val="nil"/>
              <w:right w:val="single" w:sz="8" w:space="0" w:color="000000"/>
            </w:tcBorders>
            <w:shd w:val="clear" w:color="auto" w:fill="auto"/>
            <w:vAlign w:val="center"/>
            <w:hideMark/>
          </w:tcPr>
          <w:p w14:paraId="7AC0C1AC"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Market integration </w:t>
            </w:r>
            <w:r>
              <w:rPr>
                <w:rFonts w:ascii="Times New Roman" w:hAnsi="Times New Roman"/>
                <w:sz w:val="18"/>
              </w:rPr>
              <w:br/>
              <w:t xml:space="preserve">with Albania </w:t>
            </w:r>
            <w:r>
              <w:rPr>
                <w:rFonts w:ascii="Times New Roman" w:hAnsi="Times New Roman"/>
                <w:sz w:val="18"/>
              </w:rPr>
              <w:br/>
              <w:t>2023.</w:t>
            </w:r>
          </w:p>
        </w:tc>
        <w:tc>
          <w:tcPr>
            <w:tcW w:w="400" w:type="pct"/>
            <w:tcBorders>
              <w:top w:val="nil"/>
              <w:left w:val="nil"/>
              <w:bottom w:val="nil"/>
              <w:right w:val="single" w:sz="8" w:space="0" w:color="auto"/>
            </w:tcBorders>
            <w:shd w:val="clear" w:color="auto" w:fill="auto"/>
            <w:vAlign w:val="center"/>
            <w:hideMark/>
          </w:tcPr>
          <w:p w14:paraId="4FD2E556"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Membership in the </w:t>
            </w:r>
            <w:r>
              <w:rPr>
                <w:rFonts w:ascii="Times New Roman" w:hAnsi="Times New Roman"/>
                <w:sz w:val="18"/>
              </w:rPr>
              <w:br/>
              <w:t xml:space="preserve">pan-European </w:t>
            </w:r>
            <w:r>
              <w:rPr>
                <w:rFonts w:ascii="Times New Roman" w:hAnsi="Times New Roman"/>
                <w:sz w:val="18"/>
              </w:rPr>
              <w:br/>
              <w:t>market area</w:t>
            </w:r>
          </w:p>
        </w:tc>
        <w:tc>
          <w:tcPr>
            <w:tcW w:w="1301" w:type="pct"/>
            <w:gridSpan w:val="3"/>
            <w:tcBorders>
              <w:top w:val="single" w:sz="8" w:space="0" w:color="auto"/>
              <w:left w:val="nil"/>
              <w:bottom w:val="nil"/>
              <w:right w:val="single" w:sz="8" w:space="0" w:color="000000"/>
            </w:tcBorders>
            <w:shd w:val="clear" w:color="auto" w:fill="auto"/>
            <w:vAlign w:val="center"/>
            <w:hideMark/>
          </w:tcPr>
          <w:p w14:paraId="68B4E5D6"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767" w:type="pct"/>
            <w:tcBorders>
              <w:top w:val="nil"/>
              <w:left w:val="nil"/>
              <w:bottom w:val="nil"/>
              <w:right w:val="nil"/>
            </w:tcBorders>
            <w:shd w:val="clear" w:color="auto" w:fill="auto"/>
            <w:noWrap/>
            <w:vAlign w:val="bottom"/>
            <w:hideMark/>
          </w:tcPr>
          <w:p w14:paraId="7EE23B86" w14:textId="77777777" w:rsidR="00571EAF" w:rsidRPr="006D6D77" w:rsidRDefault="00571EAF" w:rsidP="00571EAF">
            <w:pPr>
              <w:spacing w:after="0" w:line="240" w:lineRule="auto"/>
              <w:rPr>
                <w:rFonts w:ascii="Times New Roman" w:eastAsia="Times New Roman" w:hAnsi="Times New Roman" w:cs="Times New Roman"/>
                <w:sz w:val="18"/>
                <w:szCs w:val="18"/>
              </w:rPr>
            </w:pPr>
          </w:p>
        </w:tc>
      </w:tr>
      <w:tr w:rsidR="00B26E71" w:rsidRPr="0086165A" w14:paraId="743A1782" w14:textId="77777777" w:rsidTr="00B26E71">
        <w:trPr>
          <w:trHeight w:val="330"/>
        </w:trPr>
        <w:tc>
          <w:tcPr>
            <w:tcW w:w="197"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83AD3C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IV.1</w:t>
            </w:r>
          </w:p>
        </w:tc>
        <w:tc>
          <w:tcPr>
            <w:tcW w:w="4037" w:type="pct"/>
            <w:gridSpan w:val="10"/>
            <w:tcBorders>
              <w:top w:val="single" w:sz="8" w:space="0" w:color="auto"/>
              <w:left w:val="nil"/>
              <w:bottom w:val="single" w:sz="8" w:space="0" w:color="auto"/>
              <w:right w:val="single" w:sz="8" w:space="0" w:color="000000"/>
            </w:tcBorders>
            <w:shd w:val="clear" w:color="000000" w:fill="D9D9D9"/>
            <w:vAlign w:val="center"/>
            <w:hideMark/>
          </w:tcPr>
          <w:p w14:paraId="53DB761F" w14:textId="77777777" w:rsidR="00571EAF" w:rsidRPr="0014539F"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Strengthening regional cooperation</w:t>
            </w:r>
          </w:p>
        </w:tc>
        <w:tc>
          <w:tcPr>
            <w:tcW w:w="767" w:type="pct"/>
            <w:tcBorders>
              <w:top w:val="nil"/>
              <w:left w:val="nil"/>
              <w:bottom w:val="nil"/>
              <w:right w:val="nil"/>
            </w:tcBorders>
            <w:shd w:val="clear" w:color="auto" w:fill="auto"/>
            <w:noWrap/>
            <w:vAlign w:val="bottom"/>
            <w:hideMark/>
          </w:tcPr>
          <w:p w14:paraId="254F74A1" w14:textId="77777777" w:rsidR="00571EAF" w:rsidRPr="006D6D77"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61D80AB6" w14:textId="77777777" w:rsidTr="00B26E71">
        <w:trPr>
          <w:trHeight w:val="960"/>
        </w:trPr>
        <w:tc>
          <w:tcPr>
            <w:tcW w:w="197" w:type="pct"/>
            <w:tcBorders>
              <w:top w:val="nil"/>
              <w:left w:val="single" w:sz="8" w:space="0" w:color="auto"/>
              <w:bottom w:val="single" w:sz="8" w:space="0" w:color="auto"/>
              <w:right w:val="single" w:sz="8" w:space="0" w:color="auto"/>
            </w:tcBorders>
            <w:shd w:val="clear" w:color="000000" w:fill="D0CECE"/>
            <w:vAlign w:val="center"/>
            <w:hideMark/>
          </w:tcPr>
          <w:p w14:paraId="73A4B9F4" w14:textId="77777777" w:rsidR="00571EAF" w:rsidRPr="0014539F"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633" w:type="pct"/>
            <w:tcBorders>
              <w:top w:val="nil"/>
              <w:left w:val="nil"/>
              <w:bottom w:val="nil"/>
              <w:right w:val="single" w:sz="8" w:space="0" w:color="auto"/>
            </w:tcBorders>
            <w:shd w:val="clear" w:color="000000" w:fill="D0CECE"/>
            <w:vAlign w:val="center"/>
            <w:hideMark/>
          </w:tcPr>
          <w:p w14:paraId="117EBCD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67" w:type="pct"/>
            <w:gridSpan w:val="3"/>
            <w:tcBorders>
              <w:top w:val="single" w:sz="8" w:space="0" w:color="auto"/>
              <w:left w:val="nil"/>
              <w:bottom w:val="single" w:sz="8" w:space="0" w:color="auto"/>
              <w:right w:val="nil"/>
            </w:tcBorders>
            <w:shd w:val="clear" w:color="000000" w:fill="D9D9D9"/>
            <w:vAlign w:val="center"/>
            <w:hideMark/>
          </w:tcPr>
          <w:p w14:paraId="461FD0B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735" w:type="pct"/>
            <w:gridSpan w:val="2"/>
            <w:tcBorders>
              <w:top w:val="single" w:sz="8" w:space="0" w:color="auto"/>
              <w:left w:val="single" w:sz="8" w:space="0" w:color="auto"/>
              <w:bottom w:val="single" w:sz="8" w:space="0" w:color="auto"/>
              <w:right w:val="nil"/>
            </w:tcBorders>
            <w:shd w:val="clear" w:color="000000" w:fill="D9D9D9"/>
            <w:vAlign w:val="center"/>
            <w:hideMark/>
          </w:tcPr>
          <w:p w14:paraId="4D97987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400" w:type="pct"/>
            <w:tcBorders>
              <w:top w:val="nil"/>
              <w:left w:val="single" w:sz="8" w:space="0" w:color="auto"/>
              <w:bottom w:val="single" w:sz="8" w:space="0" w:color="auto"/>
              <w:right w:val="single" w:sz="8" w:space="0" w:color="auto"/>
            </w:tcBorders>
            <w:shd w:val="clear" w:color="000000" w:fill="D9D9D9"/>
            <w:vAlign w:val="center"/>
            <w:hideMark/>
          </w:tcPr>
          <w:p w14:paraId="4BC0AA6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301" w:type="pct"/>
            <w:gridSpan w:val="3"/>
            <w:tcBorders>
              <w:top w:val="single" w:sz="8" w:space="0" w:color="auto"/>
              <w:left w:val="nil"/>
              <w:bottom w:val="single" w:sz="8" w:space="0" w:color="auto"/>
              <w:right w:val="single" w:sz="8" w:space="0" w:color="000000"/>
            </w:tcBorders>
            <w:shd w:val="clear" w:color="000000" w:fill="D9D9D9"/>
            <w:vAlign w:val="center"/>
            <w:hideMark/>
          </w:tcPr>
          <w:p w14:paraId="395517F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767" w:type="pct"/>
            <w:tcBorders>
              <w:top w:val="nil"/>
              <w:left w:val="nil"/>
              <w:bottom w:val="nil"/>
              <w:right w:val="nil"/>
            </w:tcBorders>
            <w:shd w:val="clear" w:color="auto" w:fill="auto"/>
            <w:noWrap/>
            <w:vAlign w:val="bottom"/>
            <w:hideMark/>
          </w:tcPr>
          <w:p w14:paraId="1085389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B26E71" w:rsidRPr="0086165A" w14:paraId="3687A40A" w14:textId="77777777" w:rsidTr="00B26E71">
        <w:trPr>
          <w:trHeight w:val="960"/>
        </w:trPr>
        <w:tc>
          <w:tcPr>
            <w:tcW w:w="197" w:type="pct"/>
            <w:tcBorders>
              <w:top w:val="nil"/>
              <w:left w:val="single" w:sz="8" w:space="0" w:color="auto"/>
              <w:bottom w:val="nil"/>
              <w:right w:val="single" w:sz="8" w:space="0" w:color="auto"/>
            </w:tcBorders>
            <w:shd w:val="clear" w:color="auto" w:fill="auto"/>
            <w:vAlign w:val="center"/>
            <w:hideMark/>
          </w:tcPr>
          <w:p w14:paraId="381FC18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633" w:type="pct"/>
            <w:tcBorders>
              <w:top w:val="single" w:sz="8" w:space="0" w:color="auto"/>
              <w:left w:val="nil"/>
              <w:bottom w:val="nil"/>
              <w:right w:val="single" w:sz="8" w:space="0" w:color="auto"/>
            </w:tcBorders>
            <w:shd w:val="clear" w:color="auto" w:fill="auto"/>
            <w:vAlign w:val="center"/>
            <w:hideMark/>
          </w:tcPr>
          <w:p w14:paraId="354F6674"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Offered cross-border capacity</w:t>
            </w:r>
            <w:r>
              <w:rPr>
                <w:rFonts w:ascii="Times New Roman" w:hAnsi="Times New Roman"/>
                <w:sz w:val="18"/>
              </w:rPr>
              <w:br/>
              <w:t>/Nominal cross-border capacity</w:t>
            </w:r>
          </w:p>
        </w:tc>
        <w:tc>
          <w:tcPr>
            <w:tcW w:w="967" w:type="pct"/>
            <w:gridSpan w:val="3"/>
            <w:tcBorders>
              <w:top w:val="single" w:sz="8" w:space="0" w:color="auto"/>
              <w:left w:val="nil"/>
              <w:bottom w:val="single" w:sz="8" w:space="0" w:color="auto"/>
              <w:right w:val="single" w:sz="8" w:space="0" w:color="000000"/>
            </w:tcBorders>
            <w:shd w:val="clear" w:color="auto" w:fill="auto"/>
            <w:hideMark/>
          </w:tcPr>
          <w:p w14:paraId="421A3BE5" w14:textId="77777777" w:rsidR="00571EAF" w:rsidRPr="0086165A" w:rsidRDefault="00571EAF" w:rsidP="00571EAF">
            <w:pPr>
              <w:spacing w:after="240" w:line="240" w:lineRule="auto"/>
              <w:jc w:val="center"/>
              <w:rPr>
                <w:rFonts w:ascii="Times New Roman" w:eastAsia="Times New Roman" w:hAnsi="Times New Roman" w:cs="Times New Roman"/>
                <w:sz w:val="18"/>
                <w:szCs w:val="18"/>
              </w:rPr>
            </w:pPr>
            <w:r>
              <w:rPr>
                <w:rFonts w:ascii="Times New Roman" w:hAnsi="Times New Roman"/>
                <w:sz w:val="18"/>
              </w:rPr>
              <w:br/>
              <w:t xml:space="preserve">Export: 22-24%, </w:t>
            </w:r>
            <w:r>
              <w:rPr>
                <w:rFonts w:ascii="Times New Roman" w:hAnsi="Times New Roman"/>
                <w:sz w:val="18"/>
              </w:rPr>
              <w:br/>
              <w:t>Import: 24-26%</w:t>
            </w:r>
          </w:p>
        </w:tc>
        <w:tc>
          <w:tcPr>
            <w:tcW w:w="735" w:type="pct"/>
            <w:gridSpan w:val="2"/>
            <w:tcBorders>
              <w:top w:val="single" w:sz="8" w:space="0" w:color="auto"/>
              <w:left w:val="nil"/>
              <w:bottom w:val="single" w:sz="8" w:space="0" w:color="auto"/>
              <w:right w:val="single" w:sz="8" w:space="0" w:color="000000"/>
            </w:tcBorders>
            <w:shd w:val="clear" w:color="auto" w:fill="auto"/>
            <w:vAlign w:val="center"/>
            <w:hideMark/>
          </w:tcPr>
          <w:p w14:paraId="03788C2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Each direction</w:t>
            </w:r>
            <w:r>
              <w:rPr>
                <w:rFonts w:ascii="Times New Roman" w:hAnsi="Times New Roman"/>
                <w:sz w:val="18"/>
              </w:rPr>
              <w:br/>
              <w:t>minimum 28-30%</w:t>
            </w:r>
          </w:p>
        </w:tc>
        <w:tc>
          <w:tcPr>
            <w:tcW w:w="400" w:type="pct"/>
            <w:tcBorders>
              <w:top w:val="nil"/>
              <w:left w:val="nil"/>
              <w:bottom w:val="nil"/>
              <w:right w:val="single" w:sz="8" w:space="0" w:color="auto"/>
            </w:tcBorders>
            <w:shd w:val="clear" w:color="auto" w:fill="auto"/>
            <w:vAlign w:val="center"/>
            <w:hideMark/>
          </w:tcPr>
          <w:p w14:paraId="42A62E8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Each direction 70%.</w:t>
            </w:r>
          </w:p>
        </w:tc>
        <w:tc>
          <w:tcPr>
            <w:tcW w:w="1301" w:type="pct"/>
            <w:gridSpan w:val="3"/>
            <w:tcBorders>
              <w:top w:val="single" w:sz="8" w:space="0" w:color="auto"/>
              <w:left w:val="nil"/>
              <w:bottom w:val="nil"/>
              <w:right w:val="single" w:sz="8" w:space="0" w:color="000000"/>
            </w:tcBorders>
            <w:shd w:val="clear" w:color="000000" w:fill="FFFFFF"/>
            <w:vAlign w:val="center"/>
            <w:hideMark/>
          </w:tcPr>
          <w:p w14:paraId="7C52DF61"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767" w:type="pct"/>
            <w:tcBorders>
              <w:top w:val="nil"/>
              <w:left w:val="nil"/>
              <w:bottom w:val="nil"/>
              <w:right w:val="nil"/>
            </w:tcBorders>
            <w:shd w:val="clear" w:color="auto" w:fill="auto"/>
            <w:noWrap/>
            <w:vAlign w:val="bottom"/>
            <w:hideMark/>
          </w:tcPr>
          <w:p w14:paraId="1250883F"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4A694D" w:rsidRPr="0086165A" w14:paraId="627844D4" w14:textId="77777777" w:rsidTr="00B26E71">
        <w:trPr>
          <w:trHeight w:val="315"/>
        </w:trPr>
        <w:tc>
          <w:tcPr>
            <w:tcW w:w="19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CACF49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63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230205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6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B55A17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435" w:type="pct"/>
            <w:gridSpan w:val="4"/>
            <w:tcBorders>
              <w:top w:val="single" w:sz="8" w:space="0" w:color="auto"/>
              <w:left w:val="nil"/>
              <w:bottom w:val="single" w:sz="8" w:space="0" w:color="auto"/>
              <w:right w:val="nil"/>
            </w:tcBorders>
            <w:shd w:val="clear" w:color="000000" w:fill="D9D9D9"/>
            <w:vAlign w:val="center"/>
            <w:hideMark/>
          </w:tcPr>
          <w:p w14:paraId="4F212A3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40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65DC99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50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70C5E0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435"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07F41A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6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D057B3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76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65553B0" w14:textId="77777777" w:rsidR="00571EAF" w:rsidRPr="0086165A" w:rsidRDefault="000532B1" w:rsidP="005D6B3A">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Implementation progress for 2024</w:t>
            </w:r>
          </w:p>
        </w:tc>
      </w:tr>
      <w:tr w:rsidR="00B26E71" w:rsidRPr="0086165A" w14:paraId="66925B44" w14:textId="77777777" w:rsidTr="00B26E71">
        <w:trPr>
          <w:trHeight w:val="315"/>
        </w:trPr>
        <w:tc>
          <w:tcPr>
            <w:tcW w:w="197" w:type="pct"/>
            <w:vMerge/>
            <w:tcBorders>
              <w:top w:val="single" w:sz="8" w:space="0" w:color="auto"/>
              <w:left w:val="single" w:sz="8" w:space="0" w:color="auto"/>
              <w:bottom w:val="single" w:sz="8" w:space="0" w:color="000000"/>
              <w:right w:val="single" w:sz="8" w:space="0" w:color="auto"/>
            </w:tcBorders>
            <w:vAlign w:val="center"/>
            <w:hideMark/>
          </w:tcPr>
          <w:p w14:paraId="3AF5543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33" w:type="pct"/>
            <w:vMerge/>
            <w:tcBorders>
              <w:top w:val="single" w:sz="8" w:space="0" w:color="auto"/>
              <w:left w:val="single" w:sz="8" w:space="0" w:color="auto"/>
              <w:bottom w:val="single" w:sz="8" w:space="0" w:color="000000"/>
              <w:right w:val="single" w:sz="8" w:space="0" w:color="auto"/>
            </w:tcBorders>
            <w:vAlign w:val="center"/>
            <w:hideMark/>
          </w:tcPr>
          <w:p w14:paraId="70AC2AE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67" w:type="pct"/>
            <w:vMerge/>
            <w:tcBorders>
              <w:top w:val="nil"/>
              <w:left w:val="single" w:sz="8" w:space="0" w:color="auto"/>
              <w:bottom w:val="single" w:sz="8" w:space="0" w:color="000000"/>
              <w:right w:val="single" w:sz="8" w:space="0" w:color="auto"/>
            </w:tcBorders>
            <w:vAlign w:val="center"/>
            <w:hideMark/>
          </w:tcPr>
          <w:p w14:paraId="17F6BBD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00" w:type="pct"/>
            <w:tcBorders>
              <w:top w:val="nil"/>
              <w:left w:val="nil"/>
              <w:bottom w:val="nil"/>
              <w:right w:val="single" w:sz="8" w:space="0" w:color="auto"/>
            </w:tcBorders>
            <w:shd w:val="clear" w:color="000000" w:fill="D9D9D9"/>
            <w:vAlign w:val="center"/>
            <w:hideMark/>
          </w:tcPr>
          <w:p w14:paraId="6F91959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0" w:type="pct"/>
            <w:tcBorders>
              <w:top w:val="nil"/>
              <w:left w:val="nil"/>
              <w:bottom w:val="nil"/>
              <w:right w:val="nil"/>
            </w:tcBorders>
            <w:shd w:val="clear" w:color="000000" w:fill="D9D9D9"/>
            <w:vAlign w:val="center"/>
            <w:hideMark/>
          </w:tcPr>
          <w:p w14:paraId="3F25150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1" w:type="pct"/>
            <w:tcBorders>
              <w:top w:val="nil"/>
              <w:left w:val="nil"/>
              <w:bottom w:val="nil"/>
              <w:right w:val="single" w:sz="8" w:space="0" w:color="auto"/>
            </w:tcBorders>
            <w:shd w:val="clear" w:color="000000" w:fill="D9D9D9"/>
            <w:vAlign w:val="center"/>
            <w:hideMark/>
          </w:tcPr>
          <w:p w14:paraId="0CA39C1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34" w:type="pct"/>
            <w:tcBorders>
              <w:top w:val="nil"/>
              <w:left w:val="nil"/>
              <w:bottom w:val="nil"/>
              <w:right w:val="single" w:sz="8" w:space="0" w:color="auto"/>
            </w:tcBorders>
            <w:shd w:val="clear" w:color="000000" w:fill="D9D9D9"/>
            <w:vAlign w:val="center"/>
            <w:hideMark/>
          </w:tcPr>
          <w:p w14:paraId="7BA8A25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0" w:type="pct"/>
            <w:vMerge/>
            <w:tcBorders>
              <w:top w:val="single" w:sz="8" w:space="0" w:color="auto"/>
              <w:left w:val="single" w:sz="8" w:space="0" w:color="auto"/>
              <w:bottom w:val="single" w:sz="8" w:space="0" w:color="000000"/>
              <w:right w:val="single" w:sz="8" w:space="0" w:color="auto"/>
            </w:tcBorders>
            <w:vAlign w:val="center"/>
            <w:hideMark/>
          </w:tcPr>
          <w:p w14:paraId="0F69622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500" w:type="pct"/>
            <w:vMerge/>
            <w:tcBorders>
              <w:top w:val="single" w:sz="8" w:space="0" w:color="auto"/>
              <w:left w:val="single" w:sz="8" w:space="0" w:color="auto"/>
              <w:bottom w:val="single" w:sz="8" w:space="0" w:color="000000"/>
              <w:right w:val="single" w:sz="8" w:space="0" w:color="auto"/>
            </w:tcBorders>
            <w:vAlign w:val="center"/>
            <w:hideMark/>
          </w:tcPr>
          <w:p w14:paraId="58E6B3E7"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35" w:type="pct"/>
            <w:vMerge/>
            <w:tcBorders>
              <w:top w:val="single" w:sz="8" w:space="0" w:color="auto"/>
              <w:left w:val="single" w:sz="8" w:space="0" w:color="auto"/>
              <w:bottom w:val="single" w:sz="8" w:space="0" w:color="000000"/>
              <w:right w:val="single" w:sz="8" w:space="0" w:color="auto"/>
            </w:tcBorders>
            <w:vAlign w:val="center"/>
            <w:hideMark/>
          </w:tcPr>
          <w:p w14:paraId="259080E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6" w:type="pct"/>
            <w:vMerge/>
            <w:tcBorders>
              <w:top w:val="single" w:sz="8" w:space="0" w:color="auto"/>
              <w:left w:val="single" w:sz="8" w:space="0" w:color="auto"/>
              <w:bottom w:val="single" w:sz="8" w:space="0" w:color="000000"/>
              <w:right w:val="single" w:sz="8" w:space="0" w:color="auto"/>
            </w:tcBorders>
            <w:vAlign w:val="center"/>
            <w:hideMark/>
          </w:tcPr>
          <w:p w14:paraId="33AF066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767" w:type="pct"/>
            <w:vMerge/>
            <w:tcBorders>
              <w:top w:val="single" w:sz="8" w:space="0" w:color="auto"/>
              <w:left w:val="single" w:sz="8" w:space="0" w:color="auto"/>
              <w:bottom w:val="single" w:sz="8" w:space="0" w:color="000000"/>
              <w:right w:val="single" w:sz="8" w:space="0" w:color="auto"/>
            </w:tcBorders>
            <w:vAlign w:val="center"/>
            <w:hideMark/>
          </w:tcPr>
          <w:p w14:paraId="5C954C0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67FE44DB" w14:textId="77777777" w:rsidTr="00B26E71">
        <w:trPr>
          <w:trHeight w:val="330"/>
        </w:trPr>
        <w:tc>
          <w:tcPr>
            <w:tcW w:w="197" w:type="pct"/>
            <w:vMerge/>
            <w:tcBorders>
              <w:top w:val="single" w:sz="8" w:space="0" w:color="auto"/>
              <w:left w:val="single" w:sz="8" w:space="0" w:color="auto"/>
              <w:bottom w:val="single" w:sz="8" w:space="0" w:color="000000"/>
              <w:right w:val="single" w:sz="8" w:space="0" w:color="auto"/>
            </w:tcBorders>
            <w:vAlign w:val="center"/>
            <w:hideMark/>
          </w:tcPr>
          <w:p w14:paraId="17C43EC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33" w:type="pct"/>
            <w:vMerge/>
            <w:tcBorders>
              <w:top w:val="single" w:sz="8" w:space="0" w:color="auto"/>
              <w:left w:val="single" w:sz="8" w:space="0" w:color="auto"/>
              <w:bottom w:val="single" w:sz="8" w:space="0" w:color="000000"/>
              <w:right w:val="single" w:sz="8" w:space="0" w:color="auto"/>
            </w:tcBorders>
            <w:vAlign w:val="center"/>
            <w:hideMark/>
          </w:tcPr>
          <w:p w14:paraId="5EA95AE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67" w:type="pct"/>
            <w:vMerge/>
            <w:tcBorders>
              <w:top w:val="nil"/>
              <w:left w:val="single" w:sz="8" w:space="0" w:color="auto"/>
              <w:bottom w:val="single" w:sz="8" w:space="0" w:color="000000"/>
              <w:right w:val="single" w:sz="8" w:space="0" w:color="auto"/>
            </w:tcBorders>
            <w:vAlign w:val="center"/>
            <w:hideMark/>
          </w:tcPr>
          <w:p w14:paraId="2210CDA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00" w:type="pct"/>
            <w:tcBorders>
              <w:top w:val="nil"/>
              <w:left w:val="nil"/>
              <w:bottom w:val="single" w:sz="8" w:space="0" w:color="auto"/>
              <w:right w:val="single" w:sz="8" w:space="0" w:color="auto"/>
            </w:tcBorders>
            <w:shd w:val="clear" w:color="000000" w:fill="D9D9D9"/>
            <w:vAlign w:val="center"/>
            <w:hideMark/>
          </w:tcPr>
          <w:p w14:paraId="79AF081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400" w:type="pct"/>
            <w:tcBorders>
              <w:top w:val="nil"/>
              <w:left w:val="nil"/>
              <w:bottom w:val="single" w:sz="8" w:space="0" w:color="auto"/>
              <w:right w:val="nil"/>
            </w:tcBorders>
            <w:shd w:val="clear" w:color="000000" w:fill="D9D9D9"/>
            <w:vAlign w:val="center"/>
            <w:hideMark/>
          </w:tcPr>
          <w:p w14:paraId="4AD63492"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401" w:type="pct"/>
            <w:tcBorders>
              <w:top w:val="nil"/>
              <w:left w:val="nil"/>
              <w:bottom w:val="single" w:sz="8" w:space="0" w:color="auto"/>
              <w:right w:val="single" w:sz="8" w:space="0" w:color="auto"/>
            </w:tcBorders>
            <w:shd w:val="clear" w:color="000000" w:fill="D9D9D9"/>
            <w:vAlign w:val="center"/>
            <w:hideMark/>
          </w:tcPr>
          <w:p w14:paraId="16AB933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334" w:type="pct"/>
            <w:tcBorders>
              <w:top w:val="nil"/>
              <w:left w:val="nil"/>
              <w:bottom w:val="single" w:sz="8" w:space="0" w:color="auto"/>
              <w:right w:val="single" w:sz="8" w:space="0" w:color="auto"/>
            </w:tcBorders>
            <w:shd w:val="clear" w:color="000000" w:fill="D9D9D9"/>
            <w:vAlign w:val="center"/>
            <w:hideMark/>
          </w:tcPr>
          <w:p w14:paraId="4F3A839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400" w:type="pct"/>
            <w:vMerge/>
            <w:tcBorders>
              <w:top w:val="single" w:sz="8" w:space="0" w:color="auto"/>
              <w:left w:val="single" w:sz="8" w:space="0" w:color="auto"/>
              <w:bottom w:val="single" w:sz="8" w:space="0" w:color="000000"/>
              <w:right w:val="single" w:sz="8" w:space="0" w:color="auto"/>
            </w:tcBorders>
            <w:vAlign w:val="center"/>
            <w:hideMark/>
          </w:tcPr>
          <w:p w14:paraId="12D6E19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500" w:type="pct"/>
            <w:vMerge/>
            <w:tcBorders>
              <w:top w:val="single" w:sz="8" w:space="0" w:color="auto"/>
              <w:left w:val="single" w:sz="8" w:space="0" w:color="auto"/>
              <w:bottom w:val="single" w:sz="8" w:space="0" w:color="000000"/>
              <w:right w:val="single" w:sz="8" w:space="0" w:color="auto"/>
            </w:tcBorders>
            <w:vAlign w:val="center"/>
            <w:hideMark/>
          </w:tcPr>
          <w:p w14:paraId="58993E5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35" w:type="pct"/>
            <w:vMerge/>
            <w:tcBorders>
              <w:top w:val="single" w:sz="8" w:space="0" w:color="auto"/>
              <w:left w:val="single" w:sz="8" w:space="0" w:color="auto"/>
              <w:bottom w:val="single" w:sz="8" w:space="0" w:color="000000"/>
              <w:right w:val="single" w:sz="8" w:space="0" w:color="auto"/>
            </w:tcBorders>
            <w:vAlign w:val="center"/>
            <w:hideMark/>
          </w:tcPr>
          <w:p w14:paraId="09FA4DD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6" w:type="pct"/>
            <w:vMerge/>
            <w:tcBorders>
              <w:top w:val="single" w:sz="8" w:space="0" w:color="auto"/>
              <w:left w:val="single" w:sz="8" w:space="0" w:color="auto"/>
              <w:bottom w:val="single" w:sz="8" w:space="0" w:color="000000"/>
              <w:right w:val="single" w:sz="8" w:space="0" w:color="auto"/>
            </w:tcBorders>
            <w:vAlign w:val="center"/>
            <w:hideMark/>
          </w:tcPr>
          <w:p w14:paraId="628881E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767" w:type="pct"/>
            <w:vMerge/>
            <w:tcBorders>
              <w:top w:val="single" w:sz="8" w:space="0" w:color="auto"/>
              <w:left w:val="single" w:sz="8" w:space="0" w:color="auto"/>
              <w:bottom w:val="single" w:sz="8" w:space="0" w:color="000000"/>
              <w:right w:val="single" w:sz="8" w:space="0" w:color="auto"/>
            </w:tcBorders>
            <w:vAlign w:val="center"/>
            <w:hideMark/>
          </w:tcPr>
          <w:p w14:paraId="29EC442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5B023AEE" w14:textId="77777777" w:rsidTr="00B26E71">
        <w:trPr>
          <w:trHeight w:val="2820"/>
        </w:trPr>
        <w:tc>
          <w:tcPr>
            <w:tcW w:w="197" w:type="pct"/>
            <w:tcBorders>
              <w:top w:val="nil"/>
              <w:left w:val="single" w:sz="8" w:space="0" w:color="auto"/>
              <w:bottom w:val="single" w:sz="8" w:space="0" w:color="auto"/>
              <w:right w:val="single" w:sz="8" w:space="0" w:color="auto"/>
            </w:tcBorders>
            <w:shd w:val="clear" w:color="auto" w:fill="auto"/>
            <w:vAlign w:val="center"/>
            <w:hideMark/>
          </w:tcPr>
          <w:p w14:paraId="20A47F7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IV.1.1</w:t>
            </w:r>
          </w:p>
        </w:tc>
        <w:tc>
          <w:tcPr>
            <w:tcW w:w="633" w:type="pct"/>
            <w:tcBorders>
              <w:top w:val="nil"/>
              <w:left w:val="nil"/>
              <w:bottom w:val="single" w:sz="8" w:space="0" w:color="auto"/>
              <w:right w:val="single" w:sz="8" w:space="0" w:color="auto"/>
            </w:tcBorders>
            <w:shd w:val="clear" w:color="auto" w:fill="auto"/>
            <w:vAlign w:val="center"/>
            <w:hideMark/>
          </w:tcPr>
          <w:p w14:paraId="61BAE660" w14:textId="4ABF1F14"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Coupling with the day-ahead market with Albania through the ALPEX power exchange.</w:t>
            </w:r>
          </w:p>
        </w:tc>
        <w:tc>
          <w:tcPr>
            <w:tcW w:w="267" w:type="pct"/>
            <w:tcBorders>
              <w:top w:val="nil"/>
              <w:left w:val="nil"/>
              <w:bottom w:val="single" w:sz="8" w:space="0" w:color="auto"/>
              <w:right w:val="single" w:sz="8" w:space="0" w:color="auto"/>
            </w:tcBorders>
            <w:shd w:val="clear" w:color="auto" w:fill="auto"/>
            <w:vAlign w:val="center"/>
            <w:hideMark/>
          </w:tcPr>
          <w:p w14:paraId="5A24CB2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00" w:type="pct"/>
            <w:tcBorders>
              <w:top w:val="nil"/>
              <w:left w:val="nil"/>
              <w:bottom w:val="single" w:sz="8" w:space="0" w:color="auto"/>
              <w:right w:val="single" w:sz="8" w:space="0" w:color="auto"/>
            </w:tcBorders>
            <w:shd w:val="clear" w:color="auto" w:fill="auto"/>
            <w:vAlign w:val="center"/>
            <w:hideMark/>
          </w:tcPr>
          <w:p w14:paraId="7E8CFE46" w14:textId="77777777" w:rsidR="0024042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5092DF60" w14:textId="21275FA5"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400" w:type="pct"/>
            <w:vMerge w:val="restart"/>
            <w:tcBorders>
              <w:top w:val="nil"/>
              <w:left w:val="single" w:sz="8" w:space="0" w:color="auto"/>
              <w:bottom w:val="single" w:sz="8" w:space="0" w:color="000000"/>
              <w:right w:val="single" w:sz="8" w:space="0" w:color="auto"/>
            </w:tcBorders>
            <w:shd w:val="clear" w:color="auto" w:fill="auto"/>
            <w:vAlign w:val="center"/>
            <w:hideMark/>
          </w:tcPr>
          <w:p w14:paraId="2D904CE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1,400,000.00 </w:t>
            </w:r>
          </w:p>
        </w:tc>
        <w:tc>
          <w:tcPr>
            <w:tcW w:w="401" w:type="pct"/>
            <w:tcBorders>
              <w:top w:val="nil"/>
              <w:left w:val="nil"/>
              <w:bottom w:val="single" w:sz="8" w:space="0" w:color="auto"/>
              <w:right w:val="single" w:sz="8" w:space="0" w:color="auto"/>
            </w:tcBorders>
            <w:shd w:val="clear" w:color="auto" w:fill="auto"/>
            <w:vAlign w:val="center"/>
            <w:hideMark/>
          </w:tcPr>
          <w:p w14:paraId="13E30A6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   </w:t>
            </w:r>
          </w:p>
        </w:tc>
        <w:tc>
          <w:tcPr>
            <w:tcW w:w="334" w:type="pct"/>
            <w:tcBorders>
              <w:top w:val="nil"/>
              <w:left w:val="nil"/>
              <w:bottom w:val="single" w:sz="8" w:space="0" w:color="auto"/>
              <w:right w:val="single" w:sz="8" w:space="0" w:color="auto"/>
            </w:tcBorders>
            <w:shd w:val="clear" w:color="auto" w:fill="auto"/>
            <w:vAlign w:val="center"/>
            <w:hideMark/>
          </w:tcPr>
          <w:p w14:paraId="08127B5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auto" w:fill="auto"/>
            <w:vAlign w:val="center"/>
            <w:hideMark/>
          </w:tcPr>
          <w:p w14:paraId="481195D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ALPEX</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14:paraId="65AF050B" w14:textId="77777777" w:rsidR="00571EAF" w:rsidRPr="0086165A" w:rsidRDefault="009E6FE0"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ALPEX, KOSTT, ERO, ME</w:t>
            </w:r>
          </w:p>
        </w:tc>
        <w:tc>
          <w:tcPr>
            <w:tcW w:w="435" w:type="pct"/>
            <w:tcBorders>
              <w:top w:val="nil"/>
              <w:left w:val="nil"/>
              <w:bottom w:val="single" w:sz="8" w:space="0" w:color="auto"/>
              <w:right w:val="single" w:sz="8" w:space="0" w:color="auto"/>
            </w:tcBorders>
            <w:shd w:val="clear" w:color="auto" w:fill="auto"/>
            <w:vAlign w:val="center"/>
            <w:hideMark/>
          </w:tcPr>
          <w:p w14:paraId="066154F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Integration of wholesale electricity markets</w:t>
            </w:r>
          </w:p>
        </w:tc>
        <w:tc>
          <w:tcPr>
            <w:tcW w:w="366" w:type="pct"/>
            <w:tcBorders>
              <w:top w:val="nil"/>
              <w:left w:val="nil"/>
              <w:bottom w:val="single" w:sz="8" w:space="0" w:color="auto"/>
              <w:right w:val="single" w:sz="8" w:space="0" w:color="auto"/>
            </w:tcBorders>
            <w:shd w:val="clear" w:color="auto" w:fill="auto"/>
            <w:vAlign w:val="center"/>
            <w:hideMark/>
          </w:tcPr>
          <w:p w14:paraId="5F050C4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ALPEX Rules </w:t>
            </w:r>
          </w:p>
        </w:tc>
        <w:tc>
          <w:tcPr>
            <w:tcW w:w="767" w:type="pct"/>
            <w:tcBorders>
              <w:top w:val="nil"/>
              <w:left w:val="nil"/>
              <w:bottom w:val="single" w:sz="8" w:space="0" w:color="auto"/>
              <w:right w:val="single" w:sz="8" w:space="0" w:color="auto"/>
            </w:tcBorders>
            <w:shd w:val="clear" w:color="auto" w:fill="auto"/>
            <w:vAlign w:val="center"/>
            <w:hideMark/>
          </w:tcPr>
          <w:p w14:paraId="5FB5C2E2"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On 31 January 2024, “ALPEX” </w:t>
            </w:r>
            <w:proofErr w:type="spellStart"/>
            <w:r>
              <w:rPr>
                <w:rFonts w:ascii="Times New Roman" w:hAnsi="Times New Roman"/>
                <w:sz w:val="18"/>
              </w:rPr>
              <w:t>Sh.A</w:t>
            </w:r>
            <w:proofErr w:type="spellEnd"/>
            <w:r>
              <w:rPr>
                <w:rFonts w:ascii="Times New Roman" w:hAnsi="Times New Roman"/>
                <w:sz w:val="18"/>
              </w:rPr>
              <w:t xml:space="preserve">. commenced operations in the Kosovo trading zone; additionally, on the same day, the Kosovo-Albania market coupling began. </w:t>
            </w:r>
          </w:p>
        </w:tc>
      </w:tr>
      <w:tr w:rsidR="00B26E71" w:rsidRPr="0086165A" w14:paraId="1A518688" w14:textId="77777777" w:rsidTr="00B26E71">
        <w:trPr>
          <w:trHeight w:val="2760"/>
        </w:trPr>
        <w:tc>
          <w:tcPr>
            <w:tcW w:w="197" w:type="pct"/>
            <w:tcBorders>
              <w:top w:val="nil"/>
              <w:left w:val="single" w:sz="8" w:space="0" w:color="auto"/>
              <w:bottom w:val="single" w:sz="8" w:space="0" w:color="auto"/>
              <w:right w:val="single" w:sz="8" w:space="0" w:color="auto"/>
            </w:tcBorders>
            <w:shd w:val="clear" w:color="auto" w:fill="auto"/>
            <w:vAlign w:val="center"/>
            <w:hideMark/>
          </w:tcPr>
          <w:p w14:paraId="7F9BACB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IV.1.2</w:t>
            </w:r>
          </w:p>
        </w:tc>
        <w:tc>
          <w:tcPr>
            <w:tcW w:w="633" w:type="pct"/>
            <w:tcBorders>
              <w:top w:val="nil"/>
              <w:left w:val="nil"/>
              <w:bottom w:val="single" w:sz="8" w:space="0" w:color="auto"/>
              <w:right w:val="single" w:sz="8" w:space="0" w:color="auto"/>
            </w:tcBorders>
            <w:shd w:val="clear" w:color="auto" w:fill="auto"/>
            <w:vAlign w:val="center"/>
            <w:hideMark/>
          </w:tcPr>
          <w:p w14:paraId="123D52FB"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Coupling with the intraday market with Albania through the ALPEX power exchange.</w:t>
            </w:r>
          </w:p>
        </w:tc>
        <w:tc>
          <w:tcPr>
            <w:tcW w:w="267" w:type="pct"/>
            <w:tcBorders>
              <w:top w:val="nil"/>
              <w:left w:val="nil"/>
              <w:bottom w:val="single" w:sz="8" w:space="0" w:color="auto"/>
              <w:right w:val="single" w:sz="8" w:space="0" w:color="auto"/>
            </w:tcBorders>
            <w:shd w:val="clear" w:color="auto" w:fill="auto"/>
            <w:vAlign w:val="center"/>
            <w:hideMark/>
          </w:tcPr>
          <w:p w14:paraId="55A515B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00" w:type="pct"/>
            <w:tcBorders>
              <w:top w:val="nil"/>
              <w:left w:val="nil"/>
              <w:bottom w:val="single" w:sz="8" w:space="0" w:color="auto"/>
              <w:right w:val="single" w:sz="8" w:space="0" w:color="auto"/>
            </w:tcBorders>
            <w:shd w:val="clear" w:color="auto" w:fill="auto"/>
            <w:vAlign w:val="center"/>
            <w:hideMark/>
          </w:tcPr>
          <w:p w14:paraId="67B3D5BB" w14:textId="77777777" w:rsidR="0024042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393EDF9A" w14:textId="0203D29F"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w:t>
            </w:r>
          </w:p>
        </w:tc>
        <w:tc>
          <w:tcPr>
            <w:tcW w:w="400" w:type="pct"/>
            <w:vMerge/>
            <w:tcBorders>
              <w:top w:val="nil"/>
              <w:left w:val="single" w:sz="8" w:space="0" w:color="auto"/>
              <w:bottom w:val="single" w:sz="8" w:space="0" w:color="000000"/>
              <w:right w:val="single" w:sz="8" w:space="0" w:color="auto"/>
            </w:tcBorders>
            <w:vAlign w:val="center"/>
            <w:hideMark/>
          </w:tcPr>
          <w:p w14:paraId="3C14F3C8" w14:textId="77777777" w:rsidR="00571EAF" w:rsidRPr="0086165A" w:rsidRDefault="00571EAF" w:rsidP="00571EAF">
            <w:pPr>
              <w:spacing w:after="0" w:line="240" w:lineRule="auto"/>
              <w:rPr>
                <w:rFonts w:ascii="Times New Roman" w:eastAsia="Times New Roman" w:hAnsi="Times New Roman" w:cs="Times New Roman"/>
                <w:sz w:val="18"/>
                <w:szCs w:val="18"/>
              </w:rPr>
            </w:pPr>
          </w:p>
        </w:tc>
        <w:tc>
          <w:tcPr>
            <w:tcW w:w="401" w:type="pct"/>
            <w:tcBorders>
              <w:top w:val="nil"/>
              <w:left w:val="nil"/>
              <w:bottom w:val="single" w:sz="8" w:space="0" w:color="auto"/>
              <w:right w:val="single" w:sz="8" w:space="0" w:color="auto"/>
            </w:tcBorders>
            <w:shd w:val="clear" w:color="auto" w:fill="auto"/>
            <w:vAlign w:val="center"/>
            <w:hideMark/>
          </w:tcPr>
          <w:p w14:paraId="0AD91B8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1,350,000.00 </w:t>
            </w:r>
          </w:p>
        </w:tc>
        <w:tc>
          <w:tcPr>
            <w:tcW w:w="334" w:type="pct"/>
            <w:tcBorders>
              <w:top w:val="nil"/>
              <w:left w:val="nil"/>
              <w:bottom w:val="single" w:sz="8" w:space="0" w:color="auto"/>
              <w:right w:val="single" w:sz="8" w:space="0" w:color="auto"/>
            </w:tcBorders>
            <w:shd w:val="clear" w:color="auto" w:fill="auto"/>
            <w:vAlign w:val="center"/>
            <w:hideMark/>
          </w:tcPr>
          <w:p w14:paraId="46018B5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auto" w:fill="auto"/>
            <w:vAlign w:val="center"/>
            <w:hideMark/>
          </w:tcPr>
          <w:p w14:paraId="444A7FA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ALPEX</w:t>
            </w:r>
          </w:p>
        </w:tc>
        <w:tc>
          <w:tcPr>
            <w:tcW w:w="500" w:type="pct"/>
            <w:vMerge/>
            <w:tcBorders>
              <w:top w:val="nil"/>
              <w:left w:val="single" w:sz="8" w:space="0" w:color="auto"/>
              <w:bottom w:val="single" w:sz="8" w:space="0" w:color="000000"/>
              <w:right w:val="single" w:sz="8" w:space="0" w:color="auto"/>
            </w:tcBorders>
            <w:vAlign w:val="center"/>
            <w:hideMark/>
          </w:tcPr>
          <w:p w14:paraId="790F688D" w14:textId="77777777" w:rsidR="00571EAF" w:rsidRPr="0086165A" w:rsidRDefault="00571EAF" w:rsidP="00571EAF">
            <w:pPr>
              <w:spacing w:after="0" w:line="240" w:lineRule="auto"/>
              <w:rPr>
                <w:rFonts w:ascii="Times New Roman" w:eastAsia="Times New Roman" w:hAnsi="Times New Roman" w:cs="Times New Roman"/>
                <w:sz w:val="18"/>
                <w:szCs w:val="18"/>
              </w:rPr>
            </w:pPr>
          </w:p>
        </w:tc>
        <w:tc>
          <w:tcPr>
            <w:tcW w:w="435" w:type="pct"/>
            <w:tcBorders>
              <w:top w:val="nil"/>
              <w:left w:val="nil"/>
              <w:bottom w:val="single" w:sz="8" w:space="0" w:color="auto"/>
              <w:right w:val="single" w:sz="8" w:space="0" w:color="auto"/>
            </w:tcBorders>
            <w:shd w:val="clear" w:color="auto" w:fill="auto"/>
            <w:vAlign w:val="center"/>
            <w:hideMark/>
          </w:tcPr>
          <w:p w14:paraId="5F2AEF58"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Integration of intra-day electricity markets</w:t>
            </w:r>
          </w:p>
        </w:tc>
        <w:tc>
          <w:tcPr>
            <w:tcW w:w="366" w:type="pct"/>
            <w:tcBorders>
              <w:top w:val="nil"/>
              <w:left w:val="nil"/>
              <w:bottom w:val="single" w:sz="8" w:space="0" w:color="auto"/>
              <w:right w:val="single" w:sz="8" w:space="0" w:color="auto"/>
            </w:tcBorders>
            <w:shd w:val="clear" w:color="auto" w:fill="auto"/>
            <w:vAlign w:val="center"/>
            <w:hideMark/>
          </w:tcPr>
          <w:p w14:paraId="0D2CE23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ALPEX Rules </w:t>
            </w:r>
          </w:p>
        </w:tc>
        <w:tc>
          <w:tcPr>
            <w:tcW w:w="767" w:type="pct"/>
            <w:tcBorders>
              <w:top w:val="nil"/>
              <w:left w:val="nil"/>
              <w:bottom w:val="single" w:sz="8" w:space="0" w:color="auto"/>
              <w:right w:val="single" w:sz="8" w:space="0" w:color="auto"/>
            </w:tcBorders>
            <w:shd w:val="clear" w:color="000000" w:fill="FFFFFF"/>
            <w:vAlign w:val="bottom"/>
            <w:hideMark/>
          </w:tcPr>
          <w:p w14:paraId="0DEEB990" w14:textId="0A1EE56A" w:rsidR="00571EAF" w:rsidRPr="0086165A" w:rsidRDefault="005F2590" w:rsidP="00571EAF">
            <w:pPr>
              <w:spacing w:after="0" w:line="240" w:lineRule="auto"/>
              <w:rPr>
                <w:rFonts w:ascii="Times New Roman" w:eastAsia="Times New Roman" w:hAnsi="Times New Roman" w:cs="Times New Roman"/>
                <w:sz w:val="18"/>
                <w:szCs w:val="18"/>
              </w:rPr>
            </w:pPr>
            <w:r>
              <w:rPr>
                <w:rFonts w:ascii="Times New Roman" w:hAnsi="Times New Roman"/>
                <w:sz w:val="18"/>
              </w:rPr>
              <w:t>At the end of 2024, the ERO approved the proposed amendments to ALPEX Rules in order to implement the intraday market in the European standard. On 11 December 2024, ALPEX organized the first auctions related to the Intraday Market, specifically for the Delivery Day on 12 December 2024.</w:t>
            </w:r>
          </w:p>
        </w:tc>
      </w:tr>
      <w:tr w:rsidR="00B26E71" w:rsidRPr="0086165A" w14:paraId="723A49B9" w14:textId="77777777" w:rsidTr="00B26E71">
        <w:trPr>
          <w:trHeight w:val="1620"/>
        </w:trPr>
        <w:tc>
          <w:tcPr>
            <w:tcW w:w="197" w:type="pct"/>
            <w:tcBorders>
              <w:top w:val="nil"/>
              <w:left w:val="single" w:sz="8" w:space="0" w:color="auto"/>
              <w:bottom w:val="single" w:sz="8" w:space="0" w:color="auto"/>
              <w:right w:val="single" w:sz="8" w:space="0" w:color="auto"/>
            </w:tcBorders>
            <w:shd w:val="clear" w:color="000000" w:fill="FFFFFF"/>
            <w:vAlign w:val="center"/>
            <w:hideMark/>
          </w:tcPr>
          <w:p w14:paraId="44A2D23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IV.1.3</w:t>
            </w:r>
          </w:p>
        </w:tc>
        <w:tc>
          <w:tcPr>
            <w:tcW w:w="633" w:type="pct"/>
            <w:tcBorders>
              <w:top w:val="nil"/>
              <w:left w:val="nil"/>
              <w:bottom w:val="single" w:sz="8" w:space="0" w:color="auto"/>
              <w:right w:val="single" w:sz="8" w:space="0" w:color="auto"/>
            </w:tcBorders>
            <w:shd w:val="clear" w:color="000000" w:fill="FFFFFF"/>
            <w:vAlign w:val="center"/>
            <w:hideMark/>
          </w:tcPr>
          <w:p w14:paraId="35686F43"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Feasibility study on regional/European market coupling (SDAC, SIDC)</w:t>
            </w:r>
          </w:p>
          <w:p w14:paraId="028135E9"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31FDD395"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71AACDD9"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40A8030E"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088A086E"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32721D5B" w14:textId="77777777" w:rsidR="004A694D" w:rsidRPr="006D6D77" w:rsidRDefault="004A694D" w:rsidP="00571EAF">
            <w:pPr>
              <w:spacing w:after="0" w:line="240" w:lineRule="auto"/>
              <w:rPr>
                <w:rFonts w:ascii="Times New Roman" w:eastAsia="Times New Roman" w:hAnsi="Times New Roman" w:cs="Times New Roman"/>
                <w:sz w:val="18"/>
                <w:szCs w:val="18"/>
              </w:rPr>
            </w:pPr>
          </w:p>
          <w:p w14:paraId="5EDD0B24" w14:textId="77777777" w:rsidR="004A694D" w:rsidRPr="006D6D77" w:rsidRDefault="004A694D" w:rsidP="00571EAF">
            <w:pPr>
              <w:spacing w:after="0" w:line="240" w:lineRule="auto"/>
              <w:rPr>
                <w:rFonts w:ascii="Times New Roman" w:eastAsia="Times New Roman" w:hAnsi="Times New Roman" w:cs="Times New Roman"/>
                <w:sz w:val="18"/>
                <w:szCs w:val="18"/>
              </w:rPr>
            </w:pPr>
          </w:p>
        </w:tc>
        <w:tc>
          <w:tcPr>
            <w:tcW w:w="267" w:type="pct"/>
            <w:tcBorders>
              <w:top w:val="nil"/>
              <w:left w:val="nil"/>
              <w:bottom w:val="single" w:sz="8" w:space="0" w:color="auto"/>
              <w:right w:val="single" w:sz="8" w:space="0" w:color="auto"/>
            </w:tcBorders>
            <w:shd w:val="clear" w:color="000000" w:fill="FFFFFF"/>
            <w:vAlign w:val="center"/>
            <w:hideMark/>
          </w:tcPr>
          <w:p w14:paraId="6101512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00" w:type="pct"/>
            <w:tcBorders>
              <w:top w:val="nil"/>
              <w:left w:val="nil"/>
              <w:bottom w:val="single" w:sz="8" w:space="0" w:color="auto"/>
              <w:right w:val="single" w:sz="8" w:space="0" w:color="auto"/>
            </w:tcBorders>
            <w:shd w:val="clear" w:color="000000" w:fill="FFFFFF"/>
            <w:vAlign w:val="center"/>
            <w:hideMark/>
          </w:tcPr>
          <w:p w14:paraId="2981C736" w14:textId="77777777" w:rsidR="0024042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0A93F0CF" w14:textId="791B5B12"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w:t>
            </w:r>
          </w:p>
        </w:tc>
        <w:tc>
          <w:tcPr>
            <w:tcW w:w="400" w:type="pct"/>
            <w:tcBorders>
              <w:top w:val="nil"/>
              <w:left w:val="nil"/>
              <w:bottom w:val="single" w:sz="8" w:space="0" w:color="auto"/>
              <w:right w:val="single" w:sz="8" w:space="0" w:color="auto"/>
            </w:tcBorders>
            <w:shd w:val="clear" w:color="000000" w:fill="FFFFFF"/>
            <w:vAlign w:val="center"/>
            <w:hideMark/>
          </w:tcPr>
          <w:p w14:paraId="6889F74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1" w:type="pct"/>
            <w:tcBorders>
              <w:top w:val="nil"/>
              <w:left w:val="nil"/>
              <w:bottom w:val="single" w:sz="8" w:space="0" w:color="auto"/>
              <w:right w:val="single" w:sz="8" w:space="0" w:color="auto"/>
            </w:tcBorders>
            <w:shd w:val="clear" w:color="000000" w:fill="FFFFFF"/>
            <w:vAlign w:val="center"/>
            <w:hideMark/>
          </w:tcPr>
          <w:p w14:paraId="0FE08D4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250,000.00 </w:t>
            </w:r>
          </w:p>
        </w:tc>
        <w:tc>
          <w:tcPr>
            <w:tcW w:w="334" w:type="pct"/>
            <w:tcBorders>
              <w:top w:val="nil"/>
              <w:left w:val="nil"/>
              <w:bottom w:val="single" w:sz="8" w:space="0" w:color="auto"/>
              <w:right w:val="single" w:sz="8" w:space="0" w:color="auto"/>
            </w:tcBorders>
            <w:shd w:val="clear" w:color="000000" w:fill="FFFFFF"/>
            <w:vAlign w:val="center"/>
            <w:hideMark/>
          </w:tcPr>
          <w:p w14:paraId="34999E6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000000" w:fill="FFFFFF"/>
            <w:vAlign w:val="center"/>
            <w:hideMark/>
          </w:tcPr>
          <w:p w14:paraId="045E0686"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 Kosovo Budget</w:t>
            </w:r>
          </w:p>
        </w:tc>
        <w:tc>
          <w:tcPr>
            <w:tcW w:w="500" w:type="pct"/>
            <w:tcBorders>
              <w:top w:val="nil"/>
              <w:left w:val="nil"/>
              <w:bottom w:val="single" w:sz="8" w:space="0" w:color="auto"/>
              <w:right w:val="single" w:sz="8" w:space="0" w:color="auto"/>
            </w:tcBorders>
            <w:shd w:val="clear" w:color="000000" w:fill="FFFFFF"/>
            <w:vAlign w:val="center"/>
            <w:hideMark/>
          </w:tcPr>
          <w:p w14:paraId="262CEBE4" w14:textId="77777777" w:rsidR="00571EAF" w:rsidRPr="0086165A" w:rsidRDefault="009E6FE0"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KOSTT, ERO, ME</w:t>
            </w:r>
          </w:p>
        </w:tc>
        <w:tc>
          <w:tcPr>
            <w:tcW w:w="435" w:type="pct"/>
            <w:tcBorders>
              <w:top w:val="nil"/>
              <w:left w:val="nil"/>
              <w:bottom w:val="single" w:sz="8" w:space="0" w:color="auto"/>
              <w:right w:val="single" w:sz="8" w:space="0" w:color="auto"/>
            </w:tcBorders>
            <w:shd w:val="clear" w:color="000000" w:fill="FFFFFF"/>
            <w:vAlign w:val="center"/>
            <w:hideMark/>
          </w:tcPr>
          <w:p w14:paraId="24625FE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Integration of wholesale electricity markets</w:t>
            </w:r>
          </w:p>
        </w:tc>
        <w:tc>
          <w:tcPr>
            <w:tcW w:w="366" w:type="pct"/>
            <w:tcBorders>
              <w:top w:val="nil"/>
              <w:left w:val="nil"/>
              <w:bottom w:val="single" w:sz="8" w:space="0" w:color="auto"/>
              <w:right w:val="single" w:sz="8" w:space="0" w:color="auto"/>
            </w:tcBorders>
            <w:shd w:val="clear" w:color="000000" w:fill="FFFFFF"/>
            <w:vAlign w:val="center"/>
            <w:hideMark/>
          </w:tcPr>
          <w:p w14:paraId="6D06AF42"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767" w:type="pct"/>
            <w:tcBorders>
              <w:top w:val="nil"/>
              <w:left w:val="nil"/>
              <w:bottom w:val="single" w:sz="8" w:space="0" w:color="auto"/>
              <w:right w:val="single" w:sz="8" w:space="0" w:color="auto"/>
            </w:tcBorders>
            <w:shd w:val="clear" w:color="000000" w:fill="FFFFFF"/>
            <w:vAlign w:val="bottom"/>
            <w:hideMark/>
          </w:tcPr>
          <w:p w14:paraId="347E5E9A" w14:textId="77777777" w:rsidR="00327DB7" w:rsidRPr="0014539F" w:rsidRDefault="004354E5" w:rsidP="00571EAF">
            <w:pPr>
              <w:spacing w:after="0" w:line="240" w:lineRule="auto"/>
              <w:rPr>
                <w:rFonts w:ascii="Times New Roman" w:eastAsia="Times New Roman" w:hAnsi="Times New Roman" w:cs="Times New Roman"/>
                <w:sz w:val="18"/>
                <w:szCs w:val="18"/>
              </w:rPr>
            </w:pPr>
            <w:r>
              <w:rPr>
                <w:rFonts w:ascii="Times New Roman" w:hAnsi="Times New Roman"/>
                <w:sz w:val="18"/>
              </w:rPr>
              <w:t>In Athens, in November 2023, a memorandum for market coupling was signed by the exchanges, TSOs, and regulators of Kosovo, Albania, North Macedonia, and Greece.</w:t>
            </w:r>
          </w:p>
          <w:p w14:paraId="6F001BE0" w14:textId="77777777" w:rsidR="00571EAF" w:rsidRPr="0014539F" w:rsidRDefault="00571EAF" w:rsidP="00571EAF">
            <w:pPr>
              <w:spacing w:after="0" w:line="240" w:lineRule="auto"/>
              <w:rPr>
                <w:rFonts w:ascii="Times New Roman" w:eastAsia="Times New Roman" w:hAnsi="Times New Roman" w:cs="Times New Roman"/>
                <w:sz w:val="18"/>
                <w:szCs w:val="18"/>
              </w:rPr>
            </w:pPr>
          </w:p>
        </w:tc>
      </w:tr>
      <w:tr w:rsidR="00B26E71" w:rsidRPr="0086165A" w14:paraId="2A972648" w14:textId="77777777" w:rsidTr="00B26E71">
        <w:trPr>
          <w:trHeight w:val="330"/>
        </w:trPr>
        <w:tc>
          <w:tcPr>
            <w:tcW w:w="197" w:type="pct"/>
            <w:tcBorders>
              <w:top w:val="nil"/>
              <w:left w:val="single" w:sz="8" w:space="0" w:color="auto"/>
              <w:bottom w:val="single" w:sz="8" w:space="0" w:color="auto"/>
              <w:right w:val="single" w:sz="8" w:space="0" w:color="auto"/>
            </w:tcBorders>
            <w:shd w:val="clear" w:color="000000" w:fill="D9D9D9"/>
            <w:vAlign w:val="center"/>
            <w:hideMark/>
          </w:tcPr>
          <w:p w14:paraId="412B2708"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IV.2</w:t>
            </w:r>
          </w:p>
        </w:tc>
        <w:tc>
          <w:tcPr>
            <w:tcW w:w="4037" w:type="pct"/>
            <w:gridSpan w:val="10"/>
            <w:tcBorders>
              <w:top w:val="single" w:sz="8" w:space="0" w:color="auto"/>
              <w:left w:val="nil"/>
              <w:bottom w:val="single" w:sz="8" w:space="0" w:color="auto"/>
              <w:right w:val="single" w:sz="8" w:space="0" w:color="000000"/>
            </w:tcBorders>
            <w:shd w:val="clear" w:color="000000" w:fill="D9D9D9"/>
            <w:vAlign w:val="center"/>
            <w:hideMark/>
          </w:tcPr>
          <w:p w14:paraId="2F853C3E" w14:textId="77777777" w:rsidR="00571EAF" w:rsidRPr="0014539F"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Removal of barriers for the effective functioning of the market</w:t>
            </w:r>
          </w:p>
        </w:tc>
        <w:tc>
          <w:tcPr>
            <w:tcW w:w="767" w:type="pct"/>
            <w:tcBorders>
              <w:top w:val="nil"/>
              <w:left w:val="nil"/>
              <w:bottom w:val="nil"/>
              <w:right w:val="nil"/>
            </w:tcBorders>
            <w:shd w:val="clear" w:color="auto" w:fill="auto"/>
            <w:noWrap/>
            <w:vAlign w:val="bottom"/>
            <w:hideMark/>
          </w:tcPr>
          <w:p w14:paraId="2564E44D" w14:textId="77777777" w:rsidR="00571EAF" w:rsidRPr="006D6D77"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20A251B2" w14:textId="77777777" w:rsidTr="00B26E71">
        <w:trPr>
          <w:trHeight w:val="960"/>
        </w:trPr>
        <w:tc>
          <w:tcPr>
            <w:tcW w:w="197" w:type="pct"/>
            <w:tcBorders>
              <w:top w:val="nil"/>
              <w:left w:val="single" w:sz="8" w:space="0" w:color="auto"/>
              <w:bottom w:val="single" w:sz="8" w:space="0" w:color="auto"/>
              <w:right w:val="single" w:sz="8" w:space="0" w:color="auto"/>
            </w:tcBorders>
            <w:shd w:val="clear" w:color="000000" w:fill="D0CECE"/>
            <w:vAlign w:val="center"/>
            <w:hideMark/>
          </w:tcPr>
          <w:p w14:paraId="03A45680" w14:textId="77777777" w:rsidR="00571EAF" w:rsidRPr="0014539F"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633" w:type="pct"/>
            <w:tcBorders>
              <w:top w:val="nil"/>
              <w:left w:val="nil"/>
              <w:bottom w:val="single" w:sz="8" w:space="0" w:color="auto"/>
              <w:right w:val="single" w:sz="8" w:space="0" w:color="auto"/>
            </w:tcBorders>
            <w:shd w:val="clear" w:color="000000" w:fill="D0CECE"/>
            <w:vAlign w:val="center"/>
            <w:hideMark/>
          </w:tcPr>
          <w:p w14:paraId="529724C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67" w:type="pct"/>
            <w:gridSpan w:val="3"/>
            <w:tcBorders>
              <w:top w:val="single" w:sz="8" w:space="0" w:color="auto"/>
              <w:left w:val="nil"/>
              <w:bottom w:val="single" w:sz="8" w:space="0" w:color="auto"/>
              <w:right w:val="nil"/>
            </w:tcBorders>
            <w:shd w:val="clear" w:color="000000" w:fill="D9D9D9"/>
            <w:vAlign w:val="center"/>
            <w:hideMark/>
          </w:tcPr>
          <w:p w14:paraId="0B6A833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735" w:type="pct"/>
            <w:gridSpan w:val="2"/>
            <w:tcBorders>
              <w:top w:val="single" w:sz="8" w:space="0" w:color="auto"/>
              <w:left w:val="single" w:sz="8" w:space="0" w:color="auto"/>
              <w:bottom w:val="single" w:sz="8" w:space="0" w:color="auto"/>
              <w:right w:val="nil"/>
            </w:tcBorders>
            <w:shd w:val="clear" w:color="000000" w:fill="D9D9D9"/>
            <w:vAlign w:val="center"/>
            <w:hideMark/>
          </w:tcPr>
          <w:p w14:paraId="1038B32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400" w:type="pct"/>
            <w:tcBorders>
              <w:top w:val="nil"/>
              <w:left w:val="single" w:sz="8" w:space="0" w:color="auto"/>
              <w:bottom w:val="single" w:sz="8" w:space="0" w:color="auto"/>
              <w:right w:val="single" w:sz="8" w:space="0" w:color="auto"/>
            </w:tcBorders>
            <w:shd w:val="clear" w:color="000000" w:fill="D9D9D9"/>
            <w:vAlign w:val="center"/>
            <w:hideMark/>
          </w:tcPr>
          <w:p w14:paraId="6A3E387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301" w:type="pct"/>
            <w:gridSpan w:val="3"/>
            <w:tcBorders>
              <w:top w:val="single" w:sz="8" w:space="0" w:color="auto"/>
              <w:left w:val="nil"/>
              <w:bottom w:val="single" w:sz="8" w:space="0" w:color="auto"/>
              <w:right w:val="single" w:sz="8" w:space="0" w:color="000000"/>
            </w:tcBorders>
            <w:shd w:val="clear" w:color="000000" w:fill="D9D9D9"/>
            <w:vAlign w:val="center"/>
            <w:hideMark/>
          </w:tcPr>
          <w:p w14:paraId="7008D76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767" w:type="pct"/>
            <w:tcBorders>
              <w:top w:val="nil"/>
              <w:left w:val="nil"/>
              <w:bottom w:val="nil"/>
              <w:right w:val="nil"/>
            </w:tcBorders>
            <w:shd w:val="clear" w:color="auto" w:fill="auto"/>
            <w:noWrap/>
            <w:vAlign w:val="bottom"/>
            <w:hideMark/>
          </w:tcPr>
          <w:p w14:paraId="1E3CE17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B26E71" w:rsidRPr="0086165A" w14:paraId="3FE5F2E9" w14:textId="77777777" w:rsidTr="00B26E71">
        <w:trPr>
          <w:trHeight w:val="645"/>
        </w:trPr>
        <w:tc>
          <w:tcPr>
            <w:tcW w:w="197" w:type="pct"/>
            <w:tcBorders>
              <w:top w:val="nil"/>
              <w:left w:val="single" w:sz="8" w:space="0" w:color="auto"/>
              <w:bottom w:val="single" w:sz="8" w:space="0" w:color="auto"/>
              <w:right w:val="single" w:sz="8" w:space="0" w:color="auto"/>
            </w:tcBorders>
            <w:shd w:val="clear" w:color="auto" w:fill="auto"/>
            <w:vAlign w:val="center"/>
            <w:hideMark/>
          </w:tcPr>
          <w:p w14:paraId="0E24EDB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633" w:type="pct"/>
            <w:tcBorders>
              <w:top w:val="nil"/>
              <w:left w:val="nil"/>
              <w:bottom w:val="single" w:sz="8" w:space="0" w:color="auto"/>
              <w:right w:val="single" w:sz="8" w:space="0" w:color="auto"/>
            </w:tcBorders>
            <w:shd w:val="clear" w:color="auto" w:fill="auto"/>
            <w:vAlign w:val="center"/>
            <w:hideMark/>
          </w:tcPr>
          <w:p w14:paraId="39C1177E"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BSA withdrawal status</w:t>
            </w:r>
          </w:p>
        </w:tc>
        <w:tc>
          <w:tcPr>
            <w:tcW w:w="967" w:type="pct"/>
            <w:gridSpan w:val="3"/>
            <w:tcBorders>
              <w:top w:val="single" w:sz="8" w:space="0" w:color="auto"/>
              <w:left w:val="nil"/>
              <w:bottom w:val="single" w:sz="8" w:space="0" w:color="auto"/>
              <w:right w:val="single" w:sz="8" w:space="0" w:color="000000"/>
            </w:tcBorders>
            <w:shd w:val="clear" w:color="auto" w:fill="auto"/>
            <w:vAlign w:val="center"/>
            <w:hideMark/>
          </w:tcPr>
          <w:p w14:paraId="3FAF209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BSA available</w:t>
            </w:r>
          </w:p>
        </w:tc>
        <w:tc>
          <w:tcPr>
            <w:tcW w:w="735" w:type="pct"/>
            <w:gridSpan w:val="2"/>
            <w:tcBorders>
              <w:top w:val="single" w:sz="8" w:space="0" w:color="auto"/>
              <w:left w:val="nil"/>
              <w:bottom w:val="single" w:sz="8" w:space="0" w:color="auto"/>
              <w:right w:val="single" w:sz="8" w:space="0" w:color="000000"/>
            </w:tcBorders>
            <w:shd w:val="clear" w:color="auto" w:fill="auto"/>
            <w:vAlign w:val="center"/>
            <w:hideMark/>
          </w:tcPr>
          <w:p w14:paraId="3C81A582"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Removal of BSA </w:t>
            </w:r>
            <w:r>
              <w:rPr>
                <w:rFonts w:ascii="Times New Roman" w:hAnsi="Times New Roman"/>
                <w:sz w:val="18"/>
              </w:rPr>
              <w:br/>
              <w:t>begins</w:t>
            </w:r>
          </w:p>
        </w:tc>
        <w:tc>
          <w:tcPr>
            <w:tcW w:w="400" w:type="pct"/>
            <w:tcBorders>
              <w:top w:val="nil"/>
              <w:left w:val="nil"/>
              <w:bottom w:val="single" w:sz="8" w:space="0" w:color="auto"/>
              <w:right w:val="single" w:sz="8" w:space="0" w:color="auto"/>
            </w:tcBorders>
            <w:shd w:val="clear" w:color="auto" w:fill="auto"/>
            <w:vAlign w:val="center"/>
            <w:hideMark/>
          </w:tcPr>
          <w:p w14:paraId="54B73A9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BSA not</w:t>
            </w:r>
            <w:r>
              <w:rPr>
                <w:rFonts w:ascii="Times New Roman" w:hAnsi="Times New Roman"/>
                <w:sz w:val="18"/>
              </w:rPr>
              <w:br/>
              <w:t>available</w:t>
            </w:r>
          </w:p>
        </w:tc>
        <w:tc>
          <w:tcPr>
            <w:tcW w:w="1301" w:type="pct"/>
            <w:gridSpan w:val="3"/>
            <w:tcBorders>
              <w:top w:val="single" w:sz="8" w:space="0" w:color="auto"/>
              <w:left w:val="nil"/>
              <w:bottom w:val="single" w:sz="8" w:space="0" w:color="auto"/>
              <w:right w:val="single" w:sz="8" w:space="0" w:color="000000"/>
            </w:tcBorders>
            <w:shd w:val="clear" w:color="auto" w:fill="auto"/>
            <w:vAlign w:val="center"/>
            <w:hideMark/>
          </w:tcPr>
          <w:p w14:paraId="144FFFA3"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767" w:type="pct"/>
            <w:tcBorders>
              <w:top w:val="nil"/>
              <w:left w:val="nil"/>
              <w:bottom w:val="nil"/>
              <w:right w:val="nil"/>
            </w:tcBorders>
            <w:shd w:val="clear" w:color="auto" w:fill="auto"/>
            <w:noWrap/>
            <w:vAlign w:val="bottom"/>
            <w:hideMark/>
          </w:tcPr>
          <w:p w14:paraId="5C0ED3F3"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B26E71" w:rsidRPr="0086165A" w14:paraId="2996902C" w14:textId="77777777" w:rsidTr="00B26E71">
        <w:trPr>
          <w:trHeight w:val="1590"/>
        </w:trPr>
        <w:tc>
          <w:tcPr>
            <w:tcW w:w="197" w:type="pct"/>
            <w:tcBorders>
              <w:top w:val="nil"/>
              <w:left w:val="single" w:sz="8" w:space="0" w:color="auto"/>
              <w:bottom w:val="nil"/>
              <w:right w:val="single" w:sz="8" w:space="0" w:color="auto"/>
            </w:tcBorders>
            <w:shd w:val="clear" w:color="auto" w:fill="auto"/>
            <w:vAlign w:val="center"/>
            <w:hideMark/>
          </w:tcPr>
          <w:p w14:paraId="73A4A21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2</w:t>
            </w:r>
          </w:p>
        </w:tc>
        <w:tc>
          <w:tcPr>
            <w:tcW w:w="633" w:type="pct"/>
            <w:tcBorders>
              <w:top w:val="nil"/>
              <w:left w:val="nil"/>
              <w:bottom w:val="nil"/>
              <w:right w:val="single" w:sz="8" w:space="0" w:color="auto"/>
            </w:tcBorders>
            <w:shd w:val="clear" w:color="auto" w:fill="auto"/>
            <w:hideMark/>
          </w:tcPr>
          <w:p w14:paraId="0DEC5210"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Number of bids available to non-household customers</w:t>
            </w:r>
          </w:p>
        </w:tc>
        <w:tc>
          <w:tcPr>
            <w:tcW w:w="967" w:type="pct"/>
            <w:gridSpan w:val="3"/>
            <w:tcBorders>
              <w:top w:val="single" w:sz="8" w:space="0" w:color="auto"/>
              <w:left w:val="nil"/>
              <w:bottom w:val="nil"/>
              <w:right w:val="single" w:sz="8" w:space="0" w:color="000000"/>
            </w:tcBorders>
            <w:shd w:val="clear" w:color="auto" w:fill="auto"/>
            <w:vAlign w:val="center"/>
            <w:hideMark/>
          </w:tcPr>
          <w:p w14:paraId="3E14D85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735" w:type="pct"/>
            <w:gridSpan w:val="2"/>
            <w:tcBorders>
              <w:top w:val="single" w:sz="8" w:space="0" w:color="auto"/>
              <w:left w:val="nil"/>
              <w:bottom w:val="nil"/>
              <w:right w:val="single" w:sz="8" w:space="0" w:color="000000"/>
            </w:tcBorders>
            <w:shd w:val="clear" w:color="auto" w:fill="auto"/>
            <w:vAlign w:val="center"/>
            <w:hideMark/>
          </w:tcPr>
          <w:p w14:paraId="40BCB27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6</w:t>
            </w:r>
          </w:p>
        </w:tc>
        <w:tc>
          <w:tcPr>
            <w:tcW w:w="400" w:type="pct"/>
            <w:tcBorders>
              <w:top w:val="nil"/>
              <w:left w:val="nil"/>
              <w:bottom w:val="nil"/>
              <w:right w:val="single" w:sz="8" w:space="0" w:color="auto"/>
            </w:tcBorders>
            <w:shd w:val="clear" w:color="auto" w:fill="auto"/>
            <w:vAlign w:val="center"/>
            <w:hideMark/>
          </w:tcPr>
          <w:p w14:paraId="22163FF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&gt; 6</w:t>
            </w:r>
          </w:p>
        </w:tc>
        <w:tc>
          <w:tcPr>
            <w:tcW w:w="1301" w:type="pct"/>
            <w:gridSpan w:val="3"/>
            <w:tcBorders>
              <w:top w:val="single" w:sz="8" w:space="0" w:color="auto"/>
              <w:left w:val="nil"/>
              <w:bottom w:val="single" w:sz="8" w:space="0" w:color="auto"/>
              <w:right w:val="single" w:sz="8" w:space="0" w:color="000000"/>
            </w:tcBorders>
            <w:shd w:val="clear" w:color="auto" w:fill="auto"/>
            <w:vAlign w:val="center"/>
            <w:hideMark/>
          </w:tcPr>
          <w:p w14:paraId="4A9FBE71"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w:t>
            </w:r>
          </w:p>
        </w:tc>
        <w:tc>
          <w:tcPr>
            <w:tcW w:w="767" w:type="pct"/>
            <w:tcBorders>
              <w:top w:val="nil"/>
              <w:left w:val="nil"/>
              <w:bottom w:val="nil"/>
              <w:right w:val="nil"/>
            </w:tcBorders>
            <w:shd w:val="clear" w:color="auto" w:fill="auto"/>
            <w:noWrap/>
            <w:vAlign w:val="bottom"/>
            <w:hideMark/>
          </w:tcPr>
          <w:p w14:paraId="6D59D03C"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4A694D" w:rsidRPr="0086165A" w14:paraId="14FE9E05" w14:textId="77777777" w:rsidTr="00B26E71">
        <w:trPr>
          <w:trHeight w:val="315"/>
        </w:trPr>
        <w:tc>
          <w:tcPr>
            <w:tcW w:w="19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025C3E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63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3DA09B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6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EB3177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435" w:type="pct"/>
            <w:gridSpan w:val="4"/>
            <w:tcBorders>
              <w:top w:val="single" w:sz="8" w:space="0" w:color="auto"/>
              <w:left w:val="nil"/>
              <w:bottom w:val="single" w:sz="8" w:space="0" w:color="auto"/>
              <w:right w:val="nil"/>
            </w:tcBorders>
            <w:shd w:val="clear" w:color="000000" w:fill="D9D9D9"/>
            <w:vAlign w:val="center"/>
            <w:hideMark/>
          </w:tcPr>
          <w:p w14:paraId="2798A26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40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59AFF4B"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50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640AAB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43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9E26A2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6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E101A9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76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AD7D477" w14:textId="77777777" w:rsidR="00571EAF" w:rsidRPr="0086165A" w:rsidRDefault="000532B1" w:rsidP="005D6B3A">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Implementation progress for 2024</w:t>
            </w:r>
          </w:p>
        </w:tc>
      </w:tr>
      <w:tr w:rsidR="00B26E71" w:rsidRPr="0086165A" w14:paraId="6C3C73CE" w14:textId="77777777" w:rsidTr="00B26E71">
        <w:trPr>
          <w:trHeight w:val="315"/>
        </w:trPr>
        <w:tc>
          <w:tcPr>
            <w:tcW w:w="197" w:type="pct"/>
            <w:vMerge/>
            <w:tcBorders>
              <w:top w:val="single" w:sz="8" w:space="0" w:color="auto"/>
              <w:left w:val="single" w:sz="8" w:space="0" w:color="auto"/>
              <w:bottom w:val="single" w:sz="8" w:space="0" w:color="000000"/>
              <w:right w:val="single" w:sz="8" w:space="0" w:color="auto"/>
            </w:tcBorders>
            <w:vAlign w:val="center"/>
            <w:hideMark/>
          </w:tcPr>
          <w:p w14:paraId="0700CF8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33" w:type="pct"/>
            <w:vMerge/>
            <w:tcBorders>
              <w:top w:val="single" w:sz="8" w:space="0" w:color="auto"/>
              <w:left w:val="single" w:sz="8" w:space="0" w:color="auto"/>
              <w:bottom w:val="single" w:sz="8" w:space="0" w:color="000000"/>
              <w:right w:val="single" w:sz="8" w:space="0" w:color="auto"/>
            </w:tcBorders>
            <w:vAlign w:val="center"/>
            <w:hideMark/>
          </w:tcPr>
          <w:p w14:paraId="452734B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67" w:type="pct"/>
            <w:vMerge/>
            <w:tcBorders>
              <w:top w:val="single" w:sz="8" w:space="0" w:color="auto"/>
              <w:left w:val="single" w:sz="8" w:space="0" w:color="auto"/>
              <w:bottom w:val="single" w:sz="8" w:space="0" w:color="000000"/>
              <w:right w:val="single" w:sz="8" w:space="0" w:color="auto"/>
            </w:tcBorders>
            <w:vAlign w:val="center"/>
            <w:hideMark/>
          </w:tcPr>
          <w:p w14:paraId="0C1EC1FA"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00" w:type="pct"/>
            <w:tcBorders>
              <w:top w:val="nil"/>
              <w:left w:val="nil"/>
              <w:bottom w:val="nil"/>
              <w:right w:val="single" w:sz="8" w:space="0" w:color="auto"/>
            </w:tcBorders>
            <w:shd w:val="clear" w:color="000000" w:fill="D9D9D9"/>
            <w:vAlign w:val="center"/>
            <w:hideMark/>
          </w:tcPr>
          <w:p w14:paraId="130457B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0" w:type="pct"/>
            <w:tcBorders>
              <w:top w:val="nil"/>
              <w:left w:val="nil"/>
              <w:bottom w:val="nil"/>
              <w:right w:val="single" w:sz="8" w:space="0" w:color="auto"/>
            </w:tcBorders>
            <w:shd w:val="clear" w:color="000000" w:fill="D9D9D9"/>
            <w:vAlign w:val="center"/>
            <w:hideMark/>
          </w:tcPr>
          <w:p w14:paraId="28A583F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1" w:type="pct"/>
            <w:tcBorders>
              <w:top w:val="nil"/>
              <w:left w:val="nil"/>
              <w:bottom w:val="nil"/>
              <w:right w:val="single" w:sz="8" w:space="0" w:color="auto"/>
            </w:tcBorders>
            <w:shd w:val="clear" w:color="000000" w:fill="D9D9D9"/>
            <w:vAlign w:val="center"/>
            <w:hideMark/>
          </w:tcPr>
          <w:p w14:paraId="70C4399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34" w:type="pct"/>
            <w:tcBorders>
              <w:top w:val="nil"/>
              <w:left w:val="nil"/>
              <w:bottom w:val="nil"/>
              <w:right w:val="single" w:sz="8" w:space="0" w:color="auto"/>
            </w:tcBorders>
            <w:shd w:val="clear" w:color="000000" w:fill="D9D9D9"/>
            <w:vAlign w:val="center"/>
            <w:hideMark/>
          </w:tcPr>
          <w:p w14:paraId="32E29C7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400" w:type="pct"/>
            <w:vMerge/>
            <w:tcBorders>
              <w:top w:val="single" w:sz="8" w:space="0" w:color="auto"/>
              <w:left w:val="single" w:sz="8" w:space="0" w:color="auto"/>
              <w:bottom w:val="single" w:sz="8" w:space="0" w:color="000000"/>
              <w:right w:val="single" w:sz="8" w:space="0" w:color="auto"/>
            </w:tcBorders>
            <w:vAlign w:val="center"/>
            <w:hideMark/>
          </w:tcPr>
          <w:p w14:paraId="3A9A55A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500" w:type="pct"/>
            <w:vMerge/>
            <w:tcBorders>
              <w:top w:val="nil"/>
              <w:left w:val="single" w:sz="8" w:space="0" w:color="auto"/>
              <w:bottom w:val="single" w:sz="8" w:space="0" w:color="000000"/>
              <w:right w:val="single" w:sz="8" w:space="0" w:color="auto"/>
            </w:tcBorders>
            <w:vAlign w:val="center"/>
            <w:hideMark/>
          </w:tcPr>
          <w:p w14:paraId="4DD3E2B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35" w:type="pct"/>
            <w:vMerge/>
            <w:tcBorders>
              <w:top w:val="nil"/>
              <w:left w:val="single" w:sz="8" w:space="0" w:color="auto"/>
              <w:bottom w:val="single" w:sz="8" w:space="0" w:color="000000"/>
              <w:right w:val="single" w:sz="8" w:space="0" w:color="auto"/>
            </w:tcBorders>
            <w:vAlign w:val="center"/>
            <w:hideMark/>
          </w:tcPr>
          <w:p w14:paraId="54AE8A6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6" w:type="pct"/>
            <w:vMerge/>
            <w:tcBorders>
              <w:top w:val="nil"/>
              <w:left w:val="single" w:sz="8" w:space="0" w:color="auto"/>
              <w:bottom w:val="single" w:sz="8" w:space="0" w:color="000000"/>
              <w:right w:val="single" w:sz="8" w:space="0" w:color="auto"/>
            </w:tcBorders>
            <w:vAlign w:val="center"/>
            <w:hideMark/>
          </w:tcPr>
          <w:p w14:paraId="46FFB901"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767" w:type="pct"/>
            <w:vMerge/>
            <w:tcBorders>
              <w:top w:val="single" w:sz="8" w:space="0" w:color="auto"/>
              <w:left w:val="single" w:sz="8" w:space="0" w:color="auto"/>
              <w:bottom w:val="single" w:sz="8" w:space="0" w:color="000000"/>
              <w:right w:val="single" w:sz="8" w:space="0" w:color="auto"/>
            </w:tcBorders>
            <w:vAlign w:val="center"/>
            <w:hideMark/>
          </w:tcPr>
          <w:p w14:paraId="5B69285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57861056" w14:textId="77777777" w:rsidTr="00B26E71">
        <w:trPr>
          <w:trHeight w:val="330"/>
        </w:trPr>
        <w:tc>
          <w:tcPr>
            <w:tcW w:w="197" w:type="pct"/>
            <w:vMerge/>
            <w:tcBorders>
              <w:top w:val="single" w:sz="8" w:space="0" w:color="auto"/>
              <w:left w:val="single" w:sz="8" w:space="0" w:color="auto"/>
              <w:bottom w:val="single" w:sz="8" w:space="0" w:color="000000"/>
              <w:right w:val="single" w:sz="8" w:space="0" w:color="auto"/>
            </w:tcBorders>
            <w:vAlign w:val="center"/>
            <w:hideMark/>
          </w:tcPr>
          <w:p w14:paraId="6633918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33" w:type="pct"/>
            <w:vMerge/>
            <w:tcBorders>
              <w:top w:val="single" w:sz="8" w:space="0" w:color="auto"/>
              <w:left w:val="single" w:sz="8" w:space="0" w:color="auto"/>
              <w:bottom w:val="single" w:sz="8" w:space="0" w:color="000000"/>
              <w:right w:val="single" w:sz="8" w:space="0" w:color="auto"/>
            </w:tcBorders>
            <w:vAlign w:val="center"/>
            <w:hideMark/>
          </w:tcPr>
          <w:p w14:paraId="636202D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67" w:type="pct"/>
            <w:vMerge/>
            <w:tcBorders>
              <w:top w:val="single" w:sz="8" w:space="0" w:color="auto"/>
              <w:left w:val="single" w:sz="8" w:space="0" w:color="auto"/>
              <w:bottom w:val="single" w:sz="8" w:space="0" w:color="000000"/>
              <w:right w:val="single" w:sz="8" w:space="0" w:color="auto"/>
            </w:tcBorders>
            <w:vAlign w:val="center"/>
            <w:hideMark/>
          </w:tcPr>
          <w:p w14:paraId="4212D68E"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00" w:type="pct"/>
            <w:tcBorders>
              <w:top w:val="nil"/>
              <w:left w:val="nil"/>
              <w:bottom w:val="single" w:sz="8" w:space="0" w:color="auto"/>
              <w:right w:val="single" w:sz="8" w:space="0" w:color="auto"/>
            </w:tcBorders>
            <w:shd w:val="clear" w:color="000000" w:fill="D9D9D9"/>
            <w:vAlign w:val="center"/>
            <w:hideMark/>
          </w:tcPr>
          <w:p w14:paraId="67BDDC2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400" w:type="pct"/>
            <w:tcBorders>
              <w:top w:val="nil"/>
              <w:left w:val="nil"/>
              <w:bottom w:val="single" w:sz="8" w:space="0" w:color="auto"/>
              <w:right w:val="single" w:sz="8" w:space="0" w:color="auto"/>
            </w:tcBorders>
            <w:shd w:val="clear" w:color="000000" w:fill="D9D9D9"/>
            <w:vAlign w:val="center"/>
            <w:hideMark/>
          </w:tcPr>
          <w:p w14:paraId="79B2AFF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401" w:type="pct"/>
            <w:tcBorders>
              <w:top w:val="nil"/>
              <w:left w:val="nil"/>
              <w:bottom w:val="single" w:sz="8" w:space="0" w:color="auto"/>
              <w:right w:val="single" w:sz="8" w:space="0" w:color="auto"/>
            </w:tcBorders>
            <w:shd w:val="clear" w:color="000000" w:fill="D9D9D9"/>
            <w:vAlign w:val="center"/>
            <w:hideMark/>
          </w:tcPr>
          <w:p w14:paraId="57153F4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334" w:type="pct"/>
            <w:tcBorders>
              <w:top w:val="nil"/>
              <w:left w:val="nil"/>
              <w:bottom w:val="single" w:sz="8" w:space="0" w:color="auto"/>
              <w:right w:val="single" w:sz="8" w:space="0" w:color="auto"/>
            </w:tcBorders>
            <w:shd w:val="clear" w:color="000000" w:fill="D9D9D9"/>
            <w:vAlign w:val="center"/>
            <w:hideMark/>
          </w:tcPr>
          <w:p w14:paraId="6528F7E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400" w:type="pct"/>
            <w:vMerge/>
            <w:tcBorders>
              <w:top w:val="single" w:sz="8" w:space="0" w:color="auto"/>
              <w:left w:val="single" w:sz="8" w:space="0" w:color="auto"/>
              <w:bottom w:val="single" w:sz="8" w:space="0" w:color="000000"/>
              <w:right w:val="single" w:sz="8" w:space="0" w:color="auto"/>
            </w:tcBorders>
            <w:vAlign w:val="center"/>
            <w:hideMark/>
          </w:tcPr>
          <w:p w14:paraId="6FBA6D5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500" w:type="pct"/>
            <w:vMerge/>
            <w:tcBorders>
              <w:top w:val="nil"/>
              <w:left w:val="single" w:sz="8" w:space="0" w:color="auto"/>
              <w:bottom w:val="single" w:sz="8" w:space="0" w:color="000000"/>
              <w:right w:val="single" w:sz="8" w:space="0" w:color="auto"/>
            </w:tcBorders>
            <w:vAlign w:val="center"/>
            <w:hideMark/>
          </w:tcPr>
          <w:p w14:paraId="5E00C2EC"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35" w:type="pct"/>
            <w:vMerge/>
            <w:tcBorders>
              <w:top w:val="nil"/>
              <w:left w:val="single" w:sz="8" w:space="0" w:color="auto"/>
              <w:bottom w:val="single" w:sz="8" w:space="0" w:color="000000"/>
              <w:right w:val="single" w:sz="8" w:space="0" w:color="auto"/>
            </w:tcBorders>
            <w:vAlign w:val="center"/>
            <w:hideMark/>
          </w:tcPr>
          <w:p w14:paraId="5E42B35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6" w:type="pct"/>
            <w:vMerge/>
            <w:tcBorders>
              <w:top w:val="nil"/>
              <w:left w:val="single" w:sz="8" w:space="0" w:color="auto"/>
              <w:bottom w:val="single" w:sz="8" w:space="0" w:color="000000"/>
              <w:right w:val="single" w:sz="8" w:space="0" w:color="auto"/>
            </w:tcBorders>
            <w:vAlign w:val="center"/>
            <w:hideMark/>
          </w:tcPr>
          <w:p w14:paraId="3FE822F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767" w:type="pct"/>
            <w:vMerge/>
            <w:tcBorders>
              <w:top w:val="single" w:sz="8" w:space="0" w:color="auto"/>
              <w:left w:val="single" w:sz="8" w:space="0" w:color="auto"/>
              <w:bottom w:val="single" w:sz="8" w:space="0" w:color="000000"/>
              <w:right w:val="single" w:sz="8" w:space="0" w:color="auto"/>
            </w:tcBorders>
            <w:vAlign w:val="center"/>
            <w:hideMark/>
          </w:tcPr>
          <w:p w14:paraId="47926DAB"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0862BD49" w14:textId="77777777" w:rsidTr="00B26E71">
        <w:trPr>
          <w:trHeight w:val="1060"/>
        </w:trPr>
        <w:tc>
          <w:tcPr>
            <w:tcW w:w="197" w:type="pct"/>
            <w:tcBorders>
              <w:top w:val="nil"/>
              <w:left w:val="single" w:sz="8" w:space="0" w:color="auto"/>
              <w:bottom w:val="single" w:sz="8" w:space="0" w:color="auto"/>
              <w:right w:val="single" w:sz="8" w:space="0" w:color="auto"/>
            </w:tcBorders>
            <w:shd w:val="clear" w:color="auto" w:fill="auto"/>
            <w:vAlign w:val="center"/>
            <w:hideMark/>
          </w:tcPr>
          <w:p w14:paraId="4D2D9D9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IV.2.1</w:t>
            </w:r>
          </w:p>
        </w:tc>
        <w:tc>
          <w:tcPr>
            <w:tcW w:w="633" w:type="pct"/>
            <w:tcBorders>
              <w:top w:val="nil"/>
              <w:left w:val="nil"/>
              <w:bottom w:val="single" w:sz="8" w:space="0" w:color="auto"/>
              <w:right w:val="single" w:sz="8" w:space="0" w:color="auto"/>
            </w:tcBorders>
            <w:shd w:val="clear" w:color="auto" w:fill="auto"/>
            <w:vAlign w:val="center"/>
            <w:hideMark/>
          </w:tcPr>
          <w:p w14:paraId="6A0293D9"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and adoption of Law on Energy</w:t>
            </w:r>
          </w:p>
        </w:tc>
        <w:tc>
          <w:tcPr>
            <w:tcW w:w="267" w:type="pct"/>
            <w:tcBorders>
              <w:top w:val="nil"/>
              <w:left w:val="nil"/>
              <w:bottom w:val="single" w:sz="8" w:space="0" w:color="auto"/>
              <w:right w:val="single" w:sz="8" w:space="0" w:color="auto"/>
            </w:tcBorders>
            <w:shd w:val="clear" w:color="000000" w:fill="FFFFFF"/>
            <w:vAlign w:val="center"/>
            <w:hideMark/>
          </w:tcPr>
          <w:p w14:paraId="7FEED34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00" w:type="pct"/>
            <w:tcBorders>
              <w:top w:val="nil"/>
              <w:left w:val="nil"/>
              <w:bottom w:val="single" w:sz="8" w:space="0" w:color="auto"/>
              <w:right w:val="single" w:sz="8" w:space="0" w:color="auto"/>
            </w:tcBorders>
            <w:shd w:val="clear" w:color="000000" w:fill="FFFFFF"/>
            <w:vAlign w:val="center"/>
            <w:hideMark/>
          </w:tcPr>
          <w:p w14:paraId="39E93A24" w14:textId="77777777" w:rsidR="00A154B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082D519F" w14:textId="73590A33"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400" w:type="pct"/>
            <w:tcBorders>
              <w:top w:val="nil"/>
              <w:left w:val="nil"/>
              <w:bottom w:val="single" w:sz="8" w:space="0" w:color="auto"/>
              <w:right w:val="single" w:sz="8" w:space="0" w:color="auto"/>
            </w:tcBorders>
            <w:shd w:val="clear" w:color="000000" w:fill="FFFFFF"/>
            <w:vAlign w:val="center"/>
            <w:hideMark/>
          </w:tcPr>
          <w:p w14:paraId="4DA1050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13,500.00 </w:t>
            </w:r>
          </w:p>
        </w:tc>
        <w:tc>
          <w:tcPr>
            <w:tcW w:w="401" w:type="pct"/>
            <w:tcBorders>
              <w:top w:val="nil"/>
              <w:left w:val="nil"/>
              <w:bottom w:val="single" w:sz="8" w:space="0" w:color="auto"/>
              <w:right w:val="single" w:sz="8" w:space="0" w:color="auto"/>
            </w:tcBorders>
            <w:shd w:val="clear" w:color="000000" w:fill="FFFFFF"/>
            <w:vAlign w:val="center"/>
            <w:hideMark/>
          </w:tcPr>
          <w:p w14:paraId="354A7CDD"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r>
              <w:rPr>
                <w:rFonts w:ascii="Times New Roman" w:hAnsi="Times New Roman"/>
                <w:b/>
                <w:sz w:val="18"/>
              </w:rPr>
              <w:t xml:space="preserve">  </w:t>
            </w:r>
          </w:p>
        </w:tc>
        <w:tc>
          <w:tcPr>
            <w:tcW w:w="334" w:type="pct"/>
            <w:tcBorders>
              <w:top w:val="nil"/>
              <w:left w:val="nil"/>
              <w:bottom w:val="single" w:sz="8" w:space="0" w:color="auto"/>
              <w:right w:val="single" w:sz="8" w:space="0" w:color="auto"/>
            </w:tcBorders>
            <w:shd w:val="clear" w:color="000000" w:fill="FFFFFF"/>
            <w:vAlign w:val="center"/>
            <w:hideMark/>
          </w:tcPr>
          <w:p w14:paraId="05A5014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000000" w:fill="FFFFFF"/>
            <w:vAlign w:val="center"/>
            <w:hideMark/>
          </w:tcPr>
          <w:p w14:paraId="262ED63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500" w:type="pct"/>
            <w:tcBorders>
              <w:top w:val="nil"/>
              <w:left w:val="nil"/>
              <w:bottom w:val="single" w:sz="8" w:space="0" w:color="auto"/>
              <w:right w:val="single" w:sz="8" w:space="0" w:color="auto"/>
            </w:tcBorders>
            <w:shd w:val="clear" w:color="000000" w:fill="FFFFFF"/>
            <w:vAlign w:val="center"/>
            <w:hideMark/>
          </w:tcPr>
          <w:p w14:paraId="6DDCB227" w14:textId="77777777" w:rsidR="00571EAF" w:rsidRPr="0086165A" w:rsidRDefault="00493F91"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 KOSTT, KEK</w:t>
            </w:r>
          </w:p>
        </w:tc>
        <w:tc>
          <w:tcPr>
            <w:tcW w:w="435" w:type="pct"/>
            <w:tcBorders>
              <w:top w:val="nil"/>
              <w:left w:val="nil"/>
              <w:bottom w:val="single" w:sz="8" w:space="0" w:color="auto"/>
              <w:right w:val="single" w:sz="8" w:space="0" w:color="auto"/>
            </w:tcBorders>
            <w:shd w:val="clear" w:color="000000" w:fill="FFFFFF"/>
            <w:vAlign w:val="center"/>
            <w:hideMark/>
          </w:tcPr>
          <w:p w14:paraId="46AB688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adopted and aligned with EU directives</w:t>
            </w:r>
          </w:p>
        </w:tc>
        <w:tc>
          <w:tcPr>
            <w:tcW w:w="366" w:type="pct"/>
            <w:tcBorders>
              <w:top w:val="nil"/>
              <w:left w:val="nil"/>
              <w:bottom w:val="single" w:sz="8" w:space="0" w:color="auto"/>
              <w:right w:val="single" w:sz="8" w:space="0" w:color="auto"/>
            </w:tcBorders>
            <w:shd w:val="clear" w:color="000000" w:fill="FFFFFF"/>
            <w:vAlign w:val="center"/>
            <w:hideMark/>
          </w:tcPr>
          <w:p w14:paraId="38D594F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2022 - 2031 </w:t>
            </w:r>
          </w:p>
        </w:tc>
        <w:tc>
          <w:tcPr>
            <w:tcW w:w="767" w:type="pct"/>
            <w:tcBorders>
              <w:top w:val="nil"/>
              <w:left w:val="nil"/>
              <w:bottom w:val="single" w:sz="8" w:space="0" w:color="auto"/>
              <w:right w:val="single" w:sz="8" w:space="0" w:color="auto"/>
            </w:tcBorders>
            <w:shd w:val="clear" w:color="auto" w:fill="auto"/>
            <w:vAlign w:val="center"/>
            <w:hideMark/>
          </w:tcPr>
          <w:p w14:paraId="74C017EC" w14:textId="42E12992" w:rsidR="00571EAF" w:rsidRPr="0086165A" w:rsidRDefault="005F2590" w:rsidP="00863836">
            <w:pPr>
              <w:spacing w:after="0" w:line="240" w:lineRule="auto"/>
              <w:rPr>
                <w:rFonts w:ascii="Times New Roman" w:eastAsia="Times New Roman" w:hAnsi="Times New Roman" w:cs="Times New Roman"/>
                <w:sz w:val="18"/>
                <w:szCs w:val="18"/>
              </w:rPr>
            </w:pPr>
            <w:r>
              <w:rPr>
                <w:rFonts w:ascii="Times New Roman" w:hAnsi="Times New Roman"/>
                <w:sz w:val="18"/>
              </w:rPr>
              <w:t>The Draft Law on Energy has passed preliminary and public discussion and was submitted for comments to the ECS. Comments received from all discussions, including those from the ECS, have been addressed. An opinion on the financial impact assessment has been received from MFLT, and an opinion on compliance with EU legislation from the Legal Office/Prime Minister’s Office (DDB/ZKM). This draft law is ready to be sent to the Government of the Republic of Kosovo (GRK) for approval.</w:t>
            </w:r>
          </w:p>
        </w:tc>
      </w:tr>
      <w:tr w:rsidR="00B26E71" w:rsidRPr="0086165A" w14:paraId="46C0E202" w14:textId="77777777" w:rsidTr="00B26E71">
        <w:trPr>
          <w:trHeight w:val="1605"/>
        </w:trPr>
        <w:tc>
          <w:tcPr>
            <w:tcW w:w="197" w:type="pct"/>
            <w:tcBorders>
              <w:top w:val="nil"/>
              <w:left w:val="single" w:sz="8" w:space="0" w:color="auto"/>
              <w:bottom w:val="single" w:sz="8" w:space="0" w:color="auto"/>
              <w:right w:val="single" w:sz="8" w:space="0" w:color="auto"/>
            </w:tcBorders>
            <w:shd w:val="clear" w:color="000000" w:fill="FFFFFF"/>
            <w:vAlign w:val="center"/>
            <w:hideMark/>
          </w:tcPr>
          <w:p w14:paraId="4F04596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IV.2.2</w:t>
            </w:r>
          </w:p>
        </w:tc>
        <w:tc>
          <w:tcPr>
            <w:tcW w:w="633" w:type="pct"/>
            <w:tcBorders>
              <w:top w:val="nil"/>
              <w:left w:val="nil"/>
              <w:bottom w:val="single" w:sz="8" w:space="0" w:color="auto"/>
              <w:right w:val="single" w:sz="8" w:space="0" w:color="auto"/>
            </w:tcBorders>
            <w:shd w:val="clear" w:color="000000" w:fill="FFFFFF"/>
            <w:vAlign w:val="center"/>
            <w:hideMark/>
          </w:tcPr>
          <w:p w14:paraId="74E7CED6"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and adopting bylaws based on the Law on Energy</w:t>
            </w:r>
          </w:p>
        </w:tc>
        <w:tc>
          <w:tcPr>
            <w:tcW w:w="267" w:type="pct"/>
            <w:tcBorders>
              <w:top w:val="nil"/>
              <w:left w:val="nil"/>
              <w:bottom w:val="single" w:sz="8" w:space="0" w:color="auto"/>
              <w:right w:val="single" w:sz="8" w:space="0" w:color="auto"/>
            </w:tcBorders>
            <w:shd w:val="clear" w:color="000000" w:fill="FFFFFF"/>
            <w:vAlign w:val="center"/>
            <w:hideMark/>
          </w:tcPr>
          <w:p w14:paraId="7BF6EDE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00" w:type="pct"/>
            <w:tcBorders>
              <w:top w:val="nil"/>
              <w:left w:val="nil"/>
              <w:bottom w:val="single" w:sz="8" w:space="0" w:color="auto"/>
              <w:right w:val="single" w:sz="8" w:space="0" w:color="auto"/>
            </w:tcBorders>
            <w:shd w:val="clear" w:color="000000" w:fill="FFFFFF"/>
            <w:vAlign w:val="center"/>
            <w:hideMark/>
          </w:tcPr>
          <w:p w14:paraId="158786F1" w14:textId="77777777" w:rsidR="00A154B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4B12F650" w14:textId="43685B68"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400" w:type="pct"/>
            <w:tcBorders>
              <w:top w:val="nil"/>
              <w:left w:val="nil"/>
              <w:bottom w:val="single" w:sz="8" w:space="0" w:color="auto"/>
              <w:right w:val="single" w:sz="8" w:space="0" w:color="auto"/>
            </w:tcBorders>
            <w:shd w:val="clear" w:color="000000" w:fill="FFFFFF"/>
            <w:vAlign w:val="center"/>
            <w:hideMark/>
          </w:tcPr>
          <w:p w14:paraId="31804B1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1" w:type="pct"/>
            <w:tcBorders>
              <w:top w:val="nil"/>
              <w:left w:val="nil"/>
              <w:bottom w:val="single" w:sz="8" w:space="0" w:color="auto"/>
              <w:right w:val="single" w:sz="8" w:space="0" w:color="auto"/>
            </w:tcBorders>
            <w:shd w:val="clear" w:color="000000" w:fill="FFFFFF"/>
            <w:vAlign w:val="center"/>
            <w:hideMark/>
          </w:tcPr>
          <w:p w14:paraId="21CD2D5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30,800.00 </w:t>
            </w:r>
          </w:p>
        </w:tc>
        <w:tc>
          <w:tcPr>
            <w:tcW w:w="334" w:type="pct"/>
            <w:tcBorders>
              <w:top w:val="nil"/>
              <w:left w:val="nil"/>
              <w:bottom w:val="single" w:sz="8" w:space="0" w:color="auto"/>
              <w:right w:val="single" w:sz="8" w:space="0" w:color="auto"/>
            </w:tcBorders>
            <w:shd w:val="clear" w:color="000000" w:fill="FFFFFF"/>
            <w:vAlign w:val="center"/>
            <w:hideMark/>
          </w:tcPr>
          <w:p w14:paraId="575010E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000000" w:fill="FFFFFF"/>
            <w:vAlign w:val="center"/>
            <w:hideMark/>
          </w:tcPr>
          <w:p w14:paraId="35A4782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500" w:type="pct"/>
            <w:tcBorders>
              <w:top w:val="nil"/>
              <w:left w:val="nil"/>
              <w:bottom w:val="single" w:sz="8" w:space="0" w:color="auto"/>
              <w:right w:val="single" w:sz="8" w:space="0" w:color="auto"/>
            </w:tcBorders>
            <w:shd w:val="clear" w:color="000000" w:fill="FFFFFF"/>
            <w:vAlign w:val="center"/>
            <w:hideMark/>
          </w:tcPr>
          <w:p w14:paraId="01A1758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ME, ERO, KOSTT </w:t>
            </w:r>
          </w:p>
        </w:tc>
        <w:tc>
          <w:tcPr>
            <w:tcW w:w="435" w:type="pct"/>
            <w:tcBorders>
              <w:top w:val="nil"/>
              <w:left w:val="nil"/>
              <w:bottom w:val="single" w:sz="8" w:space="0" w:color="auto"/>
              <w:right w:val="single" w:sz="8" w:space="0" w:color="auto"/>
            </w:tcBorders>
            <w:shd w:val="clear" w:color="000000" w:fill="FFFFFF"/>
            <w:vAlign w:val="center"/>
            <w:hideMark/>
          </w:tcPr>
          <w:p w14:paraId="2A25EF2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Secondary legislation adopted </w:t>
            </w:r>
          </w:p>
        </w:tc>
        <w:tc>
          <w:tcPr>
            <w:tcW w:w="366" w:type="pct"/>
            <w:tcBorders>
              <w:top w:val="nil"/>
              <w:left w:val="nil"/>
              <w:bottom w:val="single" w:sz="8" w:space="0" w:color="auto"/>
              <w:right w:val="single" w:sz="8" w:space="0" w:color="auto"/>
            </w:tcBorders>
            <w:shd w:val="clear" w:color="000000" w:fill="FFFFFF"/>
            <w:vAlign w:val="center"/>
            <w:hideMark/>
          </w:tcPr>
          <w:p w14:paraId="0C551087"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767" w:type="pct"/>
            <w:tcBorders>
              <w:top w:val="nil"/>
              <w:left w:val="nil"/>
              <w:bottom w:val="single" w:sz="8" w:space="0" w:color="auto"/>
              <w:right w:val="single" w:sz="8" w:space="0" w:color="auto"/>
            </w:tcBorders>
            <w:shd w:val="clear" w:color="000000" w:fill="FFFFFF"/>
            <w:vAlign w:val="center"/>
            <w:hideMark/>
          </w:tcPr>
          <w:p w14:paraId="3667CA19" w14:textId="77777777" w:rsidR="00571EAF" w:rsidRPr="0014539F" w:rsidRDefault="00571EAF" w:rsidP="00863836">
            <w:pPr>
              <w:spacing w:after="0" w:line="240" w:lineRule="auto"/>
              <w:rPr>
                <w:rFonts w:ascii="Times New Roman" w:eastAsia="Times New Roman" w:hAnsi="Times New Roman" w:cs="Times New Roman"/>
                <w:sz w:val="18"/>
                <w:szCs w:val="18"/>
              </w:rPr>
            </w:pPr>
            <w:r>
              <w:rPr>
                <w:rFonts w:ascii="Times New Roman" w:hAnsi="Times New Roman"/>
                <w:sz w:val="18"/>
              </w:rPr>
              <w:t>After the approval of the Law on Energy, the drafting and approval of secondary legislation deriving from the law will continue.</w:t>
            </w:r>
          </w:p>
        </w:tc>
      </w:tr>
      <w:tr w:rsidR="00B26E71" w:rsidRPr="0086165A" w14:paraId="789433FA" w14:textId="77777777" w:rsidTr="00B26E71">
        <w:trPr>
          <w:trHeight w:val="4035"/>
        </w:trPr>
        <w:tc>
          <w:tcPr>
            <w:tcW w:w="197" w:type="pct"/>
            <w:tcBorders>
              <w:top w:val="nil"/>
              <w:left w:val="single" w:sz="8" w:space="0" w:color="auto"/>
              <w:bottom w:val="single" w:sz="8" w:space="0" w:color="auto"/>
              <w:right w:val="single" w:sz="8" w:space="0" w:color="auto"/>
            </w:tcBorders>
            <w:shd w:val="clear" w:color="auto" w:fill="auto"/>
            <w:vAlign w:val="center"/>
            <w:hideMark/>
          </w:tcPr>
          <w:p w14:paraId="70AB3C7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IV.2.3</w:t>
            </w:r>
          </w:p>
        </w:tc>
        <w:tc>
          <w:tcPr>
            <w:tcW w:w="633" w:type="pct"/>
            <w:tcBorders>
              <w:top w:val="nil"/>
              <w:left w:val="nil"/>
              <w:bottom w:val="single" w:sz="8" w:space="0" w:color="auto"/>
              <w:right w:val="single" w:sz="8" w:space="0" w:color="auto"/>
            </w:tcBorders>
            <w:shd w:val="clear" w:color="auto" w:fill="auto"/>
            <w:vAlign w:val="center"/>
            <w:hideMark/>
          </w:tcPr>
          <w:p w14:paraId="743AB375"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and adopting the Law on Electricity</w:t>
            </w:r>
          </w:p>
        </w:tc>
        <w:tc>
          <w:tcPr>
            <w:tcW w:w="267" w:type="pct"/>
            <w:tcBorders>
              <w:top w:val="nil"/>
              <w:left w:val="nil"/>
              <w:bottom w:val="single" w:sz="8" w:space="0" w:color="auto"/>
              <w:right w:val="single" w:sz="8" w:space="0" w:color="auto"/>
            </w:tcBorders>
            <w:shd w:val="clear" w:color="auto" w:fill="auto"/>
            <w:vAlign w:val="center"/>
            <w:hideMark/>
          </w:tcPr>
          <w:p w14:paraId="0B038BD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00" w:type="pct"/>
            <w:tcBorders>
              <w:top w:val="nil"/>
              <w:left w:val="nil"/>
              <w:bottom w:val="single" w:sz="8" w:space="0" w:color="auto"/>
              <w:right w:val="single" w:sz="8" w:space="0" w:color="auto"/>
            </w:tcBorders>
            <w:shd w:val="clear" w:color="auto" w:fill="auto"/>
            <w:vAlign w:val="center"/>
            <w:hideMark/>
          </w:tcPr>
          <w:p w14:paraId="79324C00" w14:textId="77777777" w:rsidR="0031667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22176B3A" w14:textId="11F182C4"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400" w:type="pct"/>
            <w:tcBorders>
              <w:top w:val="nil"/>
              <w:left w:val="nil"/>
              <w:bottom w:val="single" w:sz="8" w:space="0" w:color="auto"/>
              <w:right w:val="single" w:sz="8" w:space="0" w:color="auto"/>
            </w:tcBorders>
            <w:shd w:val="clear" w:color="auto" w:fill="auto"/>
            <w:vAlign w:val="center"/>
            <w:hideMark/>
          </w:tcPr>
          <w:p w14:paraId="7779608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10,800.00 </w:t>
            </w:r>
          </w:p>
        </w:tc>
        <w:tc>
          <w:tcPr>
            <w:tcW w:w="401" w:type="pct"/>
            <w:tcBorders>
              <w:top w:val="nil"/>
              <w:left w:val="nil"/>
              <w:bottom w:val="single" w:sz="8" w:space="0" w:color="auto"/>
              <w:right w:val="single" w:sz="8" w:space="0" w:color="auto"/>
            </w:tcBorders>
            <w:shd w:val="clear" w:color="auto" w:fill="auto"/>
            <w:vAlign w:val="center"/>
            <w:hideMark/>
          </w:tcPr>
          <w:p w14:paraId="0679917C"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r>
              <w:rPr>
                <w:rFonts w:ascii="Times New Roman" w:hAnsi="Times New Roman"/>
                <w:b/>
                <w:sz w:val="18"/>
              </w:rPr>
              <w:t xml:space="preserve"> </w:t>
            </w:r>
          </w:p>
        </w:tc>
        <w:tc>
          <w:tcPr>
            <w:tcW w:w="334" w:type="pct"/>
            <w:tcBorders>
              <w:top w:val="nil"/>
              <w:left w:val="nil"/>
              <w:bottom w:val="single" w:sz="8" w:space="0" w:color="auto"/>
              <w:right w:val="single" w:sz="8" w:space="0" w:color="auto"/>
            </w:tcBorders>
            <w:shd w:val="clear" w:color="auto" w:fill="auto"/>
            <w:vAlign w:val="center"/>
            <w:hideMark/>
          </w:tcPr>
          <w:p w14:paraId="00CF059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auto" w:fill="auto"/>
            <w:vAlign w:val="center"/>
            <w:hideMark/>
          </w:tcPr>
          <w:p w14:paraId="21150BA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500" w:type="pct"/>
            <w:tcBorders>
              <w:top w:val="nil"/>
              <w:left w:val="nil"/>
              <w:bottom w:val="single" w:sz="8" w:space="0" w:color="auto"/>
              <w:right w:val="single" w:sz="8" w:space="0" w:color="auto"/>
            </w:tcBorders>
            <w:shd w:val="clear" w:color="auto" w:fill="auto"/>
            <w:vAlign w:val="center"/>
            <w:hideMark/>
          </w:tcPr>
          <w:p w14:paraId="3F6DC5B0" w14:textId="77777777" w:rsidR="008010D7"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w:t>
            </w:r>
          </w:p>
          <w:p w14:paraId="7145CE1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KOSTT </w:t>
            </w:r>
          </w:p>
        </w:tc>
        <w:tc>
          <w:tcPr>
            <w:tcW w:w="435" w:type="pct"/>
            <w:tcBorders>
              <w:top w:val="nil"/>
              <w:left w:val="nil"/>
              <w:bottom w:val="single" w:sz="8" w:space="0" w:color="auto"/>
              <w:right w:val="single" w:sz="8" w:space="0" w:color="auto"/>
            </w:tcBorders>
            <w:shd w:val="clear" w:color="auto" w:fill="auto"/>
            <w:vAlign w:val="center"/>
            <w:hideMark/>
          </w:tcPr>
          <w:p w14:paraId="1E00F02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adopted and aligned with EU directives</w:t>
            </w:r>
          </w:p>
        </w:tc>
        <w:tc>
          <w:tcPr>
            <w:tcW w:w="366" w:type="pct"/>
            <w:tcBorders>
              <w:top w:val="nil"/>
              <w:left w:val="nil"/>
              <w:bottom w:val="single" w:sz="8" w:space="0" w:color="auto"/>
              <w:right w:val="single" w:sz="8" w:space="0" w:color="auto"/>
            </w:tcBorders>
            <w:shd w:val="clear" w:color="auto" w:fill="auto"/>
            <w:vAlign w:val="center"/>
            <w:hideMark/>
          </w:tcPr>
          <w:p w14:paraId="250AA652"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r>
              <w:rPr>
                <w:rFonts w:ascii="Times New Roman" w:hAnsi="Times New Roman"/>
                <w:sz w:val="18"/>
              </w:rPr>
              <w:br w:type="page"/>
            </w:r>
          </w:p>
        </w:tc>
        <w:tc>
          <w:tcPr>
            <w:tcW w:w="767" w:type="pct"/>
            <w:tcBorders>
              <w:top w:val="nil"/>
              <w:left w:val="nil"/>
              <w:bottom w:val="single" w:sz="8" w:space="0" w:color="auto"/>
              <w:right w:val="single" w:sz="8" w:space="0" w:color="auto"/>
            </w:tcBorders>
            <w:shd w:val="clear" w:color="auto" w:fill="auto"/>
            <w:vAlign w:val="center"/>
            <w:hideMark/>
          </w:tcPr>
          <w:p w14:paraId="249B6591" w14:textId="4F65D595" w:rsidR="00571EAF" w:rsidRPr="0086165A" w:rsidRDefault="00571EAF" w:rsidP="005F2590">
            <w:pPr>
              <w:spacing w:after="0" w:line="240" w:lineRule="auto"/>
              <w:rPr>
                <w:rFonts w:ascii="Times New Roman" w:eastAsia="Times New Roman" w:hAnsi="Times New Roman" w:cs="Times New Roman"/>
                <w:sz w:val="18"/>
                <w:szCs w:val="18"/>
              </w:rPr>
            </w:pPr>
            <w:r>
              <w:br w:type="page"/>
            </w:r>
            <w:r>
              <w:rPr>
                <w:rFonts w:ascii="Times New Roman" w:hAnsi="Times New Roman"/>
                <w:sz w:val="18"/>
              </w:rPr>
              <w:t>The Draft Law on Energy has passed preliminary and public discussion and was submitted for comments to the ECS. Comments received from all discussions, including those from the ECS, have been addressed. An opinion on the financial impact assessment has been received from MFLT, and an opinion on compliance with EU legislation from the Legal Office/Prime Minister’s Office (DDB/ZKM). This draft law is ready to be sent to the Government of the Republic of Kosovo (GRK) for approval.</w:t>
            </w:r>
          </w:p>
        </w:tc>
      </w:tr>
      <w:tr w:rsidR="00B26E71" w:rsidRPr="0086165A" w14:paraId="0D7C0DCF" w14:textId="77777777" w:rsidTr="00B26E71">
        <w:trPr>
          <w:trHeight w:val="1830"/>
        </w:trPr>
        <w:tc>
          <w:tcPr>
            <w:tcW w:w="197" w:type="pct"/>
            <w:tcBorders>
              <w:top w:val="nil"/>
              <w:left w:val="single" w:sz="8" w:space="0" w:color="auto"/>
              <w:bottom w:val="single" w:sz="8" w:space="0" w:color="auto"/>
              <w:right w:val="single" w:sz="8" w:space="0" w:color="auto"/>
            </w:tcBorders>
            <w:shd w:val="clear" w:color="000000" w:fill="FFFFFF"/>
            <w:vAlign w:val="center"/>
            <w:hideMark/>
          </w:tcPr>
          <w:p w14:paraId="689B08E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IV.2.4</w:t>
            </w:r>
          </w:p>
        </w:tc>
        <w:tc>
          <w:tcPr>
            <w:tcW w:w="633" w:type="pct"/>
            <w:tcBorders>
              <w:top w:val="nil"/>
              <w:left w:val="nil"/>
              <w:bottom w:val="single" w:sz="8" w:space="0" w:color="auto"/>
              <w:right w:val="single" w:sz="8" w:space="0" w:color="auto"/>
            </w:tcBorders>
            <w:shd w:val="clear" w:color="000000" w:fill="FFFFFF"/>
            <w:vAlign w:val="center"/>
            <w:hideMark/>
          </w:tcPr>
          <w:p w14:paraId="1EB0CB1A"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and adopting bylaws based on the Law on Electricity</w:t>
            </w:r>
          </w:p>
        </w:tc>
        <w:tc>
          <w:tcPr>
            <w:tcW w:w="267" w:type="pct"/>
            <w:tcBorders>
              <w:top w:val="nil"/>
              <w:left w:val="nil"/>
              <w:bottom w:val="single" w:sz="8" w:space="0" w:color="auto"/>
              <w:right w:val="single" w:sz="8" w:space="0" w:color="auto"/>
            </w:tcBorders>
            <w:shd w:val="clear" w:color="000000" w:fill="FFFFFF"/>
            <w:vAlign w:val="center"/>
            <w:hideMark/>
          </w:tcPr>
          <w:p w14:paraId="7F6C67B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00" w:type="pct"/>
            <w:tcBorders>
              <w:top w:val="nil"/>
              <w:left w:val="nil"/>
              <w:bottom w:val="single" w:sz="8" w:space="0" w:color="auto"/>
              <w:right w:val="single" w:sz="8" w:space="0" w:color="auto"/>
            </w:tcBorders>
            <w:shd w:val="clear" w:color="000000" w:fill="FFFFFF"/>
            <w:vAlign w:val="center"/>
            <w:hideMark/>
          </w:tcPr>
          <w:p w14:paraId="5C477E8C" w14:textId="77777777" w:rsidR="0031667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7CD44F1D" w14:textId="199AA20D"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400" w:type="pct"/>
            <w:tcBorders>
              <w:top w:val="nil"/>
              <w:left w:val="nil"/>
              <w:bottom w:val="single" w:sz="8" w:space="0" w:color="auto"/>
              <w:right w:val="single" w:sz="8" w:space="0" w:color="auto"/>
            </w:tcBorders>
            <w:shd w:val="clear" w:color="000000" w:fill="FFFFFF"/>
            <w:vAlign w:val="center"/>
            <w:hideMark/>
          </w:tcPr>
          <w:p w14:paraId="77EC182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1" w:type="pct"/>
            <w:tcBorders>
              <w:top w:val="nil"/>
              <w:left w:val="nil"/>
              <w:bottom w:val="single" w:sz="8" w:space="0" w:color="auto"/>
              <w:right w:val="single" w:sz="8" w:space="0" w:color="auto"/>
            </w:tcBorders>
            <w:shd w:val="clear" w:color="000000" w:fill="FFFFFF"/>
            <w:vAlign w:val="center"/>
            <w:hideMark/>
          </w:tcPr>
          <w:p w14:paraId="37684DF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30,800.00 </w:t>
            </w:r>
          </w:p>
        </w:tc>
        <w:tc>
          <w:tcPr>
            <w:tcW w:w="334" w:type="pct"/>
            <w:tcBorders>
              <w:top w:val="nil"/>
              <w:left w:val="nil"/>
              <w:bottom w:val="single" w:sz="8" w:space="0" w:color="auto"/>
              <w:right w:val="single" w:sz="8" w:space="0" w:color="auto"/>
            </w:tcBorders>
            <w:shd w:val="clear" w:color="000000" w:fill="FFFFFF"/>
            <w:vAlign w:val="center"/>
            <w:hideMark/>
          </w:tcPr>
          <w:p w14:paraId="3782D71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000000" w:fill="FFFFFF"/>
            <w:vAlign w:val="center"/>
            <w:hideMark/>
          </w:tcPr>
          <w:p w14:paraId="318169B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500" w:type="pct"/>
            <w:tcBorders>
              <w:top w:val="nil"/>
              <w:left w:val="nil"/>
              <w:bottom w:val="single" w:sz="8" w:space="0" w:color="auto"/>
              <w:right w:val="single" w:sz="8" w:space="0" w:color="auto"/>
            </w:tcBorders>
            <w:shd w:val="clear" w:color="000000" w:fill="FFFFFF"/>
            <w:vAlign w:val="center"/>
            <w:hideMark/>
          </w:tcPr>
          <w:p w14:paraId="4CC15058" w14:textId="77777777" w:rsidR="00571EAF" w:rsidRPr="0086165A" w:rsidRDefault="00493F91"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 KOSTT, KEK</w:t>
            </w:r>
          </w:p>
        </w:tc>
        <w:tc>
          <w:tcPr>
            <w:tcW w:w="435" w:type="pct"/>
            <w:tcBorders>
              <w:top w:val="nil"/>
              <w:left w:val="nil"/>
              <w:bottom w:val="single" w:sz="8" w:space="0" w:color="auto"/>
              <w:right w:val="single" w:sz="8" w:space="0" w:color="auto"/>
            </w:tcBorders>
            <w:shd w:val="clear" w:color="000000" w:fill="FFFFFF"/>
            <w:vAlign w:val="center"/>
            <w:hideMark/>
          </w:tcPr>
          <w:p w14:paraId="2F342905" w14:textId="77147653"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Secondary legislation adopted </w:t>
            </w:r>
          </w:p>
        </w:tc>
        <w:tc>
          <w:tcPr>
            <w:tcW w:w="366" w:type="pct"/>
            <w:tcBorders>
              <w:top w:val="nil"/>
              <w:left w:val="nil"/>
              <w:bottom w:val="single" w:sz="8" w:space="0" w:color="auto"/>
              <w:right w:val="single" w:sz="8" w:space="0" w:color="auto"/>
            </w:tcBorders>
            <w:shd w:val="clear" w:color="000000" w:fill="FFFFFF"/>
            <w:vAlign w:val="center"/>
            <w:hideMark/>
          </w:tcPr>
          <w:p w14:paraId="7F16719D"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767" w:type="pct"/>
            <w:tcBorders>
              <w:top w:val="nil"/>
              <w:left w:val="nil"/>
              <w:bottom w:val="single" w:sz="8" w:space="0" w:color="auto"/>
              <w:right w:val="single" w:sz="8" w:space="0" w:color="auto"/>
            </w:tcBorders>
            <w:shd w:val="clear" w:color="000000" w:fill="FFFFFF"/>
            <w:vAlign w:val="center"/>
            <w:hideMark/>
          </w:tcPr>
          <w:p w14:paraId="1B119B35" w14:textId="77777777" w:rsidR="00571EAF" w:rsidRPr="0014539F" w:rsidRDefault="00571EAF" w:rsidP="00863836">
            <w:pPr>
              <w:spacing w:after="0" w:line="240" w:lineRule="auto"/>
              <w:rPr>
                <w:rFonts w:ascii="Times New Roman" w:eastAsia="Times New Roman" w:hAnsi="Times New Roman" w:cs="Times New Roman"/>
                <w:sz w:val="18"/>
                <w:szCs w:val="18"/>
              </w:rPr>
            </w:pPr>
            <w:r>
              <w:rPr>
                <w:rFonts w:ascii="Times New Roman" w:hAnsi="Times New Roman"/>
                <w:sz w:val="18"/>
              </w:rPr>
              <w:t>After the approval of the Law on Electricity, the drafting and approval of secondary legislation deriving from the law will continue.</w:t>
            </w:r>
          </w:p>
        </w:tc>
      </w:tr>
      <w:tr w:rsidR="00B26E71" w:rsidRPr="0086165A" w14:paraId="2B60F01A" w14:textId="77777777" w:rsidTr="00B26E71">
        <w:trPr>
          <w:trHeight w:val="3735"/>
        </w:trPr>
        <w:tc>
          <w:tcPr>
            <w:tcW w:w="197" w:type="pct"/>
            <w:tcBorders>
              <w:top w:val="nil"/>
              <w:left w:val="single" w:sz="8" w:space="0" w:color="auto"/>
              <w:bottom w:val="single" w:sz="8" w:space="0" w:color="auto"/>
              <w:right w:val="single" w:sz="8" w:space="0" w:color="auto"/>
            </w:tcBorders>
            <w:shd w:val="clear" w:color="auto" w:fill="auto"/>
            <w:vAlign w:val="center"/>
            <w:hideMark/>
          </w:tcPr>
          <w:p w14:paraId="6B2A719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IV.2.5</w:t>
            </w:r>
          </w:p>
        </w:tc>
        <w:tc>
          <w:tcPr>
            <w:tcW w:w="633" w:type="pct"/>
            <w:tcBorders>
              <w:top w:val="nil"/>
              <w:left w:val="nil"/>
              <w:bottom w:val="single" w:sz="8" w:space="0" w:color="auto"/>
              <w:right w:val="single" w:sz="8" w:space="0" w:color="auto"/>
            </w:tcBorders>
            <w:shd w:val="clear" w:color="auto" w:fill="auto"/>
            <w:vAlign w:val="center"/>
            <w:hideMark/>
          </w:tcPr>
          <w:p w14:paraId="5654EBA6" w14:textId="77777777" w:rsidR="00571EAF" w:rsidRPr="0014539F"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and adopting the Law on Energy Regulator</w:t>
            </w:r>
          </w:p>
        </w:tc>
        <w:tc>
          <w:tcPr>
            <w:tcW w:w="267" w:type="pct"/>
            <w:tcBorders>
              <w:top w:val="nil"/>
              <w:left w:val="nil"/>
              <w:bottom w:val="single" w:sz="8" w:space="0" w:color="auto"/>
              <w:right w:val="single" w:sz="8" w:space="0" w:color="auto"/>
            </w:tcBorders>
            <w:shd w:val="clear" w:color="auto" w:fill="auto"/>
            <w:vAlign w:val="center"/>
            <w:hideMark/>
          </w:tcPr>
          <w:p w14:paraId="12E11CE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00" w:type="pct"/>
            <w:tcBorders>
              <w:top w:val="nil"/>
              <w:left w:val="nil"/>
              <w:bottom w:val="single" w:sz="8" w:space="0" w:color="auto"/>
              <w:right w:val="single" w:sz="8" w:space="0" w:color="auto"/>
            </w:tcBorders>
            <w:shd w:val="clear" w:color="auto" w:fill="auto"/>
            <w:vAlign w:val="center"/>
            <w:hideMark/>
          </w:tcPr>
          <w:p w14:paraId="611E2BA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auto" w:fill="auto"/>
            <w:vAlign w:val="center"/>
            <w:hideMark/>
          </w:tcPr>
          <w:p w14:paraId="5D7D4A7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13,500.00 </w:t>
            </w:r>
          </w:p>
        </w:tc>
        <w:tc>
          <w:tcPr>
            <w:tcW w:w="401" w:type="pct"/>
            <w:tcBorders>
              <w:top w:val="nil"/>
              <w:left w:val="nil"/>
              <w:bottom w:val="single" w:sz="8" w:space="0" w:color="auto"/>
              <w:right w:val="single" w:sz="8" w:space="0" w:color="auto"/>
            </w:tcBorders>
            <w:shd w:val="clear" w:color="auto" w:fill="auto"/>
            <w:vAlign w:val="center"/>
            <w:hideMark/>
          </w:tcPr>
          <w:p w14:paraId="2A9E4B7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r>
              <w:rPr>
                <w:rFonts w:ascii="Times New Roman" w:hAnsi="Times New Roman"/>
                <w:b/>
                <w:sz w:val="18"/>
              </w:rPr>
              <w:t xml:space="preserve"> </w:t>
            </w:r>
          </w:p>
        </w:tc>
        <w:tc>
          <w:tcPr>
            <w:tcW w:w="334" w:type="pct"/>
            <w:tcBorders>
              <w:top w:val="nil"/>
              <w:left w:val="nil"/>
              <w:bottom w:val="single" w:sz="8" w:space="0" w:color="auto"/>
              <w:right w:val="single" w:sz="8" w:space="0" w:color="auto"/>
            </w:tcBorders>
            <w:shd w:val="clear" w:color="auto" w:fill="auto"/>
            <w:vAlign w:val="center"/>
            <w:hideMark/>
          </w:tcPr>
          <w:p w14:paraId="15C1C95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auto" w:fill="auto"/>
            <w:vAlign w:val="center"/>
            <w:hideMark/>
          </w:tcPr>
          <w:p w14:paraId="46567995"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500" w:type="pct"/>
            <w:tcBorders>
              <w:top w:val="nil"/>
              <w:left w:val="nil"/>
              <w:bottom w:val="single" w:sz="8" w:space="0" w:color="auto"/>
              <w:right w:val="single" w:sz="8" w:space="0" w:color="auto"/>
            </w:tcBorders>
            <w:shd w:val="clear" w:color="auto" w:fill="auto"/>
            <w:vAlign w:val="center"/>
            <w:hideMark/>
          </w:tcPr>
          <w:p w14:paraId="7E831494" w14:textId="77777777" w:rsidR="00571EAF" w:rsidRPr="0086165A" w:rsidRDefault="00AC4D5C"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w:t>
            </w:r>
          </w:p>
        </w:tc>
        <w:tc>
          <w:tcPr>
            <w:tcW w:w="435" w:type="pct"/>
            <w:tcBorders>
              <w:top w:val="nil"/>
              <w:left w:val="nil"/>
              <w:bottom w:val="single" w:sz="8" w:space="0" w:color="auto"/>
              <w:right w:val="single" w:sz="8" w:space="0" w:color="auto"/>
            </w:tcBorders>
            <w:shd w:val="clear" w:color="auto" w:fill="auto"/>
            <w:vAlign w:val="center"/>
            <w:hideMark/>
          </w:tcPr>
          <w:p w14:paraId="05B96E9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Law adopted and aligned with EU directives</w:t>
            </w:r>
          </w:p>
        </w:tc>
        <w:tc>
          <w:tcPr>
            <w:tcW w:w="366" w:type="pct"/>
            <w:tcBorders>
              <w:top w:val="nil"/>
              <w:left w:val="nil"/>
              <w:bottom w:val="single" w:sz="8" w:space="0" w:color="auto"/>
              <w:right w:val="single" w:sz="8" w:space="0" w:color="auto"/>
            </w:tcBorders>
            <w:shd w:val="clear" w:color="auto" w:fill="auto"/>
            <w:vAlign w:val="center"/>
            <w:hideMark/>
          </w:tcPr>
          <w:p w14:paraId="35D4AEBC"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767" w:type="pct"/>
            <w:tcBorders>
              <w:top w:val="nil"/>
              <w:left w:val="nil"/>
              <w:bottom w:val="single" w:sz="8" w:space="0" w:color="auto"/>
              <w:right w:val="single" w:sz="8" w:space="0" w:color="auto"/>
            </w:tcBorders>
            <w:shd w:val="clear" w:color="auto" w:fill="auto"/>
            <w:vAlign w:val="center"/>
            <w:hideMark/>
          </w:tcPr>
          <w:p w14:paraId="3B404341" w14:textId="3E8C0C69" w:rsidR="00571EAF" w:rsidRPr="0014539F" w:rsidRDefault="005F2590" w:rsidP="00863836">
            <w:pPr>
              <w:spacing w:after="0" w:line="240" w:lineRule="auto"/>
              <w:rPr>
                <w:rFonts w:ascii="Times New Roman" w:eastAsia="Times New Roman" w:hAnsi="Times New Roman" w:cs="Times New Roman"/>
                <w:sz w:val="18"/>
                <w:szCs w:val="18"/>
              </w:rPr>
            </w:pPr>
            <w:r>
              <w:rPr>
                <w:rFonts w:ascii="Times New Roman" w:hAnsi="Times New Roman"/>
                <w:sz w:val="18"/>
              </w:rPr>
              <w:t>The draft of the Law on the Energy Regulator has been prepared by the inter-institutional Working Group (WG) with the support of the consultant and is pending to be forwarded for preliminary discussion.</w:t>
            </w:r>
          </w:p>
        </w:tc>
      </w:tr>
      <w:tr w:rsidR="00B26E71" w:rsidRPr="0086165A" w14:paraId="40BF7B48" w14:textId="77777777" w:rsidTr="00B26E71">
        <w:trPr>
          <w:trHeight w:val="1860"/>
        </w:trPr>
        <w:tc>
          <w:tcPr>
            <w:tcW w:w="197" w:type="pct"/>
            <w:tcBorders>
              <w:top w:val="nil"/>
              <w:left w:val="single" w:sz="8" w:space="0" w:color="auto"/>
              <w:bottom w:val="single" w:sz="8" w:space="0" w:color="auto"/>
              <w:right w:val="single" w:sz="8" w:space="0" w:color="auto"/>
            </w:tcBorders>
            <w:shd w:val="clear" w:color="000000" w:fill="FFFFFF"/>
            <w:vAlign w:val="center"/>
            <w:hideMark/>
          </w:tcPr>
          <w:p w14:paraId="40E7E6F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IV.2.6</w:t>
            </w:r>
          </w:p>
        </w:tc>
        <w:tc>
          <w:tcPr>
            <w:tcW w:w="633" w:type="pct"/>
            <w:tcBorders>
              <w:top w:val="nil"/>
              <w:left w:val="nil"/>
              <w:bottom w:val="single" w:sz="8" w:space="0" w:color="auto"/>
              <w:right w:val="single" w:sz="8" w:space="0" w:color="auto"/>
            </w:tcBorders>
            <w:shd w:val="clear" w:color="000000" w:fill="FFFFFF"/>
            <w:vAlign w:val="center"/>
            <w:hideMark/>
          </w:tcPr>
          <w:p w14:paraId="1B94838D"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and adopting bylaws based on the Law on Energy Regulator</w:t>
            </w:r>
          </w:p>
        </w:tc>
        <w:tc>
          <w:tcPr>
            <w:tcW w:w="267" w:type="pct"/>
            <w:tcBorders>
              <w:top w:val="nil"/>
              <w:left w:val="nil"/>
              <w:bottom w:val="single" w:sz="8" w:space="0" w:color="auto"/>
              <w:right w:val="single" w:sz="8" w:space="0" w:color="auto"/>
            </w:tcBorders>
            <w:shd w:val="clear" w:color="000000" w:fill="FFFFFF"/>
            <w:vAlign w:val="center"/>
            <w:hideMark/>
          </w:tcPr>
          <w:p w14:paraId="2B87685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00" w:type="pct"/>
            <w:tcBorders>
              <w:top w:val="nil"/>
              <w:left w:val="nil"/>
              <w:bottom w:val="single" w:sz="8" w:space="0" w:color="auto"/>
              <w:right w:val="single" w:sz="8" w:space="0" w:color="auto"/>
            </w:tcBorders>
            <w:shd w:val="clear" w:color="000000" w:fill="FFFFFF"/>
            <w:vAlign w:val="center"/>
            <w:hideMark/>
          </w:tcPr>
          <w:p w14:paraId="54CF9B35" w14:textId="77777777" w:rsidR="0085421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04BA2986" w14:textId="13AC51ED"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w:t>
            </w:r>
          </w:p>
        </w:tc>
        <w:tc>
          <w:tcPr>
            <w:tcW w:w="400" w:type="pct"/>
            <w:tcBorders>
              <w:top w:val="nil"/>
              <w:left w:val="nil"/>
              <w:bottom w:val="single" w:sz="8" w:space="0" w:color="auto"/>
              <w:right w:val="single" w:sz="8" w:space="0" w:color="auto"/>
            </w:tcBorders>
            <w:shd w:val="clear" w:color="000000" w:fill="FFFFFF"/>
            <w:vAlign w:val="center"/>
            <w:hideMark/>
          </w:tcPr>
          <w:p w14:paraId="74D7A65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1" w:type="pct"/>
            <w:tcBorders>
              <w:top w:val="nil"/>
              <w:left w:val="nil"/>
              <w:bottom w:val="single" w:sz="8" w:space="0" w:color="auto"/>
              <w:right w:val="single" w:sz="8" w:space="0" w:color="auto"/>
            </w:tcBorders>
            <w:shd w:val="clear" w:color="000000" w:fill="FFFFFF"/>
            <w:vAlign w:val="center"/>
            <w:hideMark/>
          </w:tcPr>
          <w:p w14:paraId="101514F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30,800.00 </w:t>
            </w:r>
          </w:p>
        </w:tc>
        <w:tc>
          <w:tcPr>
            <w:tcW w:w="334" w:type="pct"/>
            <w:tcBorders>
              <w:top w:val="nil"/>
              <w:left w:val="nil"/>
              <w:bottom w:val="single" w:sz="8" w:space="0" w:color="auto"/>
              <w:right w:val="single" w:sz="8" w:space="0" w:color="auto"/>
            </w:tcBorders>
            <w:shd w:val="clear" w:color="000000" w:fill="FFFFFF"/>
            <w:vAlign w:val="center"/>
            <w:hideMark/>
          </w:tcPr>
          <w:p w14:paraId="13D2654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single" w:sz="8" w:space="0" w:color="auto"/>
              <w:right w:val="single" w:sz="8" w:space="0" w:color="auto"/>
            </w:tcBorders>
            <w:shd w:val="clear" w:color="000000" w:fill="FFFFFF"/>
            <w:vAlign w:val="center"/>
            <w:hideMark/>
          </w:tcPr>
          <w:p w14:paraId="09853AC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500" w:type="pct"/>
            <w:tcBorders>
              <w:top w:val="nil"/>
              <w:left w:val="nil"/>
              <w:bottom w:val="single" w:sz="8" w:space="0" w:color="auto"/>
              <w:right w:val="single" w:sz="8" w:space="0" w:color="auto"/>
            </w:tcBorders>
            <w:shd w:val="clear" w:color="000000" w:fill="FFFFFF"/>
            <w:vAlign w:val="center"/>
            <w:hideMark/>
          </w:tcPr>
          <w:p w14:paraId="572D9FAA" w14:textId="77777777" w:rsidR="00571EAF" w:rsidRPr="0086165A" w:rsidRDefault="00B175C3"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w:t>
            </w:r>
          </w:p>
        </w:tc>
        <w:tc>
          <w:tcPr>
            <w:tcW w:w="435" w:type="pct"/>
            <w:tcBorders>
              <w:top w:val="nil"/>
              <w:left w:val="nil"/>
              <w:bottom w:val="single" w:sz="8" w:space="0" w:color="auto"/>
              <w:right w:val="single" w:sz="8" w:space="0" w:color="auto"/>
            </w:tcBorders>
            <w:shd w:val="clear" w:color="000000" w:fill="FFFFFF"/>
            <w:vAlign w:val="center"/>
            <w:hideMark/>
          </w:tcPr>
          <w:p w14:paraId="0C532AC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Secondary legislation adopted</w:t>
            </w:r>
          </w:p>
        </w:tc>
        <w:tc>
          <w:tcPr>
            <w:tcW w:w="366" w:type="pct"/>
            <w:tcBorders>
              <w:top w:val="nil"/>
              <w:left w:val="nil"/>
              <w:bottom w:val="single" w:sz="8" w:space="0" w:color="auto"/>
              <w:right w:val="single" w:sz="8" w:space="0" w:color="auto"/>
            </w:tcBorders>
            <w:shd w:val="clear" w:color="000000" w:fill="FFFFFF"/>
            <w:vAlign w:val="center"/>
            <w:hideMark/>
          </w:tcPr>
          <w:p w14:paraId="6D9BFA76"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767" w:type="pct"/>
            <w:tcBorders>
              <w:top w:val="nil"/>
              <w:left w:val="nil"/>
              <w:bottom w:val="single" w:sz="8" w:space="0" w:color="auto"/>
              <w:right w:val="single" w:sz="8" w:space="0" w:color="auto"/>
            </w:tcBorders>
            <w:shd w:val="clear" w:color="000000" w:fill="FFFFFF"/>
            <w:vAlign w:val="center"/>
            <w:hideMark/>
          </w:tcPr>
          <w:p w14:paraId="13E48498" w14:textId="77777777" w:rsidR="00571EAF" w:rsidRPr="0014539F" w:rsidRDefault="00571EAF" w:rsidP="00863836">
            <w:pPr>
              <w:spacing w:after="0" w:line="240" w:lineRule="auto"/>
              <w:rPr>
                <w:rFonts w:ascii="Times New Roman" w:eastAsia="Times New Roman" w:hAnsi="Times New Roman" w:cs="Times New Roman"/>
                <w:sz w:val="18"/>
                <w:szCs w:val="18"/>
              </w:rPr>
            </w:pPr>
            <w:r>
              <w:rPr>
                <w:rFonts w:ascii="Times New Roman" w:hAnsi="Times New Roman"/>
                <w:sz w:val="18"/>
              </w:rPr>
              <w:t>After the approval of the Law on the Energy Regulator, the drafting and approval of secondary legislation deriving from the law will continue.</w:t>
            </w:r>
          </w:p>
        </w:tc>
      </w:tr>
      <w:tr w:rsidR="00B26E71" w:rsidRPr="0086165A" w14:paraId="340447D8" w14:textId="77777777" w:rsidTr="00B26E71">
        <w:trPr>
          <w:trHeight w:val="2535"/>
        </w:trPr>
        <w:tc>
          <w:tcPr>
            <w:tcW w:w="197" w:type="pct"/>
            <w:tcBorders>
              <w:top w:val="nil"/>
              <w:left w:val="single" w:sz="8" w:space="0" w:color="auto"/>
              <w:bottom w:val="single" w:sz="8" w:space="0" w:color="auto"/>
              <w:right w:val="single" w:sz="8" w:space="0" w:color="auto"/>
            </w:tcBorders>
            <w:shd w:val="clear" w:color="000000" w:fill="FFFFFF"/>
            <w:vAlign w:val="center"/>
            <w:hideMark/>
          </w:tcPr>
          <w:p w14:paraId="0CE95E9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IV.2.7</w:t>
            </w:r>
          </w:p>
        </w:tc>
        <w:tc>
          <w:tcPr>
            <w:tcW w:w="633" w:type="pct"/>
            <w:tcBorders>
              <w:top w:val="nil"/>
              <w:left w:val="nil"/>
              <w:bottom w:val="single" w:sz="8" w:space="0" w:color="auto"/>
              <w:right w:val="single" w:sz="8" w:space="0" w:color="auto"/>
            </w:tcBorders>
            <w:shd w:val="clear" w:color="000000" w:fill="FFFFFF"/>
            <w:vAlign w:val="center"/>
            <w:hideMark/>
          </w:tcPr>
          <w:p w14:paraId="6FDF5E43" w14:textId="6D8C41EE"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Initiation of studies on the barriers of the competitive electricity market and on the most appropriate method of phasing out the BSA</w:t>
            </w:r>
          </w:p>
        </w:tc>
        <w:tc>
          <w:tcPr>
            <w:tcW w:w="267" w:type="pct"/>
            <w:tcBorders>
              <w:top w:val="nil"/>
              <w:left w:val="nil"/>
              <w:bottom w:val="single" w:sz="8" w:space="0" w:color="auto"/>
              <w:right w:val="single" w:sz="8" w:space="0" w:color="auto"/>
            </w:tcBorders>
            <w:shd w:val="clear" w:color="000000" w:fill="FFFFFF"/>
            <w:vAlign w:val="center"/>
            <w:hideMark/>
          </w:tcPr>
          <w:p w14:paraId="6730172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00" w:type="pct"/>
            <w:tcBorders>
              <w:top w:val="nil"/>
              <w:left w:val="nil"/>
              <w:bottom w:val="single" w:sz="8" w:space="0" w:color="auto"/>
              <w:right w:val="nil"/>
            </w:tcBorders>
            <w:shd w:val="clear" w:color="000000" w:fill="FFFFFF"/>
            <w:noWrap/>
            <w:vAlign w:val="center"/>
            <w:hideMark/>
          </w:tcPr>
          <w:p w14:paraId="09A896F6" w14:textId="77777777" w:rsidR="0085421D"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p w14:paraId="3AF4A203" w14:textId="3B821D3E"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xml:space="preserve"> -   </w:t>
            </w:r>
          </w:p>
        </w:tc>
        <w:tc>
          <w:tcPr>
            <w:tcW w:w="400" w:type="pct"/>
            <w:tcBorders>
              <w:top w:val="nil"/>
              <w:left w:val="single" w:sz="8" w:space="0" w:color="auto"/>
              <w:bottom w:val="single" w:sz="8" w:space="0" w:color="auto"/>
              <w:right w:val="single" w:sz="8" w:space="0" w:color="auto"/>
            </w:tcBorders>
            <w:shd w:val="clear" w:color="000000" w:fill="FFFFFF"/>
            <w:vAlign w:val="center"/>
            <w:hideMark/>
          </w:tcPr>
          <w:p w14:paraId="55F8101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1" w:type="pct"/>
            <w:tcBorders>
              <w:top w:val="nil"/>
              <w:left w:val="nil"/>
              <w:bottom w:val="single" w:sz="8" w:space="0" w:color="auto"/>
              <w:right w:val="single" w:sz="8" w:space="0" w:color="auto"/>
            </w:tcBorders>
            <w:shd w:val="clear" w:color="000000" w:fill="FFFFFF"/>
            <w:vAlign w:val="center"/>
            <w:hideMark/>
          </w:tcPr>
          <w:p w14:paraId="288D919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r>
              <w:rPr>
                <w:rFonts w:ascii="Times New Roman" w:hAnsi="Times New Roman"/>
                <w:b/>
                <w:sz w:val="18"/>
              </w:rPr>
              <w:t xml:space="preserve"> </w:t>
            </w:r>
          </w:p>
        </w:tc>
        <w:tc>
          <w:tcPr>
            <w:tcW w:w="334" w:type="pct"/>
            <w:tcBorders>
              <w:top w:val="nil"/>
              <w:left w:val="nil"/>
              <w:bottom w:val="single" w:sz="8" w:space="0" w:color="auto"/>
              <w:right w:val="single" w:sz="8" w:space="0" w:color="auto"/>
            </w:tcBorders>
            <w:shd w:val="clear" w:color="000000" w:fill="FFFFFF"/>
            <w:vAlign w:val="center"/>
            <w:hideMark/>
          </w:tcPr>
          <w:p w14:paraId="5A16AB1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 </w:t>
            </w:r>
          </w:p>
        </w:tc>
        <w:tc>
          <w:tcPr>
            <w:tcW w:w="400" w:type="pct"/>
            <w:tcBorders>
              <w:top w:val="nil"/>
              <w:left w:val="nil"/>
              <w:bottom w:val="single" w:sz="8" w:space="0" w:color="auto"/>
              <w:right w:val="single" w:sz="8" w:space="0" w:color="auto"/>
            </w:tcBorders>
            <w:shd w:val="clear" w:color="000000" w:fill="FFFFFF"/>
            <w:vAlign w:val="center"/>
            <w:hideMark/>
          </w:tcPr>
          <w:p w14:paraId="32AE6068"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donors</w:t>
            </w:r>
          </w:p>
        </w:tc>
        <w:tc>
          <w:tcPr>
            <w:tcW w:w="500" w:type="pct"/>
            <w:tcBorders>
              <w:top w:val="nil"/>
              <w:left w:val="nil"/>
              <w:bottom w:val="single" w:sz="8" w:space="0" w:color="auto"/>
              <w:right w:val="single" w:sz="8" w:space="0" w:color="auto"/>
            </w:tcBorders>
            <w:shd w:val="clear" w:color="000000" w:fill="FFFFFF"/>
            <w:vAlign w:val="center"/>
            <w:hideMark/>
          </w:tcPr>
          <w:p w14:paraId="66B54175" w14:textId="77777777" w:rsidR="00571EAF" w:rsidRPr="0086165A" w:rsidRDefault="004311F1"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 ERO</w:t>
            </w:r>
          </w:p>
        </w:tc>
        <w:tc>
          <w:tcPr>
            <w:tcW w:w="435" w:type="pct"/>
            <w:tcBorders>
              <w:top w:val="nil"/>
              <w:left w:val="nil"/>
              <w:bottom w:val="single" w:sz="8" w:space="0" w:color="auto"/>
              <w:right w:val="single" w:sz="8" w:space="0" w:color="auto"/>
            </w:tcBorders>
            <w:shd w:val="clear" w:color="000000" w:fill="FFFFFF"/>
            <w:vAlign w:val="center"/>
            <w:hideMark/>
          </w:tcPr>
          <w:p w14:paraId="529D10E0"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Increased competition in the market</w:t>
            </w:r>
          </w:p>
        </w:tc>
        <w:tc>
          <w:tcPr>
            <w:tcW w:w="366" w:type="pct"/>
            <w:tcBorders>
              <w:top w:val="nil"/>
              <w:left w:val="nil"/>
              <w:bottom w:val="single" w:sz="8" w:space="0" w:color="auto"/>
              <w:right w:val="single" w:sz="8" w:space="0" w:color="auto"/>
            </w:tcBorders>
            <w:shd w:val="clear" w:color="000000" w:fill="FFFFFF"/>
            <w:vAlign w:val="center"/>
            <w:hideMark/>
          </w:tcPr>
          <w:p w14:paraId="6E9D4660"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Energy Strategy for the period 2022-2031 </w:t>
            </w:r>
          </w:p>
        </w:tc>
        <w:tc>
          <w:tcPr>
            <w:tcW w:w="767" w:type="pct"/>
            <w:tcBorders>
              <w:top w:val="nil"/>
              <w:left w:val="nil"/>
              <w:bottom w:val="single" w:sz="8" w:space="0" w:color="auto"/>
              <w:right w:val="single" w:sz="8" w:space="0" w:color="auto"/>
            </w:tcBorders>
            <w:shd w:val="clear" w:color="000000" w:fill="FFFFFF"/>
            <w:noWrap/>
            <w:vAlign w:val="bottom"/>
            <w:hideMark/>
          </w:tcPr>
          <w:p w14:paraId="22A1CB63" w14:textId="0837671D" w:rsidR="00571EAF" w:rsidRPr="006D6D77" w:rsidRDefault="00571EAF" w:rsidP="00571EAF">
            <w:pPr>
              <w:spacing w:after="0" w:line="240" w:lineRule="auto"/>
              <w:rPr>
                <w:rFonts w:ascii="Times New Roman" w:eastAsia="Times New Roman" w:hAnsi="Times New Roman" w:cs="Times New Roman"/>
                <w:sz w:val="18"/>
                <w:szCs w:val="18"/>
              </w:rPr>
            </w:pPr>
          </w:p>
        </w:tc>
      </w:tr>
      <w:tr w:rsidR="00B26E71" w:rsidRPr="0086165A" w14:paraId="7A922EFF" w14:textId="77777777" w:rsidTr="00B26E71">
        <w:trPr>
          <w:trHeight w:val="330"/>
        </w:trPr>
        <w:tc>
          <w:tcPr>
            <w:tcW w:w="197" w:type="pct"/>
            <w:tcBorders>
              <w:top w:val="nil"/>
              <w:left w:val="single" w:sz="8" w:space="0" w:color="auto"/>
              <w:bottom w:val="single" w:sz="8" w:space="0" w:color="auto"/>
              <w:right w:val="single" w:sz="8" w:space="0" w:color="auto"/>
            </w:tcBorders>
            <w:shd w:val="clear" w:color="000000" w:fill="D9D9D9"/>
            <w:vAlign w:val="center"/>
            <w:hideMark/>
          </w:tcPr>
          <w:p w14:paraId="2344E9C2"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IV.3</w:t>
            </w:r>
          </w:p>
        </w:tc>
        <w:tc>
          <w:tcPr>
            <w:tcW w:w="4037" w:type="pct"/>
            <w:gridSpan w:val="10"/>
            <w:tcBorders>
              <w:top w:val="single" w:sz="8" w:space="0" w:color="auto"/>
              <w:left w:val="nil"/>
              <w:bottom w:val="single" w:sz="8" w:space="0" w:color="auto"/>
              <w:right w:val="single" w:sz="8" w:space="0" w:color="000000"/>
            </w:tcBorders>
            <w:shd w:val="clear" w:color="000000" w:fill="D9D9D9"/>
            <w:vAlign w:val="center"/>
            <w:hideMark/>
          </w:tcPr>
          <w:p w14:paraId="25C88B79" w14:textId="77777777" w:rsidR="00571EAF" w:rsidRPr="0086165A" w:rsidRDefault="00571EAF" w:rsidP="00571EAF">
            <w:pPr>
              <w:spacing w:after="0" w:line="240" w:lineRule="auto"/>
              <w:rPr>
                <w:rFonts w:ascii="Times New Roman" w:eastAsia="Times New Roman" w:hAnsi="Times New Roman" w:cs="Times New Roman"/>
                <w:b/>
                <w:bCs/>
                <w:sz w:val="18"/>
                <w:szCs w:val="18"/>
              </w:rPr>
            </w:pPr>
            <w:r>
              <w:rPr>
                <w:rFonts w:ascii="Times New Roman" w:hAnsi="Times New Roman"/>
                <w:b/>
                <w:sz w:val="18"/>
              </w:rPr>
              <w:t>Specific objective: Training in energy-related fields and women’s inclusion</w:t>
            </w:r>
          </w:p>
        </w:tc>
        <w:tc>
          <w:tcPr>
            <w:tcW w:w="767" w:type="pct"/>
            <w:tcBorders>
              <w:top w:val="nil"/>
              <w:left w:val="nil"/>
              <w:bottom w:val="nil"/>
              <w:right w:val="nil"/>
            </w:tcBorders>
            <w:shd w:val="clear" w:color="auto" w:fill="auto"/>
            <w:noWrap/>
            <w:vAlign w:val="bottom"/>
            <w:hideMark/>
          </w:tcPr>
          <w:p w14:paraId="199B6C30"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717329E3" w14:textId="77777777" w:rsidTr="00B26E71">
        <w:trPr>
          <w:trHeight w:val="960"/>
        </w:trPr>
        <w:tc>
          <w:tcPr>
            <w:tcW w:w="197" w:type="pct"/>
            <w:tcBorders>
              <w:top w:val="nil"/>
              <w:left w:val="single" w:sz="8" w:space="0" w:color="auto"/>
              <w:bottom w:val="single" w:sz="8" w:space="0" w:color="auto"/>
              <w:right w:val="single" w:sz="8" w:space="0" w:color="auto"/>
            </w:tcBorders>
            <w:shd w:val="clear" w:color="000000" w:fill="D0CECE"/>
            <w:vAlign w:val="center"/>
            <w:hideMark/>
          </w:tcPr>
          <w:p w14:paraId="5521EA5E"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633" w:type="pct"/>
            <w:tcBorders>
              <w:top w:val="nil"/>
              <w:left w:val="nil"/>
              <w:bottom w:val="nil"/>
              <w:right w:val="single" w:sz="8" w:space="0" w:color="auto"/>
            </w:tcBorders>
            <w:shd w:val="clear" w:color="000000" w:fill="D0CECE"/>
            <w:vAlign w:val="center"/>
            <w:hideMark/>
          </w:tcPr>
          <w:p w14:paraId="1128EA3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67" w:type="pct"/>
            <w:gridSpan w:val="3"/>
            <w:tcBorders>
              <w:top w:val="single" w:sz="8" w:space="0" w:color="auto"/>
              <w:left w:val="nil"/>
              <w:bottom w:val="single" w:sz="8" w:space="0" w:color="auto"/>
              <w:right w:val="nil"/>
            </w:tcBorders>
            <w:shd w:val="clear" w:color="000000" w:fill="D9D9D9"/>
            <w:vAlign w:val="center"/>
            <w:hideMark/>
          </w:tcPr>
          <w:p w14:paraId="69AD560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735" w:type="pct"/>
            <w:gridSpan w:val="2"/>
            <w:tcBorders>
              <w:top w:val="single" w:sz="8" w:space="0" w:color="auto"/>
              <w:left w:val="single" w:sz="8" w:space="0" w:color="auto"/>
              <w:bottom w:val="single" w:sz="8" w:space="0" w:color="auto"/>
              <w:right w:val="nil"/>
            </w:tcBorders>
            <w:shd w:val="clear" w:color="000000" w:fill="D9D9D9"/>
            <w:vAlign w:val="center"/>
            <w:hideMark/>
          </w:tcPr>
          <w:p w14:paraId="39CA50E4"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400" w:type="pct"/>
            <w:tcBorders>
              <w:top w:val="nil"/>
              <w:left w:val="single" w:sz="8" w:space="0" w:color="auto"/>
              <w:bottom w:val="single" w:sz="8" w:space="0" w:color="auto"/>
              <w:right w:val="single" w:sz="8" w:space="0" w:color="auto"/>
            </w:tcBorders>
            <w:shd w:val="clear" w:color="000000" w:fill="D9D9D9"/>
            <w:vAlign w:val="center"/>
            <w:hideMark/>
          </w:tcPr>
          <w:p w14:paraId="218E0875"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301" w:type="pct"/>
            <w:gridSpan w:val="3"/>
            <w:tcBorders>
              <w:top w:val="single" w:sz="8" w:space="0" w:color="auto"/>
              <w:left w:val="nil"/>
              <w:bottom w:val="single" w:sz="8" w:space="0" w:color="auto"/>
              <w:right w:val="single" w:sz="8" w:space="0" w:color="000000"/>
            </w:tcBorders>
            <w:shd w:val="clear" w:color="000000" w:fill="D9D9D9"/>
            <w:vAlign w:val="center"/>
            <w:hideMark/>
          </w:tcPr>
          <w:p w14:paraId="60E72AD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767" w:type="pct"/>
            <w:tcBorders>
              <w:top w:val="nil"/>
              <w:left w:val="nil"/>
              <w:bottom w:val="nil"/>
              <w:right w:val="nil"/>
            </w:tcBorders>
            <w:shd w:val="clear" w:color="auto" w:fill="auto"/>
            <w:noWrap/>
            <w:vAlign w:val="bottom"/>
            <w:hideMark/>
          </w:tcPr>
          <w:p w14:paraId="1F6499F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p>
        </w:tc>
      </w:tr>
      <w:tr w:rsidR="00B26E71" w:rsidRPr="0086165A" w14:paraId="63144A59" w14:textId="77777777" w:rsidTr="00B26E71">
        <w:trPr>
          <w:trHeight w:val="2850"/>
        </w:trPr>
        <w:tc>
          <w:tcPr>
            <w:tcW w:w="197" w:type="pct"/>
            <w:tcBorders>
              <w:top w:val="nil"/>
              <w:left w:val="single" w:sz="8" w:space="0" w:color="auto"/>
              <w:bottom w:val="nil"/>
              <w:right w:val="single" w:sz="8" w:space="0" w:color="auto"/>
            </w:tcBorders>
            <w:shd w:val="clear" w:color="auto" w:fill="auto"/>
            <w:vAlign w:val="center"/>
            <w:hideMark/>
          </w:tcPr>
          <w:p w14:paraId="6A1ADA28"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633" w:type="pct"/>
            <w:tcBorders>
              <w:top w:val="single" w:sz="8" w:space="0" w:color="auto"/>
              <w:left w:val="nil"/>
              <w:bottom w:val="nil"/>
              <w:right w:val="single" w:sz="8" w:space="0" w:color="auto"/>
            </w:tcBorders>
            <w:shd w:val="clear" w:color="auto" w:fill="auto"/>
            <w:vAlign w:val="center"/>
            <w:hideMark/>
          </w:tcPr>
          <w:p w14:paraId="23301191" w14:textId="38CA3708"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Number of new graduates per year receiving an academic degree, or professional qualification in new programs in the field of energy, and related fields</w:t>
            </w:r>
          </w:p>
        </w:tc>
        <w:tc>
          <w:tcPr>
            <w:tcW w:w="967" w:type="pct"/>
            <w:gridSpan w:val="3"/>
            <w:tcBorders>
              <w:top w:val="single" w:sz="8" w:space="0" w:color="auto"/>
              <w:left w:val="nil"/>
              <w:bottom w:val="single" w:sz="8" w:space="0" w:color="auto"/>
              <w:right w:val="single" w:sz="8" w:space="0" w:color="000000"/>
            </w:tcBorders>
            <w:shd w:val="clear" w:color="auto" w:fill="auto"/>
            <w:vAlign w:val="center"/>
            <w:hideMark/>
          </w:tcPr>
          <w:p w14:paraId="061EA3C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N/A</w:t>
            </w:r>
          </w:p>
        </w:tc>
        <w:tc>
          <w:tcPr>
            <w:tcW w:w="735" w:type="pct"/>
            <w:gridSpan w:val="2"/>
            <w:tcBorders>
              <w:top w:val="single" w:sz="8" w:space="0" w:color="auto"/>
              <w:left w:val="nil"/>
              <w:bottom w:val="single" w:sz="8" w:space="0" w:color="auto"/>
              <w:right w:val="nil"/>
            </w:tcBorders>
            <w:shd w:val="clear" w:color="auto" w:fill="auto"/>
            <w:vAlign w:val="center"/>
            <w:hideMark/>
          </w:tcPr>
          <w:p w14:paraId="607D89F7"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To be assigned</w:t>
            </w:r>
          </w:p>
        </w:tc>
        <w:tc>
          <w:tcPr>
            <w:tcW w:w="400" w:type="pct"/>
            <w:tcBorders>
              <w:top w:val="nil"/>
              <w:left w:val="single" w:sz="8" w:space="0" w:color="auto"/>
              <w:bottom w:val="single" w:sz="8" w:space="0" w:color="auto"/>
              <w:right w:val="single" w:sz="8" w:space="0" w:color="auto"/>
            </w:tcBorders>
            <w:shd w:val="clear" w:color="auto" w:fill="auto"/>
            <w:noWrap/>
            <w:vAlign w:val="center"/>
            <w:hideMark/>
          </w:tcPr>
          <w:p w14:paraId="4B22BAEC"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To be assigned</w:t>
            </w:r>
          </w:p>
        </w:tc>
        <w:tc>
          <w:tcPr>
            <w:tcW w:w="1301" w:type="pct"/>
            <w:gridSpan w:val="3"/>
            <w:tcBorders>
              <w:top w:val="single" w:sz="8" w:space="0" w:color="auto"/>
              <w:left w:val="nil"/>
              <w:bottom w:val="nil"/>
              <w:right w:val="single" w:sz="8" w:space="0" w:color="000000"/>
            </w:tcBorders>
            <w:shd w:val="clear" w:color="auto" w:fill="auto"/>
            <w:vAlign w:val="center"/>
            <w:hideMark/>
          </w:tcPr>
          <w:p w14:paraId="0E69C2AF" w14:textId="2B20E96C" w:rsidR="00571EAF" w:rsidRPr="0086165A" w:rsidRDefault="004572EF" w:rsidP="00571EAF">
            <w:pPr>
              <w:spacing w:after="0" w:line="240" w:lineRule="auto"/>
              <w:rPr>
                <w:rFonts w:ascii="Times New Roman" w:eastAsia="Times New Roman" w:hAnsi="Times New Roman" w:cs="Times New Roman"/>
                <w:sz w:val="18"/>
                <w:szCs w:val="18"/>
              </w:rPr>
            </w:pPr>
            <w:r>
              <w:rPr>
                <w:rFonts w:ascii="Times New Roman" w:hAnsi="Times New Roman"/>
                <w:sz w:val="18"/>
              </w:rPr>
              <w:t>459 (2024)</w:t>
            </w:r>
          </w:p>
        </w:tc>
        <w:tc>
          <w:tcPr>
            <w:tcW w:w="767" w:type="pct"/>
            <w:tcBorders>
              <w:top w:val="nil"/>
              <w:left w:val="nil"/>
              <w:bottom w:val="nil"/>
              <w:right w:val="nil"/>
            </w:tcBorders>
            <w:shd w:val="clear" w:color="auto" w:fill="auto"/>
            <w:noWrap/>
            <w:vAlign w:val="bottom"/>
            <w:hideMark/>
          </w:tcPr>
          <w:p w14:paraId="0A5E69FA"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B26E71" w:rsidRPr="0086165A" w14:paraId="1261575F" w14:textId="77777777" w:rsidTr="00B26E71">
        <w:trPr>
          <w:trHeight w:val="960"/>
        </w:trPr>
        <w:tc>
          <w:tcPr>
            <w:tcW w:w="197" w:type="pct"/>
            <w:tcBorders>
              <w:top w:val="single" w:sz="8" w:space="0" w:color="auto"/>
              <w:left w:val="single" w:sz="8" w:space="0" w:color="auto"/>
              <w:bottom w:val="nil"/>
              <w:right w:val="single" w:sz="8" w:space="0" w:color="auto"/>
            </w:tcBorders>
            <w:shd w:val="clear" w:color="auto" w:fill="auto"/>
            <w:vAlign w:val="center"/>
            <w:hideMark/>
          </w:tcPr>
          <w:p w14:paraId="1C7530D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633" w:type="pct"/>
            <w:tcBorders>
              <w:top w:val="single" w:sz="8" w:space="0" w:color="auto"/>
              <w:left w:val="nil"/>
              <w:bottom w:val="nil"/>
              <w:right w:val="single" w:sz="8" w:space="0" w:color="auto"/>
            </w:tcBorders>
            <w:shd w:val="clear" w:color="auto" w:fill="auto"/>
            <w:vAlign w:val="center"/>
            <w:hideMark/>
          </w:tcPr>
          <w:p w14:paraId="56DE9EC3" w14:textId="63AF4F4B" w:rsidR="00571EAF" w:rsidRPr="0086165A" w:rsidRDefault="000C4AA7" w:rsidP="00571EAF">
            <w:pPr>
              <w:spacing w:after="0" w:line="240" w:lineRule="auto"/>
              <w:rPr>
                <w:rFonts w:ascii="Times New Roman" w:eastAsia="Times New Roman" w:hAnsi="Times New Roman" w:cs="Times New Roman"/>
                <w:sz w:val="18"/>
                <w:szCs w:val="18"/>
              </w:rPr>
            </w:pPr>
            <w:r>
              <w:rPr>
                <w:rFonts w:ascii="Times New Roman" w:hAnsi="Times New Roman"/>
                <w:sz w:val="18"/>
              </w:rPr>
              <w:t>Percentage of women employed in the energy sector.</w:t>
            </w:r>
          </w:p>
          <w:p w14:paraId="357D7AB4" w14:textId="77777777" w:rsidR="00B26E71" w:rsidRPr="0086165A" w:rsidRDefault="00B26E71" w:rsidP="00571EAF">
            <w:pPr>
              <w:spacing w:after="0" w:line="240" w:lineRule="auto"/>
              <w:rPr>
                <w:rFonts w:ascii="Times New Roman" w:eastAsia="Times New Roman" w:hAnsi="Times New Roman" w:cs="Times New Roman"/>
                <w:sz w:val="18"/>
                <w:szCs w:val="18"/>
              </w:rPr>
            </w:pPr>
          </w:p>
          <w:p w14:paraId="29D91965" w14:textId="77777777" w:rsidR="00B26E71" w:rsidRPr="0086165A" w:rsidRDefault="00B26E71" w:rsidP="00571EAF">
            <w:pPr>
              <w:spacing w:after="0" w:line="240" w:lineRule="auto"/>
              <w:rPr>
                <w:rFonts w:ascii="Times New Roman" w:eastAsia="Times New Roman" w:hAnsi="Times New Roman" w:cs="Times New Roman"/>
                <w:sz w:val="18"/>
                <w:szCs w:val="18"/>
              </w:rPr>
            </w:pPr>
          </w:p>
          <w:p w14:paraId="08AFEE8B" w14:textId="77777777" w:rsidR="00B26E71" w:rsidRPr="0086165A" w:rsidRDefault="00B26E71" w:rsidP="00571EAF">
            <w:pPr>
              <w:spacing w:after="0" w:line="240" w:lineRule="auto"/>
              <w:rPr>
                <w:rFonts w:ascii="Times New Roman" w:eastAsia="Times New Roman" w:hAnsi="Times New Roman" w:cs="Times New Roman"/>
                <w:sz w:val="18"/>
                <w:szCs w:val="18"/>
              </w:rPr>
            </w:pPr>
          </w:p>
          <w:p w14:paraId="605EFC79" w14:textId="77777777" w:rsidR="00B26E71" w:rsidRPr="0086165A" w:rsidRDefault="00B26E71" w:rsidP="00571EAF">
            <w:pPr>
              <w:spacing w:after="0" w:line="240" w:lineRule="auto"/>
              <w:rPr>
                <w:rFonts w:ascii="Times New Roman" w:eastAsia="Times New Roman" w:hAnsi="Times New Roman" w:cs="Times New Roman"/>
                <w:sz w:val="18"/>
                <w:szCs w:val="18"/>
              </w:rPr>
            </w:pPr>
          </w:p>
          <w:p w14:paraId="37088DB7" w14:textId="77777777" w:rsidR="00B26E71" w:rsidRPr="0086165A" w:rsidRDefault="00B26E71" w:rsidP="00571EAF">
            <w:pPr>
              <w:spacing w:after="0" w:line="240" w:lineRule="auto"/>
              <w:rPr>
                <w:rFonts w:ascii="Times New Roman" w:eastAsia="Times New Roman" w:hAnsi="Times New Roman" w:cs="Times New Roman"/>
                <w:sz w:val="18"/>
                <w:szCs w:val="18"/>
              </w:rPr>
            </w:pPr>
          </w:p>
        </w:tc>
        <w:tc>
          <w:tcPr>
            <w:tcW w:w="967" w:type="pct"/>
            <w:gridSpan w:val="3"/>
            <w:tcBorders>
              <w:top w:val="single" w:sz="8" w:space="0" w:color="auto"/>
              <w:left w:val="nil"/>
              <w:bottom w:val="nil"/>
              <w:right w:val="single" w:sz="8" w:space="0" w:color="000000"/>
            </w:tcBorders>
            <w:shd w:val="clear" w:color="auto" w:fill="auto"/>
            <w:vAlign w:val="center"/>
            <w:hideMark/>
          </w:tcPr>
          <w:p w14:paraId="5E31849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9% [2021]</w:t>
            </w:r>
          </w:p>
        </w:tc>
        <w:tc>
          <w:tcPr>
            <w:tcW w:w="735" w:type="pct"/>
            <w:gridSpan w:val="2"/>
            <w:tcBorders>
              <w:top w:val="single" w:sz="8" w:space="0" w:color="auto"/>
              <w:left w:val="nil"/>
              <w:bottom w:val="nil"/>
              <w:right w:val="single" w:sz="8" w:space="0" w:color="000000"/>
            </w:tcBorders>
            <w:shd w:val="clear" w:color="auto" w:fill="auto"/>
            <w:vAlign w:val="center"/>
            <w:hideMark/>
          </w:tcPr>
          <w:p w14:paraId="2CB7756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11%</w:t>
            </w:r>
          </w:p>
        </w:tc>
        <w:tc>
          <w:tcPr>
            <w:tcW w:w="400" w:type="pct"/>
            <w:tcBorders>
              <w:top w:val="nil"/>
              <w:left w:val="nil"/>
              <w:bottom w:val="nil"/>
              <w:right w:val="single" w:sz="8" w:space="0" w:color="auto"/>
            </w:tcBorders>
            <w:shd w:val="clear" w:color="000000" w:fill="FFFFFF"/>
            <w:vAlign w:val="center"/>
            <w:hideMark/>
          </w:tcPr>
          <w:p w14:paraId="1520029B" w14:textId="77777777" w:rsidR="00571EAF" w:rsidRPr="008B1E87"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25%</w:t>
            </w:r>
          </w:p>
        </w:tc>
        <w:tc>
          <w:tcPr>
            <w:tcW w:w="1301" w:type="pct"/>
            <w:gridSpan w:val="3"/>
            <w:tcBorders>
              <w:top w:val="single" w:sz="8" w:space="0" w:color="auto"/>
              <w:left w:val="nil"/>
              <w:bottom w:val="single" w:sz="8" w:space="0" w:color="auto"/>
              <w:right w:val="single" w:sz="8" w:space="0" w:color="000000"/>
            </w:tcBorders>
            <w:shd w:val="clear" w:color="auto" w:fill="auto"/>
            <w:vAlign w:val="center"/>
            <w:hideMark/>
          </w:tcPr>
          <w:p w14:paraId="0810B666" w14:textId="4A0DDB27" w:rsidR="00571EAF" w:rsidRPr="008B1E87"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 N/A</w:t>
            </w:r>
          </w:p>
        </w:tc>
        <w:tc>
          <w:tcPr>
            <w:tcW w:w="767" w:type="pct"/>
            <w:tcBorders>
              <w:top w:val="nil"/>
              <w:left w:val="nil"/>
              <w:bottom w:val="nil"/>
              <w:right w:val="nil"/>
            </w:tcBorders>
            <w:shd w:val="clear" w:color="auto" w:fill="auto"/>
            <w:noWrap/>
            <w:vAlign w:val="bottom"/>
            <w:hideMark/>
          </w:tcPr>
          <w:p w14:paraId="0432227A" w14:textId="77777777" w:rsidR="00571EAF" w:rsidRPr="0086165A" w:rsidRDefault="00571EAF" w:rsidP="00571EAF">
            <w:pPr>
              <w:spacing w:after="0" w:line="240" w:lineRule="auto"/>
              <w:rPr>
                <w:rFonts w:ascii="Times New Roman" w:eastAsia="Times New Roman" w:hAnsi="Times New Roman" w:cs="Times New Roman"/>
                <w:sz w:val="18"/>
                <w:szCs w:val="18"/>
              </w:rPr>
            </w:pPr>
          </w:p>
        </w:tc>
      </w:tr>
      <w:tr w:rsidR="004A694D" w:rsidRPr="0086165A" w14:paraId="47566CA3" w14:textId="77777777" w:rsidTr="00B26E71">
        <w:trPr>
          <w:trHeight w:val="330"/>
        </w:trPr>
        <w:tc>
          <w:tcPr>
            <w:tcW w:w="19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B61A211"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lastRenderedPageBreak/>
              <w:t>No.</w:t>
            </w:r>
          </w:p>
        </w:tc>
        <w:tc>
          <w:tcPr>
            <w:tcW w:w="63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B9335C0"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6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981DCD8"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435" w:type="pct"/>
            <w:gridSpan w:val="4"/>
            <w:tcBorders>
              <w:top w:val="single" w:sz="8" w:space="0" w:color="auto"/>
              <w:left w:val="nil"/>
              <w:bottom w:val="single" w:sz="8" w:space="0" w:color="auto"/>
              <w:right w:val="nil"/>
            </w:tcBorders>
            <w:shd w:val="clear" w:color="000000" w:fill="D9D9D9"/>
            <w:vAlign w:val="center"/>
            <w:hideMark/>
          </w:tcPr>
          <w:p w14:paraId="160218FF"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40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985AFE6"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50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8B9EC6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43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FAF5A8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6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530B37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76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8621F45" w14:textId="77777777" w:rsidR="00571EAF" w:rsidRPr="0086165A" w:rsidRDefault="000532B1" w:rsidP="000532B1">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Implementation progress for 2024</w:t>
            </w:r>
          </w:p>
        </w:tc>
      </w:tr>
      <w:tr w:rsidR="00B26E71" w:rsidRPr="0086165A" w14:paraId="01DAA298" w14:textId="77777777" w:rsidTr="00B26E71">
        <w:trPr>
          <w:trHeight w:val="315"/>
        </w:trPr>
        <w:tc>
          <w:tcPr>
            <w:tcW w:w="197" w:type="pct"/>
            <w:vMerge/>
            <w:tcBorders>
              <w:top w:val="single" w:sz="8" w:space="0" w:color="auto"/>
              <w:left w:val="single" w:sz="8" w:space="0" w:color="auto"/>
              <w:bottom w:val="single" w:sz="8" w:space="0" w:color="000000"/>
              <w:right w:val="single" w:sz="8" w:space="0" w:color="auto"/>
            </w:tcBorders>
            <w:vAlign w:val="center"/>
            <w:hideMark/>
          </w:tcPr>
          <w:p w14:paraId="5992897F"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33" w:type="pct"/>
            <w:vMerge/>
            <w:tcBorders>
              <w:top w:val="single" w:sz="8" w:space="0" w:color="auto"/>
              <w:left w:val="single" w:sz="8" w:space="0" w:color="auto"/>
              <w:bottom w:val="single" w:sz="8" w:space="0" w:color="000000"/>
              <w:right w:val="single" w:sz="8" w:space="0" w:color="auto"/>
            </w:tcBorders>
            <w:vAlign w:val="center"/>
            <w:hideMark/>
          </w:tcPr>
          <w:p w14:paraId="65B1B6A2"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67" w:type="pct"/>
            <w:vMerge/>
            <w:tcBorders>
              <w:top w:val="single" w:sz="8" w:space="0" w:color="auto"/>
              <w:left w:val="single" w:sz="8" w:space="0" w:color="auto"/>
              <w:bottom w:val="single" w:sz="8" w:space="0" w:color="000000"/>
              <w:right w:val="single" w:sz="8" w:space="0" w:color="auto"/>
            </w:tcBorders>
            <w:vAlign w:val="center"/>
            <w:hideMark/>
          </w:tcPr>
          <w:p w14:paraId="6DB85B7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00" w:type="pct"/>
            <w:tcBorders>
              <w:top w:val="nil"/>
              <w:left w:val="nil"/>
              <w:bottom w:val="nil"/>
              <w:right w:val="single" w:sz="8" w:space="0" w:color="auto"/>
            </w:tcBorders>
            <w:shd w:val="clear" w:color="000000" w:fill="D9D9D9"/>
            <w:vAlign w:val="center"/>
            <w:hideMark/>
          </w:tcPr>
          <w:p w14:paraId="5499AC50"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w:t>
            </w:r>
          </w:p>
        </w:tc>
        <w:tc>
          <w:tcPr>
            <w:tcW w:w="400" w:type="pct"/>
            <w:tcBorders>
              <w:top w:val="nil"/>
              <w:left w:val="nil"/>
              <w:bottom w:val="nil"/>
              <w:right w:val="single" w:sz="8" w:space="0" w:color="auto"/>
            </w:tcBorders>
            <w:shd w:val="clear" w:color="000000" w:fill="D9D9D9"/>
            <w:vAlign w:val="center"/>
            <w:hideMark/>
          </w:tcPr>
          <w:p w14:paraId="2674490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w:t>
            </w:r>
          </w:p>
        </w:tc>
        <w:tc>
          <w:tcPr>
            <w:tcW w:w="401" w:type="pct"/>
            <w:tcBorders>
              <w:top w:val="nil"/>
              <w:left w:val="nil"/>
              <w:bottom w:val="nil"/>
              <w:right w:val="single" w:sz="8" w:space="0" w:color="auto"/>
            </w:tcBorders>
            <w:shd w:val="clear" w:color="000000" w:fill="D9D9D9"/>
            <w:vAlign w:val="center"/>
            <w:hideMark/>
          </w:tcPr>
          <w:p w14:paraId="5621CAA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w:t>
            </w:r>
          </w:p>
        </w:tc>
        <w:tc>
          <w:tcPr>
            <w:tcW w:w="334" w:type="pct"/>
            <w:tcBorders>
              <w:top w:val="nil"/>
              <w:left w:val="nil"/>
              <w:bottom w:val="nil"/>
              <w:right w:val="single" w:sz="8" w:space="0" w:color="auto"/>
            </w:tcBorders>
            <w:shd w:val="clear" w:color="000000" w:fill="D9D9D9"/>
            <w:vAlign w:val="center"/>
            <w:hideMark/>
          </w:tcPr>
          <w:p w14:paraId="696895AD"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w:t>
            </w:r>
          </w:p>
        </w:tc>
        <w:tc>
          <w:tcPr>
            <w:tcW w:w="400" w:type="pct"/>
            <w:vMerge/>
            <w:tcBorders>
              <w:top w:val="single" w:sz="8" w:space="0" w:color="auto"/>
              <w:left w:val="single" w:sz="8" w:space="0" w:color="auto"/>
              <w:bottom w:val="single" w:sz="8" w:space="0" w:color="000000"/>
              <w:right w:val="single" w:sz="8" w:space="0" w:color="auto"/>
            </w:tcBorders>
            <w:vAlign w:val="center"/>
            <w:hideMark/>
          </w:tcPr>
          <w:p w14:paraId="6C42F75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500" w:type="pct"/>
            <w:vMerge/>
            <w:tcBorders>
              <w:top w:val="nil"/>
              <w:left w:val="single" w:sz="8" w:space="0" w:color="auto"/>
              <w:bottom w:val="single" w:sz="8" w:space="0" w:color="000000"/>
              <w:right w:val="single" w:sz="8" w:space="0" w:color="auto"/>
            </w:tcBorders>
            <w:vAlign w:val="center"/>
            <w:hideMark/>
          </w:tcPr>
          <w:p w14:paraId="6017E19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35" w:type="pct"/>
            <w:vMerge/>
            <w:tcBorders>
              <w:top w:val="nil"/>
              <w:left w:val="single" w:sz="8" w:space="0" w:color="auto"/>
              <w:bottom w:val="single" w:sz="8" w:space="0" w:color="000000"/>
              <w:right w:val="single" w:sz="8" w:space="0" w:color="auto"/>
            </w:tcBorders>
            <w:vAlign w:val="center"/>
            <w:hideMark/>
          </w:tcPr>
          <w:p w14:paraId="0F35D94A"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6" w:type="pct"/>
            <w:vMerge/>
            <w:tcBorders>
              <w:top w:val="nil"/>
              <w:left w:val="single" w:sz="8" w:space="0" w:color="auto"/>
              <w:bottom w:val="single" w:sz="8" w:space="0" w:color="000000"/>
              <w:right w:val="single" w:sz="8" w:space="0" w:color="auto"/>
            </w:tcBorders>
            <w:vAlign w:val="center"/>
            <w:hideMark/>
          </w:tcPr>
          <w:p w14:paraId="1FDD9C4A"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767" w:type="pct"/>
            <w:vMerge/>
            <w:tcBorders>
              <w:top w:val="single" w:sz="8" w:space="0" w:color="auto"/>
              <w:left w:val="single" w:sz="8" w:space="0" w:color="auto"/>
              <w:bottom w:val="single" w:sz="8" w:space="0" w:color="000000"/>
              <w:right w:val="single" w:sz="8" w:space="0" w:color="auto"/>
            </w:tcBorders>
            <w:vAlign w:val="center"/>
            <w:hideMark/>
          </w:tcPr>
          <w:p w14:paraId="13C1836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305A4024" w14:textId="77777777" w:rsidTr="00B26E71">
        <w:trPr>
          <w:trHeight w:val="330"/>
        </w:trPr>
        <w:tc>
          <w:tcPr>
            <w:tcW w:w="197" w:type="pct"/>
            <w:vMerge/>
            <w:tcBorders>
              <w:top w:val="single" w:sz="8" w:space="0" w:color="auto"/>
              <w:left w:val="single" w:sz="8" w:space="0" w:color="auto"/>
              <w:bottom w:val="single" w:sz="8" w:space="0" w:color="000000"/>
              <w:right w:val="single" w:sz="8" w:space="0" w:color="auto"/>
            </w:tcBorders>
            <w:vAlign w:val="center"/>
            <w:hideMark/>
          </w:tcPr>
          <w:p w14:paraId="3B9C6016"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633" w:type="pct"/>
            <w:vMerge/>
            <w:tcBorders>
              <w:top w:val="single" w:sz="8" w:space="0" w:color="auto"/>
              <w:left w:val="single" w:sz="8" w:space="0" w:color="auto"/>
              <w:bottom w:val="single" w:sz="8" w:space="0" w:color="000000"/>
              <w:right w:val="single" w:sz="8" w:space="0" w:color="auto"/>
            </w:tcBorders>
            <w:vAlign w:val="center"/>
            <w:hideMark/>
          </w:tcPr>
          <w:p w14:paraId="791EEEAD"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267" w:type="pct"/>
            <w:vMerge/>
            <w:tcBorders>
              <w:top w:val="single" w:sz="8" w:space="0" w:color="auto"/>
              <w:left w:val="single" w:sz="8" w:space="0" w:color="auto"/>
              <w:bottom w:val="single" w:sz="8" w:space="0" w:color="000000"/>
              <w:right w:val="single" w:sz="8" w:space="0" w:color="auto"/>
            </w:tcBorders>
            <w:vAlign w:val="center"/>
            <w:hideMark/>
          </w:tcPr>
          <w:p w14:paraId="32B76D04"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00" w:type="pct"/>
            <w:tcBorders>
              <w:top w:val="nil"/>
              <w:left w:val="nil"/>
              <w:bottom w:val="single" w:sz="8" w:space="0" w:color="auto"/>
              <w:right w:val="single" w:sz="8" w:space="0" w:color="auto"/>
            </w:tcBorders>
            <w:shd w:val="clear" w:color="000000" w:fill="D9D9D9"/>
            <w:vAlign w:val="center"/>
            <w:hideMark/>
          </w:tcPr>
          <w:p w14:paraId="41DE0A32"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400" w:type="pct"/>
            <w:tcBorders>
              <w:top w:val="nil"/>
              <w:left w:val="nil"/>
              <w:bottom w:val="single" w:sz="8" w:space="0" w:color="auto"/>
              <w:right w:val="single" w:sz="8" w:space="0" w:color="auto"/>
            </w:tcBorders>
            <w:shd w:val="clear" w:color="000000" w:fill="D9D9D9"/>
            <w:vAlign w:val="center"/>
            <w:hideMark/>
          </w:tcPr>
          <w:p w14:paraId="7E39EE8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401" w:type="pct"/>
            <w:tcBorders>
              <w:top w:val="nil"/>
              <w:left w:val="nil"/>
              <w:bottom w:val="single" w:sz="8" w:space="0" w:color="auto"/>
              <w:right w:val="single" w:sz="8" w:space="0" w:color="auto"/>
            </w:tcBorders>
            <w:shd w:val="clear" w:color="000000" w:fill="D9D9D9"/>
            <w:vAlign w:val="center"/>
            <w:hideMark/>
          </w:tcPr>
          <w:p w14:paraId="0F80FDD3"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334" w:type="pct"/>
            <w:tcBorders>
              <w:top w:val="nil"/>
              <w:left w:val="nil"/>
              <w:bottom w:val="single" w:sz="8" w:space="0" w:color="auto"/>
              <w:right w:val="single" w:sz="8" w:space="0" w:color="auto"/>
            </w:tcBorders>
            <w:shd w:val="clear" w:color="000000" w:fill="D9D9D9"/>
            <w:vAlign w:val="center"/>
            <w:hideMark/>
          </w:tcPr>
          <w:p w14:paraId="62964B7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400" w:type="pct"/>
            <w:vMerge/>
            <w:tcBorders>
              <w:top w:val="single" w:sz="8" w:space="0" w:color="auto"/>
              <w:left w:val="single" w:sz="8" w:space="0" w:color="auto"/>
              <w:bottom w:val="single" w:sz="8" w:space="0" w:color="000000"/>
              <w:right w:val="single" w:sz="8" w:space="0" w:color="auto"/>
            </w:tcBorders>
            <w:vAlign w:val="center"/>
            <w:hideMark/>
          </w:tcPr>
          <w:p w14:paraId="3AD9D678"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500" w:type="pct"/>
            <w:vMerge/>
            <w:tcBorders>
              <w:top w:val="nil"/>
              <w:left w:val="single" w:sz="8" w:space="0" w:color="auto"/>
              <w:bottom w:val="single" w:sz="8" w:space="0" w:color="000000"/>
              <w:right w:val="single" w:sz="8" w:space="0" w:color="auto"/>
            </w:tcBorders>
            <w:vAlign w:val="center"/>
            <w:hideMark/>
          </w:tcPr>
          <w:p w14:paraId="520582F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435" w:type="pct"/>
            <w:vMerge/>
            <w:tcBorders>
              <w:top w:val="nil"/>
              <w:left w:val="single" w:sz="8" w:space="0" w:color="auto"/>
              <w:bottom w:val="single" w:sz="8" w:space="0" w:color="000000"/>
              <w:right w:val="single" w:sz="8" w:space="0" w:color="auto"/>
            </w:tcBorders>
            <w:vAlign w:val="center"/>
            <w:hideMark/>
          </w:tcPr>
          <w:p w14:paraId="387D7773"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366" w:type="pct"/>
            <w:vMerge/>
            <w:tcBorders>
              <w:top w:val="nil"/>
              <w:left w:val="single" w:sz="8" w:space="0" w:color="auto"/>
              <w:bottom w:val="single" w:sz="8" w:space="0" w:color="000000"/>
              <w:right w:val="single" w:sz="8" w:space="0" w:color="auto"/>
            </w:tcBorders>
            <w:vAlign w:val="center"/>
            <w:hideMark/>
          </w:tcPr>
          <w:p w14:paraId="405C4215"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c>
          <w:tcPr>
            <w:tcW w:w="767" w:type="pct"/>
            <w:vMerge/>
            <w:tcBorders>
              <w:top w:val="single" w:sz="8" w:space="0" w:color="auto"/>
              <w:left w:val="single" w:sz="8" w:space="0" w:color="auto"/>
              <w:bottom w:val="single" w:sz="8" w:space="0" w:color="000000"/>
              <w:right w:val="single" w:sz="8" w:space="0" w:color="auto"/>
            </w:tcBorders>
            <w:vAlign w:val="center"/>
            <w:hideMark/>
          </w:tcPr>
          <w:p w14:paraId="2E5FE829" w14:textId="77777777" w:rsidR="00571EAF" w:rsidRPr="0086165A" w:rsidRDefault="00571EAF" w:rsidP="00571EAF">
            <w:pPr>
              <w:spacing w:after="0" w:line="240" w:lineRule="auto"/>
              <w:rPr>
                <w:rFonts w:ascii="Times New Roman" w:eastAsia="Times New Roman" w:hAnsi="Times New Roman" w:cs="Times New Roman"/>
                <w:b/>
                <w:bCs/>
                <w:sz w:val="18"/>
                <w:szCs w:val="18"/>
              </w:rPr>
            </w:pPr>
          </w:p>
        </w:tc>
      </w:tr>
      <w:tr w:rsidR="00B26E71" w:rsidRPr="0086165A" w14:paraId="3A9FFE13" w14:textId="77777777" w:rsidTr="00B26E71">
        <w:trPr>
          <w:trHeight w:val="975"/>
        </w:trPr>
        <w:tc>
          <w:tcPr>
            <w:tcW w:w="197" w:type="pct"/>
            <w:tcBorders>
              <w:top w:val="nil"/>
              <w:left w:val="single" w:sz="8" w:space="0" w:color="auto"/>
              <w:bottom w:val="single" w:sz="8" w:space="0" w:color="auto"/>
              <w:right w:val="single" w:sz="8" w:space="0" w:color="auto"/>
            </w:tcBorders>
            <w:shd w:val="clear" w:color="000000" w:fill="FFFFFF"/>
            <w:vAlign w:val="center"/>
            <w:hideMark/>
          </w:tcPr>
          <w:p w14:paraId="115B775A"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IV.3.1</w:t>
            </w:r>
          </w:p>
        </w:tc>
        <w:tc>
          <w:tcPr>
            <w:tcW w:w="633" w:type="pct"/>
            <w:tcBorders>
              <w:top w:val="nil"/>
              <w:left w:val="nil"/>
              <w:bottom w:val="single" w:sz="8" w:space="0" w:color="auto"/>
              <w:right w:val="single" w:sz="8" w:space="0" w:color="auto"/>
            </w:tcBorders>
            <w:shd w:val="clear" w:color="000000" w:fill="FFFFFF"/>
            <w:vAlign w:val="center"/>
            <w:hideMark/>
          </w:tcPr>
          <w:p w14:paraId="7CFE7C1A"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Development of new technical training programs.</w:t>
            </w:r>
          </w:p>
        </w:tc>
        <w:tc>
          <w:tcPr>
            <w:tcW w:w="267" w:type="pct"/>
            <w:tcBorders>
              <w:top w:val="nil"/>
              <w:left w:val="nil"/>
              <w:bottom w:val="single" w:sz="8" w:space="0" w:color="auto"/>
              <w:right w:val="single" w:sz="8" w:space="0" w:color="auto"/>
            </w:tcBorders>
            <w:shd w:val="clear" w:color="000000" w:fill="FFFFFF"/>
            <w:vAlign w:val="center"/>
            <w:hideMark/>
          </w:tcPr>
          <w:p w14:paraId="49EBEB6E"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2024 - 2025</w:t>
            </w:r>
          </w:p>
        </w:tc>
        <w:tc>
          <w:tcPr>
            <w:tcW w:w="300" w:type="pct"/>
            <w:tcBorders>
              <w:top w:val="nil"/>
              <w:left w:val="nil"/>
              <w:bottom w:val="single" w:sz="8" w:space="0" w:color="auto"/>
              <w:right w:val="single" w:sz="8" w:space="0" w:color="auto"/>
            </w:tcBorders>
            <w:shd w:val="clear" w:color="000000" w:fill="FFFFFF"/>
            <w:vAlign w:val="center"/>
            <w:hideMark/>
          </w:tcPr>
          <w:p w14:paraId="4C50DBEC" w14:textId="77777777" w:rsidR="007C19A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7AB3A9B5" w14:textId="3635E2F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400" w:type="pct"/>
            <w:tcBorders>
              <w:top w:val="nil"/>
              <w:left w:val="nil"/>
              <w:bottom w:val="single" w:sz="8" w:space="0" w:color="auto"/>
              <w:right w:val="single" w:sz="8" w:space="0" w:color="auto"/>
            </w:tcBorders>
            <w:shd w:val="clear" w:color="000000" w:fill="FFFFFF"/>
            <w:vAlign w:val="center"/>
            <w:hideMark/>
          </w:tcPr>
          <w:p w14:paraId="5982814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r>
              <w:rPr>
                <w:rFonts w:ascii="Times New Roman" w:hAnsi="Times New Roman"/>
                <w:b/>
                <w:sz w:val="18"/>
              </w:rPr>
              <w:t xml:space="preserve">  </w:t>
            </w:r>
          </w:p>
        </w:tc>
        <w:tc>
          <w:tcPr>
            <w:tcW w:w="401" w:type="pct"/>
            <w:tcBorders>
              <w:top w:val="nil"/>
              <w:left w:val="nil"/>
              <w:bottom w:val="single" w:sz="8" w:space="0" w:color="auto"/>
              <w:right w:val="single" w:sz="8" w:space="0" w:color="auto"/>
            </w:tcBorders>
            <w:shd w:val="clear" w:color="000000" w:fill="FFFFFF"/>
            <w:vAlign w:val="center"/>
            <w:hideMark/>
          </w:tcPr>
          <w:p w14:paraId="7EA6A329"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350,000.00 </w:t>
            </w:r>
          </w:p>
        </w:tc>
        <w:tc>
          <w:tcPr>
            <w:tcW w:w="334" w:type="pct"/>
            <w:tcBorders>
              <w:top w:val="nil"/>
              <w:left w:val="nil"/>
              <w:bottom w:val="single" w:sz="8" w:space="0" w:color="auto"/>
              <w:right w:val="single" w:sz="8" w:space="0" w:color="auto"/>
            </w:tcBorders>
            <w:shd w:val="clear" w:color="000000" w:fill="FFFFFF"/>
            <w:vAlign w:val="center"/>
            <w:hideMark/>
          </w:tcPr>
          <w:p w14:paraId="59CE4D5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350,000.00 </w:t>
            </w:r>
          </w:p>
        </w:tc>
        <w:tc>
          <w:tcPr>
            <w:tcW w:w="400" w:type="pct"/>
            <w:tcBorders>
              <w:top w:val="nil"/>
              <w:left w:val="nil"/>
              <w:bottom w:val="single" w:sz="8" w:space="0" w:color="auto"/>
              <w:right w:val="single" w:sz="8" w:space="0" w:color="auto"/>
            </w:tcBorders>
            <w:shd w:val="clear" w:color="000000" w:fill="FFFFFF"/>
            <w:vAlign w:val="center"/>
            <w:hideMark/>
          </w:tcPr>
          <w:p w14:paraId="5A79B661"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500" w:type="pct"/>
            <w:tcBorders>
              <w:top w:val="nil"/>
              <w:left w:val="nil"/>
              <w:bottom w:val="single" w:sz="8" w:space="0" w:color="auto"/>
              <w:right w:val="single" w:sz="8" w:space="0" w:color="auto"/>
            </w:tcBorders>
            <w:shd w:val="clear" w:color="000000" w:fill="FFFFFF"/>
            <w:vAlign w:val="center"/>
            <w:hideMark/>
          </w:tcPr>
          <w:p w14:paraId="0A5694C9"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MCAK</w:t>
            </w:r>
          </w:p>
        </w:tc>
        <w:tc>
          <w:tcPr>
            <w:tcW w:w="435" w:type="pct"/>
            <w:tcBorders>
              <w:top w:val="nil"/>
              <w:left w:val="nil"/>
              <w:bottom w:val="single" w:sz="8" w:space="0" w:color="auto"/>
              <w:right w:val="single" w:sz="8" w:space="0" w:color="auto"/>
            </w:tcBorders>
            <w:shd w:val="clear" w:color="000000" w:fill="FFFFFF"/>
            <w:vAlign w:val="center"/>
            <w:hideMark/>
          </w:tcPr>
          <w:p w14:paraId="3696ABED" w14:textId="6105C761"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Skilled workforce for the future of Renewable Energy Sources (RES). </w:t>
            </w:r>
          </w:p>
        </w:tc>
        <w:tc>
          <w:tcPr>
            <w:tcW w:w="366" w:type="pct"/>
            <w:tcBorders>
              <w:top w:val="nil"/>
              <w:left w:val="nil"/>
              <w:bottom w:val="single" w:sz="8" w:space="0" w:color="auto"/>
              <w:right w:val="single" w:sz="8" w:space="0" w:color="auto"/>
            </w:tcBorders>
            <w:shd w:val="clear" w:color="000000" w:fill="FFFFFF"/>
            <w:vAlign w:val="center"/>
            <w:hideMark/>
          </w:tcPr>
          <w:p w14:paraId="4D4E72D2"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767" w:type="pct"/>
            <w:tcBorders>
              <w:top w:val="nil"/>
              <w:left w:val="nil"/>
              <w:bottom w:val="single" w:sz="8" w:space="0" w:color="auto"/>
              <w:right w:val="single" w:sz="8" w:space="0" w:color="auto"/>
            </w:tcBorders>
            <w:shd w:val="clear" w:color="000000" w:fill="FFFFFF"/>
            <w:vAlign w:val="center"/>
            <w:hideMark/>
          </w:tcPr>
          <w:p w14:paraId="5597C651" w14:textId="77777777" w:rsidR="00571EAF" w:rsidRPr="0086165A" w:rsidRDefault="008D0192" w:rsidP="00863836">
            <w:pPr>
              <w:spacing w:after="0" w:line="240" w:lineRule="auto"/>
              <w:rPr>
                <w:rFonts w:ascii="Times New Roman" w:eastAsia="Times New Roman" w:hAnsi="Times New Roman" w:cs="Times New Roman"/>
                <w:sz w:val="18"/>
                <w:szCs w:val="18"/>
              </w:rPr>
            </w:pPr>
            <w:r>
              <w:rPr>
                <w:rFonts w:ascii="Times New Roman" w:hAnsi="Times New Roman"/>
                <w:sz w:val="18"/>
              </w:rPr>
              <w:t>This project will start to be implemented in 2025.</w:t>
            </w:r>
          </w:p>
        </w:tc>
      </w:tr>
      <w:tr w:rsidR="00B26E71" w:rsidRPr="0086165A" w14:paraId="3995D3BF" w14:textId="77777777" w:rsidTr="00B26E71">
        <w:trPr>
          <w:trHeight w:val="1905"/>
        </w:trPr>
        <w:tc>
          <w:tcPr>
            <w:tcW w:w="197" w:type="pct"/>
            <w:tcBorders>
              <w:top w:val="nil"/>
              <w:left w:val="single" w:sz="8" w:space="0" w:color="auto"/>
              <w:bottom w:val="single" w:sz="8" w:space="0" w:color="auto"/>
              <w:right w:val="single" w:sz="8" w:space="0" w:color="auto"/>
            </w:tcBorders>
            <w:shd w:val="clear" w:color="000000" w:fill="FFFFFF"/>
            <w:vAlign w:val="center"/>
            <w:hideMark/>
          </w:tcPr>
          <w:p w14:paraId="26E2E0EB"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IV.3.2</w:t>
            </w:r>
          </w:p>
        </w:tc>
        <w:tc>
          <w:tcPr>
            <w:tcW w:w="633" w:type="pct"/>
            <w:tcBorders>
              <w:top w:val="nil"/>
              <w:left w:val="nil"/>
              <w:bottom w:val="single" w:sz="8" w:space="0" w:color="auto"/>
              <w:right w:val="single" w:sz="8" w:space="0" w:color="auto"/>
            </w:tcBorders>
            <w:shd w:val="clear" w:color="000000" w:fill="FFFFFF"/>
            <w:vAlign w:val="center"/>
            <w:hideMark/>
          </w:tcPr>
          <w:p w14:paraId="68DB4BD2" w14:textId="77777777" w:rsidR="00571EAF" w:rsidRPr="0086165A"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Preparing gender inclusive infrastructure and policy planning.</w:t>
            </w:r>
          </w:p>
        </w:tc>
        <w:tc>
          <w:tcPr>
            <w:tcW w:w="267" w:type="pct"/>
            <w:tcBorders>
              <w:top w:val="nil"/>
              <w:left w:val="nil"/>
              <w:bottom w:val="single" w:sz="8" w:space="0" w:color="auto"/>
              <w:right w:val="single" w:sz="8" w:space="0" w:color="auto"/>
            </w:tcBorders>
            <w:shd w:val="clear" w:color="000000" w:fill="FFFFFF"/>
            <w:vAlign w:val="center"/>
            <w:hideMark/>
          </w:tcPr>
          <w:p w14:paraId="3FF896D3"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2024 - 2025</w:t>
            </w:r>
          </w:p>
        </w:tc>
        <w:tc>
          <w:tcPr>
            <w:tcW w:w="300" w:type="pct"/>
            <w:tcBorders>
              <w:top w:val="nil"/>
              <w:left w:val="nil"/>
              <w:bottom w:val="single" w:sz="8" w:space="0" w:color="auto"/>
              <w:right w:val="single" w:sz="8" w:space="0" w:color="auto"/>
            </w:tcBorders>
            <w:shd w:val="clear" w:color="000000" w:fill="FFFFFF"/>
            <w:vAlign w:val="center"/>
            <w:hideMark/>
          </w:tcPr>
          <w:p w14:paraId="249D16DB" w14:textId="77777777" w:rsidR="007C19A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3EBEE6D5" w14:textId="5511BD6E"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400" w:type="pct"/>
            <w:tcBorders>
              <w:top w:val="nil"/>
              <w:left w:val="nil"/>
              <w:bottom w:val="single" w:sz="8" w:space="0" w:color="auto"/>
              <w:right w:val="single" w:sz="8" w:space="0" w:color="auto"/>
            </w:tcBorders>
            <w:shd w:val="clear" w:color="000000" w:fill="FFFFFF"/>
            <w:vAlign w:val="center"/>
            <w:hideMark/>
          </w:tcPr>
          <w:p w14:paraId="3CAA4C7A"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r>
              <w:rPr>
                <w:rFonts w:ascii="Times New Roman" w:hAnsi="Times New Roman"/>
                <w:b/>
                <w:sz w:val="18"/>
              </w:rPr>
              <w:t xml:space="preserve">  </w:t>
            </w:r>
          </w:p>
        </w:tc>
        <w:tc>
          <w:tcPr>
            <w:tcW w:w="401" w:type="pct"/>
            <w:tcBorders>
              <w:top w:val="nil"/>
              <w:left w:val="nil"/>
              <w:bottom w:val="single" w:sz="8" w:space="0" w:color="auto"/>
              <w:right w:val="single" w:sz="8" w:space="0" w:color="auto"/>
            </w:tcBorders>
            <w:shd w:val="clear" w:color="000000" w:fill="FFFFFF"/>
            <w:vAlign w:val="center"/>
            <w:hideMark/>
          </w:tcPr>
          <w:p w14:paraId="6C44A8A7" w14:textId="77777777" w:rsidR="00571EAF" w:rsidRPr="0086165A"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300,000.00 </w:t>
            </w:r>
          </w:p>
        </w:tc>
        <w:tc>
          <w:tcPr>
            <w:tcW w:w="334" w:type="pct"/>
            <w:tcBorders>
              <w:top w:val="nil"/>
              <w:left w:val="nil"/>
              <w:bottom w:val="single" w:sz="8" w:space="0" w:color="auto"/>
              <w:right w:val="single" w:sz="8" w:space="0" w:color="auto"/>
            </w:tcBorders>
            <w:shd w:val="clear" w:color="000000" w:fill="FFFFFF"/>
            <w:vAlign w:val="center"/>
            <w:hideMark/>
          </w:tcPr>
          <w:p w14:paraId="210701AF"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300,000.00 </w:t>
            </w:r>
          </w:p>
        </w:tc>
        <w:tc>
          <w:tcPr>
            <w:tcW w:w="400" w:type="pct"/>
            <w:tcBorders>
              <w:top w:val="nil"/>
              <w:left w:val="nil"/>
              <w:bottom w:val="single" w:sz="8" w:space="0" w:color="auto"/>
              <w:right w:val="single" w:sz="8" w:space="0" w:color="auto"/>
            </w:tcBorders>
            <w:shd w:val="clear" w:color="000000" w:fill="FFFFFF"/>
            <w:vAlign w:val="center"/>
            <w:hideMark/>
          </w:tcPr>
          <w:p w14:paraId="24D86986"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500" w:type="pct"/>
            <w:tcBorders>
              <w:top w:val="nil"/>
              <w:left w:val="nil"/>
              <w:bottom w:val="single" w:sz="8" w:space="0" w:color="auto"/>
              <w:right w:val="single" w:sz="8" w:space="0" w:color="auto"/>
            </w:tcBorders>
            <w:shd w:val="clear" w:color="000000" w:fill="FFFFFF"/>
            <w:vAlign w:val="center"/>
            <w:hideMark/>
          </w:tcPr>
          <w:p w14:paraId="1D54F014" w14:textId="77777777" w:rsidR="00571EAF" w:rsidRPr="0086165A"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MCAK</w:t>
            </w:r>
          </w:p>
        </w:tc>
        <w:tc>
          <w:tcPr>
            <w:tcW w:w="435" w:type="pct"/>
            <w:tcBorders>
              <w:top w:val="nil"/>
              <w:left w:val="nil"/>
              <w:bottom w:val="single" w:sz="8" w:space="0" w:color="auto"/>
              <w:right w:val="single" w:sz="8" w:space="0" w:color="auto"/>
            </w:tcBorders>
            <w:shd w:val="clear" w:color="000000" w:fill="FFFFFF"/>
            <w:vAlign w:val="center"/>
            <w:hideMark/>
          </w:tcPr>
          <w:p w14:paraId="5E8B0428" w14:textId="26BCC702" w:rsidR="00571EAF" w:rsidRPr="0086165A" w:rsidRDefault="00CC0D24"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Twenty-five percent (25%) women in the energy sector workforce by 2031</w:t>
            </w:r>
          </w:p>
        </w:tc>
        <w:tc>
          <w:tcPr>
            <w:tcW w:w="366" w:type="pct"/>
            <w:tcBorders>
              <w:top w:val="nil"/>
              <w:left w:val="nil"/>
              <w:bottom w:val="single" w:sz="8" w:space="0" w:color="auto"/>
              <w:right w:val="single" w:sz="8" w:space="0" w:color="auto"/>
            </w:tcBorders>
            <w:shd w:val="clear" w:color="000000" w:fill="FFFFFF"/>
            <w:vAlign w:val="center"/>
            <w:hideMark/>
          </w:tcPr>
          <w:p w14:paraId="162B6B05"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767" w:type="pct"/>
            <w:tcBorders>
              <w:top w:val="nil"/>
              <w:left w:val="nil"/>
              <w:bottom w:val="single" w:sz="8" w:space="0" w:color="auto"/>
              <w:right w:val="single" w:sz="8" w:space="0" w:color="auto"/>
            </w:tcBorders>
            <w:shd w:val="clear" w:color="000000" w:fill="FFFFFF"/>
            <w:vAlign w:val="bottom"/>
            <w:hideMark/>
          </w:tcPr>
          <w:p w14:paraId="1AB5554B" w14:textId="77777777" w:rsidR="00571EAF" w:rsidRPr="0086165A" w:rsidRDefault="008D0192" w:rsidP="00863836">
            <w:pPr>
              <w:spacing w:after="0" w:line="240" w:lineRule="auto"/>
              <w:rPr>
                <w:rFonts w:ascii="Times New Roman" w:eastAsia="Times New Roman" w:hAnsi="Times New Roman" w:cs="Times New Roman"/>
                <w:sz w:val="18"/>
                <w:szCs w:val="18"/>
              </w:rPr>
            </w:pPr>
            <w:r>
              <w:rPr>
                <w:rFonts w:ascii="Times New Roman" w:hAnsi="Times New Roman"/>
                <w:sz w:val="18"/>
              </w:rPr>
              <w:t>This project will start to be implemented in 2025.</w:t>
            </w:r>
          </w:p>
        </w:tc>
      </w:tr>
      <w:tr w:rsidR="00B26E71" w:rsidRPr="00682BBE" w14:paraId="058F559C" w14:textId="77777777" w:rsidTr="00B26E71">
        <w:trPr>
          <w:trHeight w:val="1905"/>
        </w:trPr>
        <w:tc>
          <w:tcPr>
            <w:tcW w:w="197" w:type="pct"/>
            <w:tcBorders>
              <w:top w:val="nil"/>
              <w:left w:val="single" w:sz="8" w:space="0" w:color="auto"/>
              <w:bottom w:val="nil"/>
              <w:right w:val="single" w:sz="8" w:space="0" w:color="auto"/>
            </w:tcBorders>
            <w:shd w:val="clear" w:color="000000" w:fill="FFFFFF"/>
            <w:vAlign w:val="center"/>
            <w:hideMark/>
          </w:tcPr>
          <w:p w14:paraId="43E91463" w14:textId="77777777" w:rsidR="00571EAF" w:rsidRPr="00682BB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IV.3.3</w:t>
            </w:r>
          </w:p>
        </w:tc>
        <w:tc>
          <w:tcPr>
            <w:tcW w:w="633" w:type="pct"/>
            <w:tcBorders>
              <w:top w:val="nil"/>
              <w:left w:val="nil"/>
              <w:bottom w:val="nil"/>
              <w:right w:val="single" w:sz="8" w:space="0" w:color="auto"/>
            </w:tcBorders>
            <w:shd w:val="clear" w:color="000000" w:fill="FFFFFF"/>
            <w:vAlign w:val="center"/>
            <w:hideMark/>
          </w:tcPr>
          <w:p w14:paraId="5FBFF72D" w14:textId="77777777" w:rsidR="00571EAF" w:rsidRPr="00682BBE" w:rsidRDefault="00571EAF" w:rsidP="00571EAF">
            <w:pPr>
              <w:spacing w:after="0" w:line="240" w:lineRule="auto"/>
              <w:rPr>
                <w:rFonts w:ascii="Times New Roman" w:eastAsia="Times New Roman" w:hAnsi="Times New Roman" w:cs="Times New Roman"/>
                <w:sz w:val="18"/>
                <w:szCs w:val="18"/>
              </w:rPr>
            </w:pPr>
            <w:r>
              <w:rPr>
                <w:rFonts w:ascii="Times New Roman" w:hAnsi="Times New Roman"/>
                <w:sz w:val="18"/>
              </w:rPr>
              <w:t>Drafting of new professional standards and curricula, according to the requirements of the labor market.</w:t>
            </w:r>
          </w:p>
        </w:tc>
        <w:tc>
          <w:tcPr>
            <w:tcW w:w="267" w:type="pct"/>
            <w:tcBorders>
              <w:top w:val="nil"/>
              <w:left w:val="nil"/>
              <w:bottom w:val="nil"/>
              <w:right w:val="single" w:sz="8" w:space="0" w:color="auto"/>
            </w:tcBorders>
            <w:shd w:val="clear" w:color="000000" w:fill="FFFFFF"/>
            <w:vAlign w:val="center"/>
            <w:hideMark/>
          </w:tcPr>
          <w:p w14:paraId="627A51B0" w14:textId="77777777" w:rsidR="00571EAF" w:rsidRPr="00682BB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00" w:type="pct"/>
            <w:tcBorders>
              <w:top w:val="nil"/>
              <w:left w:val="nil"/>
              <w:bottom w:val="nil"/>
              <w:right w:val="single" w:sz="8" w:space="0" w:color="auto"/>
            </w:tcBorders>
            <w:shd w:val="clear" w:color="000000" w:fill="FFFFFF"/>
            <w:vAlign w:val="center"/>
            <w:hideMark/>
          </w:tcPr>
          <w:p w14:paraId="5F73BBBB" w14:textId="77777777" w:rsidR="007C19A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p w14:paraId="099CACB3" w14:textId="398286A2" w:rsidR="00571EAF" w:rsidRPr="00682BB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w:t>
            </w:r>
          </w:p>
        </w:tc>
        <w:tc>
          <w:tcPr>
            <w:tcW w:w="400" w:type="pct"/>
            <w:tcBorders>
              <w:top w:val="nil"/>
              <w:left w:val="nil"/>
              <w:bottom w:val="nil"/>
              <w:right w:val="single" w:sz="8" w:space="0" w:color="auto"/>
            </w:tcBorders>
            <w:shd w:val="clear" w:color="000000" w:fill="FFFFFF"/>
            <w:vAlign w:val="center"/>
            <w:hideMark/>
          </w:tcPr>
          <w:p w14:paraId="5A9A07BF" w14:textId="77777777" w:rsidR="00571EAF" w:rsidRPr="00682BBE"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p>
        </w:tc>
        <w:tc>
          <w:tcPr>
            <w:tcW w:w="401" w:type="pct"/>
            <w:tcBorders>
              <w:top w:val="nil"/>
              <w:left w:val="nil"/>
              <w:bottom w:val="nil"/>
              <w:right w:val="single" w:sz="8" w:space="0" w:color="auto"/>
            </w:tcBorders>
            <w:shd w:val="clear" w:color="000000" w:fill="FFFFFF"/>
            <w:vAlign w:val="center"/>
            <w:hideMark/>
          </w:tcPr>
          <w:p w14:paraId="6228177B" w14:textId="77777777" w:rsidR="00571EAF" w:rsidRPr="00682BBE"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10,000.00 </w:t>
            </w:r>
          </w:p>
        </w:tc>
        <w:tc>
          <w:tcPr>
            <w:tcW w:w="334" w:type="pct"/>
            <w:tcBorders>
              <w:top w:val="nil"/>
              <w:left w:val="nil"/>
              <w:bottom w:val="nil"/>
              <w:right w:val="single" w:sz="8" w:space="0" w:color="auto"/>
            </w:tcBorders>
            <w:shd w:val="clear" w:color="000000" w:fill="FFFFFF"/>
            <w:vAlign w:val="center"/>
            <w:hideMark/>
          </w:tcPr>
          <w:p w14:paraId="3719B582" w14:textId="77777777" w:rsidR="00571EAF" w:rsidRPr="00682BB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400" w:type="pct"/>
            <w:tcBorders>
              <w:top w:val="nil"/>
              <w:left w:val="nil"/>
              <w:bottom w:val="nil"/>
              <w:right w:val="single" w:sz="8" w:space="0" w:color="auto"/>
            </w:tcBorders>
            <w:shd w:val="clear" w:color="000000" w:fill="FFFFFF"/>
            <w:vAlign w:val="center"/>
            <w:hideMark/>
          </w:tcPr>
          <w:p w14:paraId="7054FE50" w14:textId="77777777" w:rsidR="00571EAF" w:rsidRPr="00682BB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500" w:type="pct"/>
            <w:tcBorders>
              <w:top w:val="nil"/>
              <w:left w:val="nil"/>
              <w:bottom w:val="nil"/>
              <w:right w:val="single" w:sz="8" w:space="0" w:color="auto"/>
            </w:tcBorders>
            <w:shd w:val="clear" w:color="000000" w:fill="FFFFFF"/>
            <w:vAlign w:val="center"/>
            <w:hideMark/>
          </w:tcPr>
          <w:p w14:paraId="07AD24D9" w14:textId="77777777" w:rsidR="00571EAF" w:rsidRPr="00682BBE" w:rsidRDefault="00B7669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MESTI</w:t>
            </w:r>
          </w:p>
        </w:tc>
        <w:tc>
          <w:tcPr>
            <w:tcW w:w="435" w:type="pct"/>
            <w:tcBorders>
              <w:top w:val="nil"/>
              <w:left w:val="nil"/>
              <w:bottom w:val="nil"/>
              <w:right w:val="single" w:sz="8" w:space="0" w:color="auto"/>
            </w:tcBorders>
            <w:shd w:val="clear" w:color="000000" w:fill="FFFFFF"/>
            <w:vAlign w:val="center"/>
            <w:hideMark/>
          </w:tcPr>
          <w:p w14:paraId="186B4DF5" w14:textId="77777777" w:rsidR="00571EAF" w:rsidRPr="00682BB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Professional standards and new curricula prepared.</w:t>
            </w:r>
          </w:p>
        </w:tc>
        <w:tc>
          <w:tcPr>
            <w:tcW w:w="366" w:type="pct"/>
            <w:tcBorders>
              <w:top w:val="nil"/>
              <w:left w:val="nil"/>
              <w:bottom w:val="nil"/>
              <w:right w:val="single" w:sz="8" w:space="0" w:color="auto"/>
            </w:tcBorders>
            <w:shd w:val="clear" w:color="000000" w:fill="FFFFFF"/>
            <w:vAlign w:val="center"/>
            <w:hideMark/>
          </w:tcPr>
          <w:p w14:paraId="679A8186" w14:textId="77777777" w:rsidR="00571EAF" w:rsidRPr="00682BBE"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767" w:type="pct"/>
            <w:tcBorders>
              <w:top w:val="nil"/>
              <w:left w:val="nil"/>
              <w:bottom w:val="nil"/>
              <w:right w:val="single" w:sz="8" w:space="0" w:color="auto"/>
            </w:tcBorders>
            <w:shd w:val="clear" w:color="000000" w:fill="FFFFFF"/>
            <w:noWrap/>
            <w:vAlign w:val="bottom"/>
            <w:hideMark/>
          </w:tcPr>
          <w:p w14:paraId="2D67E37F" w14:textId="77777777" w:rsidR="00571EAF" w:rsidRPr="00682BBE" w:rsidRDefault="00571EAF" w:rsidP="008A4679">
            <w:pPr>
              <w:spacing w:after="0" w:line="240" w:lineRule="auto"/>
              <w:rPr>
                <w:rFonts w:ascii="Times New Roman" w:eastAsia="Times New Roman" w:hAnsi="Times New Roman" w:cs="Times New Roman"/>
                <w:sz w:val="18"/>
                <w:szCs w:val="18"/>
              </w:rPr>
            </w:pPr>
          </w:p>
        </w:tc>
      </w:tr>
      <w:tr w:rsidR="00B26E71" w:rsidRPr="004A694D" w14:paraId="706F1C08" w14:textId="77777777" w:rsidTr="00B26E71">
        <w:trPr>
          <w:trHeight w:val="80"/>
        </w:trPr>
        <w:tc>
          <w:tcPr>
            <w:tcW w:w="197" w:type="pct"/>
            <w:tcBorders>
              <w:top w:val="nil"/>
              <w:left w:val="single" w:sz="8" w:space="0" w:color="auto"/>
              <w:bottom w:val="single" w:sz="8" w:space="0" w:color="auto"/>
              <w:right w:val="single" w:sz="8" w:space="0" w:color="auto"/>
            </w:tcBorders>
            <w:shd w:val="clear" w:color="000000" w:fill="FFFFFF"/>
            <w:vAlign w:val="center"/>
          </w:tcPr>
          <w:p w14:paraId="66D3E64F" w14:textId="77777777" w:rsidR="00ED1B10" w:rsidRPr="004A694D" w:rsidRDefault="00ED1B10" w:rsidP="00571EAF">
            <w:pPr>
              <w:spacing w:after="0" w:line="240" w:lineRule="auto"/>
              <w:jc w:val="center"/>
              <w:rPr>
                <w:rFonts w:ascii="Times New Roman" w:eastAsia="Times New Roman" w:hAnsi="Times New Roman" w:cs="Times New Roman"/>
                <w:sz w:val="18"/>
                <w:szCs w:val="18"/>
              </w:rPr>
            </w:pPr>
          </w:p>
        </w:tc>
        <w:tc>
          <w:tcPr>
            <w:tcW w:w="633" w:type="pct"/>
            <w:tcBorders>
              <w:top w:val="nil"/>
              <w:left w:val="nil"/>
              <w:bottom w:val="single" w:sz="8" w:space="0" w:color="auto"/>
              <w:right w:val="single" w:sz="8" w:space="0" w:color="auto"/>
            </w:tcBorders>
            <w:shd w:val="clear" w:color="000000" w:fill="FFFFFF"/>
            <w:vAlign w:val="center"/>
          </w:tcPr>
          <w:p w14:paraId="6A375E15" w14:textId="77777777" w:rsidR="00ED1B10" w:rsidRPr="004A694D" w:rsidRDefault="00ED1B10" w:rsidP="00571EAF">
            <w:pPr>
              <w:spacing w:after="0" w:line="240" w:lineRule="auto"/>
              <w:rPr>
                <w:rFonts w:ascii="Times New Roman" w:eastAsia="Times New Roman" w:hAnsi="Times New Roman" w:cs="Times New Roman"/>
                <w:sz w:val="18"/>
                <w:szCs w:val="18"/>
              </w:rPr>
            </w:pPr>
          </w:p>
        </w:tc>
        <w:tc>
          <w:tcPr>
            <w:tcW w:w="267" w:type="pct"/>
            <w:tcBorders>
              <w:top w:val="nil"/>
              <w:left w:val="nil"/>
              <w:bottom w:val="single" w:sz="8" w:space="0" w:color="auto"/>
              <w:right w:val="single" w:sz="8" w:space="0" w:color="auto"/>
            </w:tcBorders>
            <w:shd w:val="clear" w:color="000000" w:fill="FFFFFF"/>
            <w:vAlign w:val="center"/>
          </w:tcPr>
          <w:p w14:paraId="69212F5B" w14:textId="77777777" w:rsidR="00ED1B10" w:rsidRPr="004A694D" w:rsidRDefault="00ED1B10" w:rsidP="00571EAF">
            <w:pPr>
              <w:spacing w:after="0" w:line="240" w:lineRule="auto"/>
              <w:jc w:val="center"/>
              <w:rPr>
                <w:rFonts w:ascii="Times New Roman" w:eastAsia="Times New Roman" w:hAnsi="Times New Roman" w:cs="Times New Roman"/>
                <w:sz w:val="18"/>
                <w:szCs w:val="18"/>
              </w:rPr>
            </w:pPr>
          </w:p>
        </w:tc>
        <w:tc>
          <w:tcPr>
            <w:tcW w:w="300" w:type="pct"/>
            <w:tcBorders>
              <w:top w:val="nil"/>
              <w:left w:val="nil"/>
              <w:bottom w:val="single" w:sz="8" w:space="0" w:color="auto"/>
              <w:right w:val="single" w:sz="8" w:space="0" w:color="auto"/>
            </w:tcBorders>
            <w:shd w:val="clear" w:color="000000" w:fill="FFFFFF"/>
            <w:vAlign w:val="center"/>
          </w:tcPr>
          <w:p w14:paraId="3922AD32" w14:textId="77777777" w:rsidR="00ED1B10" w:rsidRPr="004A694D" w:rsidRDefault="00ED1B10" w:rsidP="00571EAF">
            <w:pPr>
              <w:spacing w:after="0" w:line="240" w:lineRule="auto"/>
              <w:jc w:val="center"/>
              <w:rPr>
                <w:rFonts w:ascii="Times New Roman" w:eastAsia="Times New Roman" w:hAnsi="Times New Roman" w:cs="Times New Roman"/>
                <w:sz w:val="18"/>
                <w:szCs w:val="18"/>
              </w:rPr>
            </w:pPr>
          </w:p>
        </w:tc>
        <w:tc>
          <w:tcPr>
            <w:tcW w:w="400" w:type="pct"/>
            <w:tcBorders>
              <w:top w:val="nil"/>
              <w:left w:val="nil"/>
              <w:bottom w:val="single" w:sz="8" w:space="0" w:color="auto"/>
              <w:right w:val="single" w:sz="8" w:space="0" w:color="auto"/>
            </w:tcBorders>
            <w:shd w:val="clear" w:color="000000" w:fill="FFFFFF"/>
            <w:vAlign w:val="center"/>
          </w:tcPr>
          <w:p w14:paraId="025B29AA" w14:textId="77777777" w:rsidR="00ED1B10" w:rsidRPr="004A694D" w:rsidRDefault="00ED1B10" w:rsidP="00571EAF">
            <w:pPr>
              <w:spacing w:after="0" w:line="240" w:lineRule="auto"/>
              <w:jc w:val="center"/>
              <w:rPr>
                <w:rFonts w:ascii="Times New Roman" w:eastAsia="Times New Roman" w:hAnsi="Times New Roman" w:cs="Times New Roman"/>
                <w:b/>
                <w:bCs/>
                <w:sz w:val="18"/>
                <w:szCs w:val="18"/>
              </w:rPr>
            </w:pPr>
          </w:p>
        </w:tc>
        <w:tc>
          <w:tcPr>
            <w:tcW w:w="401" w:type="pct"/>
            <w:tcBorders>
              <w:top w:val="nil"/>
              <w:left w:val="nil"/>
              <w:bottom w:val="single" w:sz="8" w:space="0" w:color="auto"/>
              <w:right w:val="single" w:sz="8" w:space="0" w:color="auto"/>
            </w:tcBorders>
            <w:shd w:val="clear" w:color="000000" w:fill="FFFFFF"/>
            <w:vAlign w:val="center"/>
          </w:tcPr>
          <w:p w14:paraId="7E5A11B5" w14:textId="77777777" w:rsidR="00ED1B10" w:rsidRPr="004A694D" w:rsidRDefault="00ED1B10" w:rsidP="00571EAF">
            <w:pPr>
              <w:spacing w:after="0" w:line="240" w:lineRule="auto"/>
              <w:jc w:val="center"/>
              <w:rPr>
                <w:rFonts w:ascii="Times New Roman" w:eastAsia="Times New Roman" w:hAnsi="Times New Roman" w:cs="Times New Roman"/>
                <w:b/>
                <w:bCs/>
                <w:sz w:val="18"/>
                <w:szCs w:val="18"/>
              </w:rPr>
            </w:pPr>
          </w:p>
        </w:tc>
        <w:tc>
          <w:tcPr>
            <w:tcW w:w="334" w:type="pct"/>
            <w:tcBorders>
              <w:top w:val="nil"/>
              <w:left w:val="nil"/>
              <w:bottom w:val="single" w:sz="8" w:space="0" w:color="auto"/>
              <w:right w:val="single" w:sz="8" w:space="0" w:color="auto"/>
            </w:tcBorders>
            <w:shd w:val="clear" w:color="000000" w:fill="FFFFFF"/>
            <w:vAlign w:val="center"/>
          </w:tcPr>
          <w:p w14:paraId="60663A60" w14:textId="77777777" w:rsidR="00ED1B10" w:rsidRPr="004A694D" w:rsidRDefault="00ED1B10" w:rsidP="00571EAF">
            <w:pPr>
              <w:spacing w:after="0" w:line="240" w:lineRule="auto"/>
              <w:jc w:val="center"/>
              <w:rPr>
                <w:rFonts w:ascii="Times New Roman" w:eastAsia="Times New Roman" w:hAnsi="Times New Roman" w:cs="Times New Roman"/>
                <w:sz w:val="18"/>
                <w:szCs w:val="18"/>
              </w:rPr>
            </w:pPr>
          </w:p>
        </w:tc>
        <w:tc>
          <w:tcPr>
            <w:tcW w:w="400" w:type="pct"/>
            <w:tcBorders>
              <w:top w:val="nil"/>
              <w:left w:val="nil"/>
              <w:bottom w:val="single" w:sz="8" w:space="0" w:color="auto"/>
              <w:right w:val="single" w:sz="8" w:space="0" w:color="auto"/>
            </w:tcBorders>
            <w:shd w:val="clear" w:color="000000" w:fill="FFFFFF"/>
            <w:vAlign w:val="center"/>
          </w:tcPr>
          <w:p w14:paraId="4CDA5BC0" w14:textId="77777777" w:rsidR="00ED1B10" w:rsidRPr="004A694D" w:rsidRDefault="00ED1B10" w:rsidP="00571EAF">
            <w:pPr>
              <w:spacing w:after="0" w:line="240" w:lineRule="auto"/>
              <w:jc w:val="center"/>
              <w:rPr>
                <w:rFonts w:ascii="Times New Roman" w:eastAsia="Times New Roman" w:hAnsi="Times New Roman" w:cs="Times New Roman"/>
                <w:sz w:val="18"/>
                <w:szCs w:val="18"/>
              </w:rPr>
            </w:pPr>
          </w:p>
        </w:tc>
        <w:tc>
          <w:tcPr>
            <w:tcW w:w="500" w:type="pct"/>
            <w:tcBorders>
              <w:top w:val="nil"/>
              <w:left w:val="nil"/>
              <w:bottom w:val="single" w:sz="8" w:space="0" w:color="auto"/>
              <w:right w:val="single" w:sz="8" w:space="0" w:color="auto"/>
            </w:tcBorders>
            <w:shd w:val="clear" w:color="000000" w:fill="FFFFFF"/>
            <w:vAlign w:val="center"/>
          </w:tcPr>
          <w:p w14:paraId="6FFEBDA6" w14:textId="77777777" w:rsidR="00ED1B10" w:rsidRPr="004A694D" w:rsidRDefault="00ED1B10" w:rsidP="00571EAF">
            <w:pPr>
              <w:spacing w:after="0" w:line="240" w:lineRule="auto"/>
              <w:jc w:val="center"/>
              <w:rPr>
                <w:rFonts w:ascii="Times New Roman" w:eastAsia="Times New Roman" w:hAnsi="Times New Roman" w:cs="Times New Roman"/>
                <w:sz w:val="18"/>
                <w:szCs w:val="18"/>
              </w:rPr>
            </w:pPr>
          </w:p>
        </w:tc>
        <w:tc>
          <w:tcPr>
            <w:tcW w:w="435" w:type="pct"/>
            <w:tcBorders>
              <w:top w:val="nil"/>
              <w:left w:val="nil"/>
              <w:bottom w:val="single" w:sz="8" w:space="0" w:color="auto"/>
              <w:right w:val="single" w:sz="8" w:space="0" w:color="auto"/>
            </w:tcBorders>
            <w:shd w:val="clear" w:color="000000" w:fill="FFFFFF"/>
            <w:vAlign w:val="center"/>
          </w:tcPr>
          <w:p w14:paraId="1ABE6E89" w14:textId="77777777" w:rsidR="00ED1B10" w:rsidRPr="004A694D" w:rsidRDefault="00ED1B10" w:rsidP="00571EAF">
            <w:pPr>
              <w:spacing w:after="0" w:line="240" w:lineRule="auto"/>
              <w:jc w:val="center"/>
              <w:rPr>
                <w:rFonts w:ascii="Times New Roman" w:eastAsia="Times New Roman" w:hAnsi="Times New Roman" w:cs="Times New Roman"/>
                <w:sz w:val="18"/>
                <w:szCs w:val="18"/>
              </w:rPr>
            </w:pPr>
          </w:p>
        </w:tc>
        <w:tc>
          <w:tcPr>
            <w:tcW w:w="366" w:type="pct"/>
            <w:tcBorders>
              <w:top w:val="nil"/>
              <w:left w:val="nil"/>
              <w:bottom w:val="single" w:sz="8" w:space="0" w:color="auto"/>
              <w:right w:val="single" w:sz="8" w:space="0" w:color="auto"/>
            </w:tcBorders>
            <w:shd w:val="clear" w:color="000000" w:fill="FFFFFF"/>
            <w:vAlign w:val="center"/>
          </w:tcPr>
          <w:p w14:paraId="16A34089" w14:textId="77777777" w:rsidR="00ED1B10" w:rsidRPr="004A694D" w:rsidRDefault="00ED1B10" w:rsidP="00571EAF">
            <w:pPr>
              <w:spacing w:after="0" w:line="240" w:lineRule="auto"/>
              <w:jc w:val="center"/>
              <w:rPr>
                <w:rFonts w:ascii="Times New Roman" w:eastAsia="Times New Roman" w:hAnsi="Times New Roman" w:cs="Times New Roman"/>
                <w:sz w:val="18"/>
                <w:szCs w:val="18"/>
              </w:rPr>
            </w:pPr>
          </w:p>
        </w:tc>
        <w:tc>
          <w:tcPr>
            <w:tcW w:w="767" w:type="pct"/>
            <w:tcBorders>
              <w:top w:val="nil"/>
              <w:left w:val="nil"/>
              <w:bottom w:val="single" w:sz="8" w:space="0" w:color="auto"/>
              <w:right w:val="single" w:sz="8" w:space="0" w:color="auto"/>
            </w:tcBorders>
            <w:shd w:val="clear" w:color="000000" w:fill="FFFFFF"/>
            <w:noWrap/>
            <w:vAlign w:val="bottom"/>
          </w:tcPr>
          <w:p w14:paraId="0FEF752E" w14:textId="63C6E2B1" w:rsidR="00ED1B10" w:rsidRPr="004A694D" w:rsidRDefault="008A4679" w:rsidP="00571EAF">
            <w:pPr>
              <w:spacing w:after="0" w:line="240" w:lineRule="auto"/>
              <w:rPr>
                <w:rFonts w:ascii="Times New Roman" w:eastAsia="Times New Roman" w:hAnsi="Times New Roman" w:cs="Times New Roman"/>
                <w:sz w:val="18"/>
                <w:szCs w:val="18"/>
              </w:rPr>
            </w:pPr>
            <w:r>
              <w:rPr>
                <w:rFonts w:ascii="Times New Roman" w:hAnsi="Times New Roman"/>
                <w:sz w:val="18"/>
              </w:rPr>
              <w:t>Four (4) new standards have been drafted in the energy sector based on labor market requirements:</w:t>
            </w:r>
            <w:r>
              <w:rPr>
                <w:rFonts w:ascii="Times New Roman" w:hAnsi="Times New Roman"/>
                <w:sz w:val="18"/>
              </w:rPr>
              <w:br/>
              <w:t>1. Photovoltaic Energy Technician,</w:t>
            </w:r>
            <w:r>
              <w:rPr>
                <w:rFonts w:ascii="Times New Roman" w:hAnsi="Times New Roman"/>
                <w:sz w:val="18"/>
              </w:rPr>
              <w:br/>
              <w:t>2. Energy Efficiency in Construction Technician,</w:t>
            </w:r>
            <w:r>
              <w:rPr>
                <w:rFonts w:ascii="Times New Roman" w:hAnsi="Times New Roman"/>
                <w:sz w:val="18"/>
              </w:rPr>
              <w:br/>
              <w:t>3. Wind Energy Technician,</w:t>
            </w:r>
            <w:r>
              <w:rPr>
                <w:rFonts w:ascii="Times New Roman" w:hAnsi="Times New Roman"/>
                <w:sz w:val="18"/>
              </w:rPr>
              <w:br/>
              <w:t>4. Biomass Energy Technician.</w:t>
            </w:r>
            <w:r>
              <w:rPr>
                <w:rFonts w:ascii="Times New Roman" w:hAnsi="Times New Roman"/>
                <w:sz w:val="18"/>
              </w:rPr>
              <w:br/>
              <w:t>These four (4) professional standards have been forwarded to the National Qualifications Authority for validation, and the curricula and teaching materials have also been prepared.</w:t>
            </w:r>
          </w:p>
        </w:tc>
      </w:tr>
    </w:tbl>
    <w:p w14:paraId="0894CB79" w14:textId="1378B6F1" w:rsidR="00C849A7" w:rsidRPr="008D3F67" w:rsidRDefault="00C849A7" w:rsidP="008D3F67">
      <w:pPr>
        <w:rPr>
          <w:rFonts w:ascii="Times New Roman" w:hAnsi="Times New Roman" w:cs="Times New Roman"/>
          <w:b/>
          <w:sz w:val="28"/>
          <w:szCs w:val="24"/>
        </w:rPr>
      </w:pPr>
    </w:p>
    <w:tbl>
      <w:tblPr>
        <w:tblW w:w="4994" w:type="pct"/>
        <w:tblInd w:w="5" w:type="dxa"/>
        <w:tblLayout w:type="fixed"/>
        <w:tblLook w:val="04A0" w:firstRow="1" w:lastRow="0" w:firstColumn="1" w:lastColumn="0" w:noHBand="0" w:noVBand="1"/>
      </w:tblPr>
      <w:tblGrid>
        <w:gridCol w:w="542"/>
        <w:gridCol w:w="1346"/>
        <w:gridCol w:w="636"/>
        <w:gridCol w:w="955"/>
        <w:gridCol w:w="1024"/>
        <w:gridCol w:w="1024"/>
        <w:gridCol w:w="1024"/>
        <w:gridCol w:w="1021"/>
        <w:gridCol w:w="1018"/>
        <w:gridCol w:w="894"/>
        <w:gridCol w:w="1035"/>
        <w:gridCol w:w="3859"/>
      </w:tblGrid>
      <w:tr w:rsidR="00571EAF" w:rsidRPr="004A694D" w14:paraId="06C9DEC8" w14:textId="77777777" w:rsidTr="00405811">
        <w:trPr>
          <w:trHeight w:val="480"/>
        </w:trPr>
        <w:tc>
          <w:tcPr>
            <w:tcW w:w="3658" w:type="pct"/>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53EA2151" w14:textId="68E720DF" w:rsidR="00571EAF" w:rsidRPr="0014539F" w:rsidRDefault="00571EAF" w:rsidP="00571EAF">
            <w:pPr>
              <w:spacing w:after="0" w:line="240" w:lineRule="auto"/>
              <w:jc w:val="center"/>
              <w:rPr>
                <w:rFonts w:ascii="Times New Roman" w:eastAsia="Times New Roman" w:hAnsi="Times New Roman" w:cs="Times New Roman"/>
                <w:b/>
                <w:bCs/>
                <w:i/>
                <w:iCs/>
                <w:sz w:val="24"/>
                <w:szCs w:val="24"/>
              </w:rPr>
            </w:pPr>
            <w:r>
              <w:rPr>
                <w:rFonts w:ascii="Times New Roman" w:hAnsi="Times New Roman"/>
                <w:b/>
                <w:i/>
                <w:sz w:val="24"/>
              </w:rPr>
              <w:t>MONITORING OF THE IMPLEMENTATION OF KESIP FOR THE PERIOD 2022-2025: STRATEGIC OBJECTIVE 5</w:t>
            </w:r>
          </w:p>
        </w:tc>
        <w:tc>
          <w:tcPr>
            <w:tcW w:w="1342" w:type="pct"/>
            <w:tcBorders>
              <w:top w:val="nil"/>
              <w:left w:val="nil"/>
              <w:bottom w:val="nil"/>
              <w:right w:val="nil"/>
            </w:tcBorders>
            <w:shd w:val="clear" w:color="auto" w:fill="auto"/>
            <w:noWrap/>
            <w:vAlign w:val="bottom"/>
            <w:hideMark/>
          </w:tcPr>
          <w:p w14:paraId="580D06C7" w14:textId="77777777" w:rsidR="00571EAF" w:rsidRPr="0014539F" w:rsidRDefault="00571EAF" w:rsidP="00571EAF">
            <w:pPr>
              <w:spacing w:after="0" w:line="240" w:lineRule="auto"/>
              <w:jc w:val="center"/>
              <w:rPr>
                <w:rFonts w:ascii="Times New Roman" w:eastAsia="Times New Roman" w:hAnsi="Times New Roman" w:cs="Times New Roman"/>
                <w:b/>
                <w:bCs/>
                <w:i/>
                <w:iCs/>
                <w:sz w:val="24"/>
                <w:szCs w:val="24"/>
              </w:rPr>
            </w:pPr>
          </w:p>
        </w:tc>
      </w:tr>
      <w:tr w:rsidR="00571EAF" w:rsidRPr="004A694D" w14:paraId="590A7AD6" w14:textId="77777777" w:rsidTr="00405811">
        <w:trPr>
          <w:trHeight w:val="780"/>
        </w:trPr>
        <w:tc>
          <w:tcPr>
            <w:tcW w:w="3658" w:type="pct"/>
            <w:gridSpan w:val="11"/>
            <w:tcBorders>
              <w:top w:val="single" w:sz="8" w:space="0" w:color="auto"/>
              <w:left w:val="nil"/>
              <w:bottom w:val="single" w:sz="8" w:space="0" w:color="auto"/>
              <w:right w:val="nil"/>
            </w:tcBorders>
            <w:shd w:val="clear" w:color="auto" w:fill="auto"/>
            <w:noWrap/>
            <w:vAlign w:val="center"/>
            <w:hideMark/>
          </w:tcPr>
          <w:p w14:paraId="09745402" w14:textId="77777777" w:rsidR="00571EAF" w:rsidRPr="0014539F" w:rsidRDefault="00571EAF" w:rsidP="00571EA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xml:space="preserve">SO5: PROTECTING AND EMPOWERING CONSUMERS </w:t>
            </w:r>
          </w:p>
        </w:tc>
        <w:tc>
          <w:tcPr>
            <w:tcW w:w="1342" w:type="pct"/>
            <w:tcBorders>
              <w:top w:val="nil"/>
              <w:left w:val="nil"/>
              <w:bottom w:val="nil"/>
              <w:right w:val="nil"/>
            </w:tcBorders>
            <w:shd w:val="clear" w:color="auto" w:fill="auto"/>
            <w:noWrap/>
            <w:vAlign w:val="bottom"/>
            <w:hideMark/>
          </w:tcPr>
          <w:p w14:paraId="4EC790CA" w14:textId="77777777" w:rsidR="00571EAF" w:rsidRPr="006D6D77" w:rsidRDefault="00571EAF" w:rsidP="00571EAF">
            <w:pPr>
              <w:spacing w:after="0" w:line="240" w:lineRule="auto"/>
              <w:jc w:val="center"/>
              <w:rPr>
                <w:rFonts w:ascii="Times New Roman" w:eastAsia="Times New Roman" w:hAnsi="Times New Roman" w:cs="Times New Roman"/>
                <w:b/>
                <w:bCs/>
                <w:sz w:val="24"/>
                <w:szCs w:val="24"/>
              </w:rPr>
            </w:pPr>
          </w:p>
        </w:tc>
      </w:tr>
      <w:tr w:rsidR="00571EAF" w:rsidRPr="004A694D" w14:paraId="00653839" w14:textId="77777777" w:rsidTr="00B26E71">
        <w:trPr>
          <w:trHeight w:val="735"/>
        </w:trPr>
        <w:tc>
          <w:tcPr>
            <w:tcW w:w="189" w:type="pct"/>
            <w:tcBorders>
              <w:top w:val="nil"/>
              <w:left w:val="single" w:sz="8" w:space="0" w:color="auto"/>
              <w:bottom w:val="nil"/>
              <w:right w:val="single" w:sz="8" w:space="0" w:color="auto"/>
            </w:tcBorders>
            <w:shd w:val="clear" w:color="000000" w:fill="BDD6EE"/>
            <w:vAlign w:val="center"/>
            <w:hideMark/>
          </w:tcPr>
          <w:p w14:paraId="02173B56"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68" w:type="pct"/>
            <w:tcBorders>
              <w:top w:val="nil"/>
              <w:left w:val="nil"/>
              <w:bottom w:val="nil"/>
              <w:right w:val="single" w:sz="8" w:space="0" w:color="auto"/>
            </w:tcBorders>
            <w:shd w:val="clear" w:color="000000" w:fill="BDD6EE"/>
            <w:vAlign w:val="center"/>
            <w:hideMark/>
          </w:tcPr>
          <w:p w14:paraId="504C12AE"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Strategic and specific objectives, indicators and actions</w:t>
            </w:r>
          </w:p>
        </w:tc>
        <w:tc>
          <w:tcPr>
            <w:tcW w:w="909" w:type="pct"/>
            <w:gridSpan w:val="3"/>
            <w:tcBorders>
              <w:top w:val="single" w:sz="8" w:space="0" w:color="auto"/>
              <w:left w:val="nil"/>
              <w:bottom w:val="nil"/>
              <w:right w:val="single" w:sz="8" w:space="0" w:color="000000"/>
            </w:tcBorders>
            <w:shd w:val="clear" w:color="000000" w:fill="BDD6EE"/>
            <w:vAlign w:val="center"/>
            <w:hideMark/>
          </w:tcPr>
          <w:p w14:paraId="11757F26"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Baseline value</w:t>
            </w:r>
          </w:p>
        </w:tc>
        <w:tc>
          <w:tcPr>
            <w:tcW w:w="712" w:type="pct"/>
            <w:gridSpan w:val="2"/>
            <w:tcBorders>
              <w:top w:val="single" w:sz="8" w:space="0" w:color="auto"/>
              <w:left w:val="nil"/>
              <w:bottom w:val="nil"/>
              <w:right w:val="single" w:sz="8" w:space="0" w:color="000000"/>
            </w:tcBorders>
            <w:shd w:val="clear" w:color="000000" w:fill="BDD6EE"/>
            <w:vAlign w:val="center"/>
            <w:hideMark/>
          </w:tcPr>
          <w:p w14:paraId="639B886E"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Interim objective</w:t>
            </w:r>
            <w:r>
              <w:rPr>
                <w:rFonts w:ascii="Times New Roman" w:hAnsi="Times New Roman"/>
                <w:b/>
                <w:sz w:val="18"/>
              </w:rPr>
              <w:br/>
              <w:t>2025</w:t>
            </w:r>
          </w:p>
        </w:tc>
        <w:tc>
          <w:tcPr>
            <w:tcW w:w="355" w:type="pct"/>
            <w:tcBorders>
              <w:top w:val="nil"/>
              <w:left w:val="nil"/>
              <w:bottom w:val="nil"/>
              <w:right w:val="single" w:sz="8" w:space="0" w:color="auto"/>
            </w:tcBorders>
            <w:shd w:val="clear" w:color="000000" w:fill="BDD6EE"/>
            <w:vAlign w:val="center"/>
            <w:hideMark/>
          </w:tcPr>
          <w:p w14:paraId="60CDC391"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025" w:type="pct"/>
            <w:gridSpan w:val="3"/>
            <w:tcBorders>
              <w:top w:val="single" w:sz="8" w:space="0" w:color="auto"/>
              <w:left w:val="nil"/>
              <w:bottom w:val="nil"/>
              <w:right w:val="single" w:sz="8" w:space="0" w:color="000000"/>
            </w:tcBorders>
            <w:shd w:val="clear" w:color="000000" w:fill="BDD6EE"/>
            <w:vAlign w:val="center"/>
            <w:hideMark/>
          </w:tcPr>
          <w:p w14:paraId="50D48930"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Result</w:t>
            </w:r>
          </w:p>
        </w:tc>
        <w:tc>
          <w:tcPr>
            <w:tcW w:w="1342" w:type="pct"/>
            <w:tcBorders>
              <w:top w:val="nil"/>
              <w:left w:val="nil"/>
              <w:bottom w:val="nil"/>
              <w:right w:val="nil"/>
            </w:tcBorders>
            <w:shd w:val="clear" w:color="auto" w:fill="auto"/>
            <w:noWrap/>
            <w:vAlign w:val="bottom"/>
            <w:hideMark/>
          </w:tcPr>
          <w:p w14:paraId="049FC56A"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4A694D" w14:paraId="19C1EC79" w14:textId="77777777" w:rsidTr="00405811">
        <w:trPr>
          <w:trHeight w:val="315"/>
        </w:trPr>
        <w:tc>
          <w:tcPr>
            <w:tcW w:w="189" w:type="pct"/>
            <w:tcBorders>
              <w:top w:val="nil"/>
              <w:left w:val="single" w:sz="8" w:space="0" w:color="auto"/>
              <w:bottom w:val="single" w:sz="8" w:space="0" w:color="auto"/>
              <w:right w:val="single" w:sz="8" w:space="0" w:color="auto"/>
            </w:tcBorders>
            <w:shd w:val="clear" w:color="000000" w:fill="BFBFBF"/>
            <w:vAlign w:val="center"/>
            <w:hideMark/>
          </w:tcPr>
          <w:p w14:paraId="462A8579"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V.</w:t>
            </w:r>
          </w:p>
        </w:tc>
        <w:tc>
          <w:tcPr>
            <w:tcW w:w="3469" w:type="pct"/>
            <w:gridSpan w:val="10"/>
            <w:tcBorders>
              <w:top w:val="single" w:sz="8" w:space="0" w:color="auto"/>
              <w:left w:val="nil"/>
              <w:bottom w:val="single" w:sz="8" w:space="0" w:color="auto"/>
              <w:right w:val="single" w:sz="8" w:space="0" w:color="000000"/>
            </w:tcBorders>
            <w:shd w:val="clear" w:color="000000" w:fill="BFBFBF"/>
            <w:vAlign w:val="center"/>
            <w:hideMark/>
          </w:tcPr>
          <w:p w14:paraId="684F5796" w14:textId="77777777" w:rsidR="00571EAF" w:rsidRPr="0014539F"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rPr>
              <w:t>STRATEGIC OBJECTIVE 5: PROTECTING AND EMPOWERING CONSUMERS</w:t>
            </w:r>
          </w:p>
        </w:tc>
        <w:tc>
          <w:tcPr>
            <w:tcW w:w="1342" w:type="pct"/>
            <w:tcBorders>
              <w:top w:val="nil"/>
              <w:left w:val="nil"/>
              <w:bottom w:val="nil"/>
              <w:right w:val="nil"/>
            </w:tcBorders>
            <w:shd w:val="clear" w:color="auto" w:fill="auto"/>
            <w:noWrap/>
            <w:vAlign w:val="bottom"/>
            <w:hideMark/>
          </w:tcPr>
          <w:p w14:paraId="46DFFB8B" w14:textId="77777777" w:rsidR="00571EAF" w:rsidRPr="006D6D77"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4A694D" w14:paraId="49EDBA8B" w14:textId="77777777" w:rsidTr="00B26E71">
        <w:trPr>
          <w:trHeight w:val="735"/>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F99A3CA"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68" w:type="pct"/>
            <w:tcBorders>
              <w:top w:val="nil"/>
              <w:left w:val="nil"/>
              <w:bottom w:val="single" w:sz="8" w:space="0" w:color="auto"/>
              <w:right w:val="single" w:sz="8" w:space="0" w:color="auto"/>
            </w:tcBorders>
            <w:shd w:val="clear" w:color="auto" w:fill="auto"/>
            <w:vAlign w:val="center"/>
            <w:hideMark/>
          </w:tcPr>
          <w:p w14:paraId="042D6151"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The number of new schemes dedicated to vulnerable consumers</w:t>
            </w:r>
          </w:p>
        </w:tc>
        <w:tc>
          <w:tcPr>
            <w:tcW w:w="909" w:type="pct"/>
            <w:gridSpan w:val="3"/>
            <w:tcBorders>
              <w:top w:val="single" w:sz="8" w:space="0" w:color="auto"/>
              <w:left w:val="nil"/>
              <w:bottom w:val="single" w:sz="8" w:space="0" w:color="auto"/>
              <w:right w:val="single" w:sz="8" w:space="0" w:color="000000"/>
            </w:tcBorders>
            <w:shd w:val="clear" w:color="auto" w:fill="auto"/>
            <w:vAlign w:val="center"/>
            <w:hideMark/>
          </w:tcPr>
          <w:p w14:paraId="5BFB073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N/A</w:t>
            </w:r>
          </w:p>
        </w:tc>
        <w:tc>
          <w:tcPr>
            <w:tcW w:w="712" w:type="pct"/>
            <w:gridSpan w:val="2"/>
            <w:tcBorders>
              <w:top w:val="single" w:sz="8" w:space="0" w:color="auto"/>
              <w:left w:val="nil"/>
              <w:bottom w:val="single" w:sz="8" w:space="0" w:color="auto"/>
              <w:right w:val="single" w:sz="8" w:space="0" w:color="000000"/>
            </w:tcBorders>
            <w:shd w:val="clear" w:color="auto" w:fill="auto"/>
            <w:vAlign w:val="center"/>
            <w:hideMark/>
          </w:tcPr>
          <w:p w14:paraId="48518C72"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355" w:type="pct"/>
            <w:tcBorders>
              <w:top w:val="nil"/>
              <w:left w:val="nil"/>
              <w:bottom w:val="single" w:sz="8" w:space="0" w:color="auto"/>
              <w:right w:val="single" w:sz="8" w:space="0" w:color="auto"/>
            </w:tcBorders>
            <w:shd w:val="clear" w:color="auto" w:fill="auto"/>
            <w:vAlign w:val="center"/>
            <w:hideMark/>
          </w:tcPr>
          <w:p w14:paraId="7B85D0B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4</w:t>
            </w:r>
          </w:p>
        </w:tc>
        <w:tc>
          <w:tcPr>
            <w:tcW w:w="1025" w:type="pct"/>
            <w:gridSpan w:val="3"/>
            <w:tcBorders>
              <w:top w:val="single" w:sz="8" w:space="0" w:color="auto"/>
              <w:left w:val="nil"/>
              <w:bottom w:val="single" w:sz="8" w:space="0" w:color="auto"/>
              <w:right w:val="single" w:sz="8" w:space="0" w:color="000000"/>
            </w:tcBorders>
            <w:shd w:val="clear" w:color="auto" w:fill="auto"/>
            <w:vAlign w:val="center"/>
            <w:hideMark/>
          </w:tcPr>
          <w:p w14:paraId="57A524D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1342" w:type="pct"/>
            <w:tcBorders>
              <w:top w:val="nil"/>
              <w:left w:val="nil"/>
              <w:bottom w:val="nil"/>
              <w:right w:val="nil"/>
            </w:tcBorders>
            <w:shd w:val="clear" w:color="auto" w:fill="auto"/>
            <w:noWrap/>
            <w:vAlign w:val="bottom"/>
            <w:hideMark/>
          </w:tcPr>
          <w:p w14:paraId="75835200"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p>
        </w:tc>
      </w:tr>
      <w:tr w:rsidR="00571EAF" w:rsidRPr="004A694D" w14:paraId="598E8D3A" w14:textId="77777777" w:rsidTr="00B26E71">
        <w:trPr>
          <w:trHeight w:val="1215"/>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01A39BE"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468" w:type="pct"/>
            <w:tcBorders>
              <w:top w:val="nil"/>
              <w:left w:val="nil"/>
              <w:bottom w:val="single" w:sz="8" w:space="0" w:color="auto"/>
              <w:right w:val="single" w:sz="8" w:space="0" w:color="auto"/>
            </w:tcBorders>
            <w:shd w:val="clear" w:color="auto" w:fill="auto"/>
            <w:vAlign w:val="center"/>
            <w:hideMark/>
          </w:tcPr>
          <w:p w14:paraId="4926004B" w14:textId="05E4FBEF" w:rsidR="00571EAF" w:rsidRPr="004A694D" w:rsidRDefault="006543EA"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Number of programs supporting energy efficiency and self-consumption community projects</w:t>
            </w:r>
          </w:p>
        </w:tc>
        <w:tc>
          <w:tcPr>
            <w:tcW w:w="909" w:type="pct"/>
            <w:gridSpan w:val="3"/>
            <w:tcBorders>
              <w:top w:val="single" w:sz="8" w:space="0" w:color="auto"/>
              <w:left w:val="nil"/>
              <w:bottom w:val="single" w:sz="8" w:space="0" w:color="auto"/>
              <w:right w:val="single" w:sz="8" w:space="0" w:color="000000"/>
            </w:tcBorders>
            <w:shd w:val="clear" w:color="auto" w:fill="auto"/>
            <w:vAlign w:val="center"/>
            <w:hideMark/>
          </w:tcPr>
          <w:p w14:paraId="51E62805"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712" w:type="pct"/>
            <w:gridSpan w:val="2"/>
            <w:tcBorders>
              <w:top w:val="single" w:sz="8" w:space="0" w:color="auto"/>
              <w:left w:val="nil"/>
              <w:bottom w:val="single" w:sz="8" w:space="0" w:color="auto"/>
              <w:right w:val="single" w:sz="8" w:space="0" w:color="000000"/>
            </w:tcBorders>
            <w:shd w:val="clear" w:color="auto" w:fill="auto"/>
            <w:vAlign w:val="center"/>
            <w:hideMark/>
          </w:tcPr>
          <w:p w14:paraId="059A1B71"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&gt; 2</w:t>
            </w:r>
          </w:p>
        </w:tc>
        <w:tc>
          <w:tcPr>
            <w:tcW w:w="355" w:type="pct"/>
            <w:tcBorders>
              <w:top w:val="nil"/>
              <w:left w:val="nil"/>
              <w:bottom w:val="single" w:sz="8" w:space="0" w:color="auto"/>
              <w:right w:val="single" w:sz="8" w:space="0" w:color="auto"/>
            </w:tcBorders>
            <w:shd w:val="clear" w:color="auto" w:fill="auto"/>
            <w:vAlign w:val="center"/>
            <w:hideMark/>
          </w:tcPr>
          <w:p w14:paraId="041B6671"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&gt; 5</w:t>
            </w:r>
          </w:p>
        </w:tc>
        <w:tc>
          <w:tcPr>
            <w:tcW w:w="1025" w:type="pct"/>
            <w:gridSpan w:val="3"/>
            <w:tcBorders>
              <w:top w:val="single" w:sz="8" w:space="0" w:color="auto"/>
              <w:left w:val="nil"/>
              <w:bottom w:val="single" w:sz="8" w:space="0" w:color="auto"/>
              <w:right w:val="single" w:sz="8" w:space="0" w:color="000000"/>
            </w:tcBorders>
            <w:shd w:val="clear" w:color="auto" w:fill="auto"/>
            <w:vAlign w:val="center"/>
            <w:hideMark/>
          </w:tcPr>
          <w:p w14:paraId="2A35ACDB"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1342" w:type="pct"/>
            <w:tcBorders>
              <w:top w:val="nil"/>
              <w:left w:val="nil"/>
              <w:bottom w:val="nil"/>
              <w:right w:val="nil"/>
            </w:tcBorders>
            <w:shd w:val="clear" w:color="auto" w:fill="auto"/>
            <w:noWrap/>
            <w:vAlign w:val="bottom"/>
            <w:hideMark/>
          </w:tcPr>
          <w:p w14:paraId="6835230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p>
        </w:tc>
      </w:tr>
      <w:tr w:rsidR="00571EAF" w:rsidRPr="004A694D" w14:paraId="25A92DDD" w14:textId="77777777" w:rsidTr="00405811">
        <w:trPr>
          <w:trHeight w:val="315"/>
        </w:trPr>
        <w:tc>
          <w:tcPr>
            <w:tcW w:w="189" w:type="pct"/>
            <w:tcBorders>
              <w:top w:val="nil"/>
              <w:left w:val="single" w:sz="8" w:space="0" w:color="auto"/>
              <w:bottom w:val="single" w:sz="8" w:space="0" w:color="auto"/>
              <w:right w:val="single" w:sz="8" w:space="0" w:color="auto"/>
            </w:tcBorders>
            <w:shd w:val="clear" w:color="000000" w:fill="D9D9D9"/>
            <w:vAlign w:val="center"/>
            <w:hideMark/>
          </w:tcPr>
          <w:p w14:paraId="4CCCCC4D"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V.1</w:t>
            </w:r>
          </w:p>
        </w:tc>
        <w:tc>
          <w:tcPr>
            <w:tcW w:w="3469" w:type="pct"/>
            <w:gridSpan w:val="10"/>
            <w:tcBorders>
              <w:top w:val="single" w:sz="8" w:space="0" w:color="auto"/>
              <w:left w:val="nil"/>
              <w:bottom w:val="single" w:sz="8" w:space="0" w:color="auto"/>
              <w:right w:val="single" w:sz="8" w:space="0" w:color="000000"/>
            </w:tcBorders>
            <w:shd w:val="clear" w:color="000000" w:fill="D9D9D9"/>
            <w:vAlign w:val="center"/>
            <w:hideMark/>
          </w:tcPr>
          <w:p w14:paraId="67C684D4"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Specific Objective:  Protecting vulnerable consumers</w:t>
            </w:r>
          </w:p>
        </w:tc>
        <w:tc>
          <w:tcPr>
            <w:tcW w:w="1342" w:type="pct"/>
            <w:tcBorders>
              <w:top w:val="nil"/>
              <w:left w:val="nil"/>
              <w:bottom w:val="nil"/>
              <w:right w:val="nil"/>
            </w:tcBorders>
            <w:shd w:val="clear" w:color="auto" w:fill="auto"/>
            <w:noWrap/>
            <w:vAlign w:val="bottom"/>
            <w:hideMark/>
          </w:tcPr>
          <w:p w14:paraId="45E2B792"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4A694D" w14:paraId="1C99BC53" w14:textId="77777777" w:rsidTr="00B26E71">
        <w:trPr>
          <w:trHeight w:val="735"/>
        </w:trPr>
        <w:tc>
          <w:tcPr>
            <w:tcW w:w="189" w:type="pct"/>
            <w:tcBorders>
              <w:top w:val="nil"/>
              <w:left w:val="single" w:sz="8" w:space="0" w:color="auto"/>
              <w:bottom w:val="single" w:sz="8" w:space="0" w:color="auto"/>
              <w:right w:val="single" w:sz="8" w:space="0" w:color="auto"/>
            </w:tcBorders>
            <w:shd w:val="clear" w:color="000000" w:fill="D0CECE"/>
            <w:vAlign w:val="center"/>
            <w:hideMark/>
          </w:tcPr>
          <w:p w14:paraId="6651383F"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468" w:type="pct"/>
            <w:tcBorders>
              <w:top w:val="nil"/>
              <w:left w:val="nil"/>
              <w:bottom w:val="nil"/>
              <w:right w:val="single" w:sz="8" w:space="0" w:color="auto"/>
            </w:tcBorders>
            <w:shd w:val="clear" w:color="000000" w:fill="D0CECE"/>
            <w:vAlign w:val="center"/>
            <w:hideMark/>
          </w:tcPr>
          <w:p w14:paraId="54E7B53B"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09" w:type="pct"/>
            <w:gridSpan w:val="3"/>
            <w:tcBorders>
              <w:top w:val="single" w:sz="8" w:space="0" w:color="auto"/>
              <w:left w:val="nil"/>
              <w:bottom w:val="single" w:sz="8" w:space="0" w:color="auto"/>
              <w:right w:val="nil"/>
            </w:tcBorders>
            <w:shd w:val="clear" w:color="000000" w:fill="D9D9D9"/>
            <w:vAlign w:val="center"/>
            <w:hideMark/>
          </w:tcPr>
          <w:p w14:paraId="58208B4C"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712" w:type="pct"/>
            <w:gridSpan w:val="2"/>
            <w:tcBorders>
              <w:top w:val="single" w:sz="8" w:space="0" w:color="auto"/>
              <w:left w:val="single" w:sz="8" w:space="0" w:color="auto"/>
              <w:bottom w:val="single" w:sz="8" w:space="0" w:color="auto"/>
              <w:right w:val="nil"/>
            </w:tcBorders>
            <w:shd w:val="clear" w:color="000000" w:fill="D9D9D9"/>
            <w:vAlign w:val="center"/>
            <w:hideMark/>
          </w:tcPr>
          <w:p w14:paraId="738CCDE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355" w:type="pct"/>
            <w:tcBorders>
              <w:top w:val="nil"/>
              <w:left w:val="single" w:sz="8" w:space="0" w:color="auto"/>
              <w:bottom w:val="single" w:sz="8" w:space="0" w:color="auto"/>
              <w:right w:val="single" w:sz="8" w:space="0" w:color="auto"/>
            </w:tcBorders>
            <w:shd w:val="clear" w:color="000000" w:fill="D9D9D9"/>
            <w:vAlign w:val="center"/>
            <w:hideMark/>
          </w:tcPr>
          <w:p w14:paraId="7BC41B50"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025" w:type="pct"/>
            <w:gridSpan w:val="3"/>
            <w:tcBorders>
              <w:top w:val="single" w:sz="8" w:space="0" w:color="auto"/>
              <w:left w:val="nil"/>
              <w:bottom w:val="single" w:sz="8" w:space="0" w:color="auto"/>
              <w:right w:val="single" w:sz="8" w:space="0" w:color="000000"/>
            </w:tcBorders>
            <w:shd w:val="clear" w:color="000000" w:fill="D9D9D9"/>
            <w:vAlign w:val="center"/>
            <w:hideMark/>
          </w:tcPr>
          <w:p w14:paraId="2D58CAC5"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1342" w:type="pct"/>
            <w:tcBorders>
              <w:top w:val="nil"/>
              <w:left w:val="nil"/>
              <w:bottom w:val="nil"/>
              <w:right w:val="nil"/>
            </w:tcBorders>
            <w:shd w:val="clear" w:color="auto" w:fill="auto"/>
            <w:noWrap/>
            <w:vAlign w:val="bottom"/>
            <w:hideMark/>
          </w:tcPr>
          <w:p w14:paraId="4267A109"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4A694D" w14:paraId="0EEB2CAF" w14:textId="77777777" w:rsidTr="00B26E71">
        <w:trPr>
          <w:trHeight w:val="1455"/>
        </w:trPr>
        <w:tc>
          <w:tcPr>
            <w:tcW w:w="189" w:type="pct"/>
            <w:tcBorders>
              <w:top w:val="nil"/>
              <w:left w:val="single" w:sz="8" w:space="0" w:color="auto"/>
              <w:bottom w:val="nil"/>
              <w:right w:val="single" w:sz="8" w:space="0" w:color="auto"/>
            </w:tcBorders>
            <w:shd w:val="clear" w:color="auto" w:fill="auto"/>
            <w:vAlign w:val="center"/>
            <w:hideMark/>
          </w:tcPr>
          <w:p w14:paraId="50DA7EC3"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68" w:type="pct"/>
            <w:tcBorders>
              <w:top w:val="single" w:sz="8" w:space="0" w:color="auto"/>
              <w:left w:val="nil"/>
              <w:bottom w:val="nil"/>
              <w:right w:val="single" w:sz="8" w:space="0" w:color="auto"/>
            </w:tcBorders>
            <w:shd w:val="clear" w:color="auto" w:fill="auto"/>
            <w:vAlign w:val="center"/>
            <w:hideMark/>
          </w:tcPr>
          <w:p w14:paraId="693DEB09"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Price support scheme for vulnerable consumers</w:t>
            </w:r>
          </w:p>
          <w:p w14:paraId="076E9D34"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39917AB4"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1D1D28AE"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02AE5429"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74DF5E2A"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382C7715" w14:textId="35FD9079" w:rsidR="004A694D" w:rsidRDefault="004A694D" w:rsidP="00571EAF">
            <w:pPr>
              <w:spacing w:after="0" w:line="240" w:lineRule="auto"/>
              <w:jc w:val="center"/>
              <w:rPr>
                <w:rFonts w:ascii="Times New Roman" w:eastAsia="Times New Roman" w:hAnsi="Times New Roman" w:cs="Times New Roman"/>
                <w:sz w:val="18"/>
                <w:szCs w:val="18"/>
              </w:rPr>
            </w:pPr>
          </w:p>
          <w:p w14:paraId="5B9C5217" w14:textId="77777777" w:rsidR="008D3F67" w:rsidRPr="004A694D" w:rsidRDefault="008D3F67" w:rsidP="00571EAF">
            <w:pPr>
              <w:spacing w:after="0" w:line="240" w:lineRule="auto"/>
              <w:jc w:val="center"/>
              <w:rPr>
                <w:rFonts w:ascii="Times New Roman" w:eastAsia="Times New Roman" w:hAnsi="Times New Roman" w:cs="Times New Roman"/>
                <w:sz w:val="18"/>
                <w:szCs w:val="18"/>
              </w:rPr>
            </w:pPr>
          </w:p>
          <w:p w14:paraId="1CE13AEC"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079E1E7E"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5804886F"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tc>
        <w:tc>
          <w:tcPr>
            <w:tcW w:w="909" w:type="pct"/>
            <w:gridSpan w:val="3"/>
            <w:tcBorders>
              <w:top w:val="single" w:sz="8" w:space="0" w:color="auto"/>
              <w:left w:val="nil"/>
              <w:bottom w:val="nil"/>
              <w:right w:val="single" w:sz="8" w:space="0" w:color="000000"/>
            </w:tcBorders>
            <w:shd w:val="clear" w:color="auto" w:fill="auto"/>
            <w:vAlign w:val="center"/>
            <w:hideMark/>
          </w:tcPr>
          <w:p w14:paraId="40F30129"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Existing support scheme </w:t>
            </w:r>
            <w:r>
              <w:rPr>
                <w:rFonts w:ascii="Times New Roman" w:hAnsi="Times New Roman"/>
                <w:sz w:val="18"/>
              </w:rPr>
              <w:br/>
              <w:t>(not properly targeted)</w:t>
            </w:r>
            <w:r>
              <w:rPr>
                <w:rFonts w:ascii="Times New Roman" w:hAnsi="Times New Roman"/>
                <w:sz w:val="18"/>
              </w:rPr>
              <w:br/>
              <w:t>[2021]</w:t>
            </w:r>
          </w:p>
        </w:tc>
        <w:tc>
          <w:tcPr>
            <w:tcW w:w="712" w:type="pct"/>
            <w:gridSpan w:val="2"/>
            <w:tcBorders>
              <w:top w:val="single" w:sz="8" w:space="0" w:color="auto"/>
              <w:left w:val="nil"/>
              <w:bottom w:val="nil"/>
              <w:right w:val="single" w:sz="8" w:space="0" w:color="000000"/>
            </w:tcBorders>
            <w:shd w:val="clear" w:color="auto" w:fill="auto"/>
            <w:vAlign w:val="center"/>
            <w:hideMark/>
          </w:tcPr>
          <w:p w14:paraId="45805EE1"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Establishing new program for the </w:t>
            </w:r>
            <w:r>
              <w:rPr>
                <w:rFonts w:ascii="Times New Roman" w:hAnsi="Times New Roman"/>
                <w:sz w:val="18"/>
              </w:rPr>
              <w:br/>
              <w:t>vulnerable consumers.</w:t>
            </w:r>
          </w:p>
        </w:tc>
        <w:tc>
          <w:tcPr>
            <w:tcW w:w="355" w:type="pct"/>
            <w:tcBorders>
              <w:top w:val="nil"/>
              <w:left w:val="nil"/>
              <w:bottom w:val="nil"/>
              <w:right w:val="single" w:sz="8" w:space="0" w:color="auto"/>
            </w:tcBorders>
            <w:shd w:val="clear" w:color="auto" w:fill="auto"/>
            <w:vAlign w:val="center"/>
            <w:hideMark/>
          </w:tcPr>
          <w:p w14:paraId="68C4C789"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Poverty-tested scheme </w:t>
            </w:r>
            <w:r>
              <w:rPr>
                <w:rFonts w:ascii="Times New Roman" w:hAnsi="Times New Roman"/>
                <w:sz w:val="18"/>
              </w:rPr>
              <w:br/>
              <w:t xml:space="preserve">related to the reformed </w:t>
            </w:r>
            <w:r>
              <w:rPr>
                <w:rFonts w:ascii="Times New Roman" w:hAnsi="Times New Roman"/>
                <w:sz w:val="18"/>
              </w:rPr>
              <w:br/>
              <w:t>social assistance scheme</w:t>
            </w:r>
          </w:p>
        </w:tc>
        <w:tc>
          <w:tcPr>
            <w:tcW w:w="1025" w:type="pct"/>
            <w:gridSpan w:val="3"/>
            <w:tcBorders>
              <w:top w:val="single" w:sz="8" w:space="0" w:color="auto"/>
              <w:left w:val="nil"/>
              <w:bottom w:val="single" w:sz="8" w:space="0" w:color="auto"/>
              <w:right w:val="single" w:sz="8" w:space="0" w:color="000000"/>
            </w:tcBorders>
            <w:shd w:val="clear" w:color="auto" w:fill="auto"/>
            <w:vAlign w:val="center"/>
            <w:hideMark/>
          </w:tcPr>
          <w:p w14:paraId="6027BEE4"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1342" w:type="pct"/>
            <w:tcBorders>
              <w:top w:val="nil"/>
              <w:left w:val="nil"/>
              <w:bottom w:val="nil"/>
              <w:right w:val="nil"/>
            </w:tcBorders>
            <w:shd w:val="clear" w:color="auto" w:fill="auto"/>
            <w:noWrap/>
            <w:vAlign w:val="bottom"/>
            <w:hideMark/>
          </w:tcPr>
          <w:p w14:paraId="6FD30EC9" w14:textId="77777777" w:rsidR="00571EAF" w:rsidRPr="006D6D77" w:rsidRDefault="00571EAF" w:rsidP="00571EAF">
            <w:pPr>
              <w:spacing w:after="0" w:line="240" w:lineRule="auto"/>
              <w:jc w:val="center"/>
              <w:rPr>
                <w:rFonts w:ascii="Times New Roman" w:eastAsia="Times New Roman" w:hAnsi="Times New Roman" w:cs="Times New Roman"/>
                <w:sz w:val="18"/>
                <w:szCs w:val="18"/>
              </w:rPr>
            </w:pPr>
          </w:p>
        </w:tc>
      </w:tr>
      <w:tr w:rsidR="00571EAF" w:rsidRPr="004A694D" w14:paraId="467D23BB" w14:textId="77777777" w:rsidTr="00B26E71">
        <w:trPr>
          <w:trHeight w:val="315"/>
        </w:trPr>
        <w:tc>
          <w:tcPr>
            <w:tcW w:w="18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F1DEC32"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lastRenderedPageBreak/>
              <w:t>No.</w:t>
            </w:r>
          </w:p>
        </w:tc>
        <w:tc>
          <w:tcPr>
            <w:tcW w:w="46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9FB23F6"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2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29F807D"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400" w:type="pct"/>
            <w:gridSpan w:val="4"/>
            <w:tcBorders>
              <w:top w:val="single" w:sz="8" w:space="0" w:color="auto"/>
              <w:left w:val="nil"/>
              <w:bottom w:val="single" w:sz="8" w:space="0" w:color="auto"/>
              <w:right w:val="nil"/>
            </w:tcBorders>
            <w:shd w:val="clear" w:color="000000" w:fill="D9D9D9"/>
            <w:vAlign w:val="center"/>
            <w:hideMark/>
          </w:tcPr>
          <w:p w14:paraId="1C11195F"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355"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70722CF"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35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7CF3C1C"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31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441E100"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6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E61AD3F"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134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4400143" w14:textId="77777777" w:rsidR="00571EAF" w:rsidRPr="004A694D" w:rsidRDefault="00062B41" w:rsidP="005D6B3A">
            <w:pPr>
              <w:spacing w:after="0" w:line="240" w:lineRule="auto"/>
              <w:jc w:val="center"/>
              <w:rPr>
                <w:rFonts w:ascii="Times New Roman" w:eastAsia="Times New Roman" w:hAnsi="Times New Roman" w:cs="Times New Roman"/>
                <w:b/>
                <w:bCs/>
              </w:rPr>
            </w:pPr>
            <w:r>
              <w:rPr>
                <w:rFonts w:ascii="Times New Roman" w:hAnsi="Times New Roman"/>
                <w:b/>
              </w:rPr>
              <w:t>Implementation progress for 2024</w:t>
            </w:r>
          </w:p>
        </w:tc>
      </w:tr>
      <w:tr w:rsidR="00571EAF" w:rsidRPr="004A694D" w14:paraId="6A3BF175" w14:textId="77777777" w:rsidTr="00B26E71">
        <w:trPr>
          <w:trHeight w:val="300"/>
        </w:trPr>
        <w:tc>
          <w:tcPr>
            <w:tcW w:w="189" w:type="pct"/>
            <w:vMerge/>
            <w:tcBorders>
              <w:top w:val="single" w:sz="8" w:space="0" w:color="auto"/>
              <w:left w:val="single" w:sz="8" w:space="0" w:color="auto"/>
              <w:bottom w:val="single" w:sz="8" w:space="0" w:color="000000"/>
              <w:right w:val="single" w:sz="8" w:space="0" w:color="auto"/>
            </w:tcBorders>
            <w:vAlign w:val="center"/>
            <w:hideMark/>
          </w:tcPr>
          <w:p w14:paraId="49D0A635"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468" w:type="pct"/>
            <w:vMerge/>
            <w:tcBorders>
              <w:top w:val="single" w:sz="8" w:space="0" w:color="auto"/>
              <w:left w:val="single" w:sz="8" w:space="0" w:color="auto"/>
              <w:bottom w:val="single" w:sz="8" w:space="0" w:color="000000"/>
              <w:right w:val="single" w:sz="8" w:space="0" w:color="auto"/>
            </w:tcBorders>
            <w:vAlign w:val="center"/>
            <w:hideMark/>
          </w:tcPr>
          <w:p w14:paraId="648520F5"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221" w:type="pct"/>
            <w:vMerge/>
            <w:tcBorders>
              <w:top w:val="single" w:sz="8" w:space="0" w:color="auto"/>
              <w:left w:val="single" w:sz="8" w:space="0" w:color="auto"/>
              <w:bottom w:val="single" w:sz="8" w:space="0" w:color="000000"/>
              <w:right w:val="single" w:sz="8" w:space="0" w:color="auto"/>
            </w:tcBorders>
            <w:vAlign w:val="center"/>
            <w:hideMark/>
          </w:tcPr>
          <w:p w14:paraId="624E51CF"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32" w:type="pct"/>
            <w:tcBorders>
              <w:top w:val="nil"/>
              <w:left w:val="nil"/>
              <w:bottom w:val="nil"/>
              <w:right w:val="single" w:sz="8" w:space="0" w:color="auto"/>
            </w:tcBorders>
            <w:shd w:val="clear" w:color="000000" w:fill="D9D9D9"/>
            <w:vAlign w:val="center"/>
            <w:hideMark/>
          </w:tcPr>
          <w:p w14:paraId="71A5673C"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71765E5B"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650EC91C"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03462159"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347A1592"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54" w:type="pct"/>
            <w:vMerge/>
            <w:tcBorders>
              <w:top w:val="nil"/>
              <w:left w:val="single" w:sz="8" w:space="0" w:color="auto"/>
              <w:bottom w:val="single" w:sz="8" w:space="0" w:color="000000"/>
              <w:right w:val="single" w:sz="8" w:space="0" w:color="auto"/>
            </w:tcBorders>
            <w:vAlign w:val="center"/>
            <w:hideMark/>
          </w:tcPr>
          <w:p w14:paraId="4A9A4B65"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nil"/>
              <w:left w:val="single" w:sz="8" w:space="0" w:color="auto"/>
              <w:bottom w:val="single" w:sz="8" w:space="0" w:color="000000"/>
              <w:right w:val="single" w:sz="8" w:space="0" w:color="auto"/>
            </w:tcBorders>
            <w:vAlign w:val="center"/>
            <w:hideMark/>
          </w:tcPr>
          <w:p w14:paraId="1C4B4BDE"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14:paraId="0FAA45E3"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1342" w:type="pct"/>
            <w:vMerge/>
            <w:tcBorders>
              <w:top w:val="single" w:sz="8" w:space="0" w:color="auto"/>
              <w:left w:val="single" w:sz="8" w:space="0" w:color="auto"/>
              <w:bottom w:val="single" w:sz="8" w:space="0" w:color="000000"/>
              <w:right w:val="single" w:sz="8" w:space="0" w:color="auto"/>
            </w:tcBorders>
            <w:vAlign w:val="center"/>
            <w:hideMark/>
          </w:tcPr>
          <w:p w14:paraId="1247DED3" w14:textId="77777777" w:rsidR="00571EAF" w:rsidRPr="004A694D" w:rsidRDefault="00571EAF" w:rsidP="00571EAF">
            <w:pPr>
              <w:spacing w:after="0" w:line="240" w:lineRule="auto"/>
              <w:rPr>
                <w:rFonts w:ascii="Times New Roman" w:eastAsia="Times New Roman" w:hAnsi="Times New Roman" w:cs="Times New Roman"/>
                <w:b/>
                <w:bCs/>
              </w:rPr>
            </w:pPr>
          </w:p>
        </w:tc>
      </w:tr>
      <w:tr w:rsidR="00571EAF" w:rsidRPr="004A694D" w14:paraId="3E2F8309" w14:textId="77777777" w:rsidTr="00B26E71">
        <w:trPr>
          <w:trHeight w:val="315"/>
        </w:trPr>
        <w:tc>
          <w:tcPr>
            <w:tcW w:w="189" w:type="pct"/>
            <w:vMerge/>
            <w:tcBorders>
              <w:top w:val="single" w:sz="8" w:space="0" w:color="auto"/>
              <w:left w:val="single" w:sz="8" w:space="0" w:color="auto"/>
              <w:bottom w:val="single" w:sz="8" w:space="0" w:color="000000"/>
              <w:right w:val="single" w:sz="8" w:space="0" w:color="auto"/>
            </w:tcBorders>
            <w:vAlign w:val="center"/>
            <w:hideMark/>
          </w:tcPr>
          <w:p w14:paraId="18AB072C"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468" w:type="pct"/>
            <w:vMerge/>
            <w:tcBorders>
              <w:top w:val="single" w:sz="8" w:space="0" w:color="auto"/>
              <w:left w:val="single" w:sz="8" w:space="0" w:color="auto"/>
              <w:bottom w:val="single" w:sz="8" w:space="0" w:color="000000"/>
              <w:right w:val="single" w:sz="8" w:space="0" w:color="auto"/>
            </w:tcBorders>
            <w:vAlign w:val="center"/>
            <w:hideMark/>
          </w:tcPr>
          <w:p w14:paraId="743EEB83"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221" w:type="pct"/>
            <w:vMerge/>
            <w:tcBorders>
              <w:top w:val="single" w:sz="8" w:space="0" w:color="auto"/>
              <w:left w:val="single" w:sz="8" w:space="0" w:color="auto"/>
              <w:bottom w:val="single" w:sz="8" w:space="0" w:color="000000"/>
              <w:right w:val="single" w:sz="8" w:space="0" w:color="auto"/>
            </w:tcBorders>
            <w:vAlign w:val="center"/>
            <w:hideMark/>
          </w:tcPr>
          <w:p w14:paraId="2CDDFA33"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32" w:type="pct"/>
            <w:tcBorders>
              <w:top w:val="nil"/>
              <w:left w:val="nil"/>
              <w:bottom w:val="single" w:sz="8" w:space="0" w:color="auto"/>
              <w:right w:val="single" w:sz="8" w:space="0" w:color="auto"/>
            </w:tcBorders>
            <w:shd w:val="clear" w:color="000000" w:fill="D9D9D9"/>
            <w:vAlign w:val="center"/>
            <w:hideMark/>
          </w:tcPr>
          <w:p w14:paraId="5AD448DF"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356" w:type="pct"/>
            <w:tcBorders>
              <w:top w:val="nil"/>
              <w:left w:val="nil"/>
              <w:bottom w:val="single" w:sz="8" w:space="0" w:color="auto"/>
              <w:right w:val="single" w:sz="8" w:space="0" w:color="auto"/>
            </w:tcBorders>
            <w:shd w:val="clear" w:color="000000" w:fill="D9D9D9"/>
            <w:vAlign w:val="center"/>
            <w:hideMark/>
          </w:tcPr>
          <w:p w14:paraId="1CFC84C1"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356" w:type="pct"/>
            <w:tcBorders>
              <w:top w:val="nil"/>
              <w:left w:val="nil"/>
              <w:bottom w:val="single" w:sz="8" w:space="0" w:color="auto"/>
              <w:right w:val="single" w:sz="8" w:space="0" w:color="auto"/>
            </w:tcBorders>
            <w:shd w:val="clear" w:color="000000" w:fill="D9D9D9"/>
            <w:vAlign w:val="center"/>
            <w:hideMark/>
          </w:tcPr>
          <w:p w14:paraId="1E7DAF9D"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356" w:type="pct"/>
            <w:tcBorders>
              <w:top w:val="nil"/>
              <w:left w:val="nil"/>
              <w:bottom w:val="single" w:sz="8" w:space="0" w:color="auto"/>
              <w:right w:val="single" w:sz="8" w:space="0" w:color="auto"/>
            </w:tcBorders>
            <w:shd w:val="clear" w:color="000000" w:fill="D9D9D9"/>
            <w:vAlign w:val="center"/>
            <w:hideMark/>
          </w:tcPr>
          <w:p w14:paraId="56C6E929"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27EB9C8B"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54" w:type="pct"/>
            <w:vMerge/>
            <w:tcBorders>
              <w:top w:val="nil"/>
              <w:left w:val="single" w:sz="8" w:space="0" w:color="auto"/>
              <w:bottom w:val="single" w:sz="8" w:space="0" w:color="000000"/>
              <w:right w:val="single" w:sz="8" w:space="0" w:color="auto"/>
            </w:tcBorders>
            <w:vAlign w:val="center"/>
            <w:hideMark/>
          </w:tcPr>
          <w:p w14:paraId="14E14163"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nil"/>
              <w:left w:val="single" w:sz="8" w:space="0" w:color="auto"/>
              <w:bottom w:val="single" w:sz="8" w:space="0" w:color="000000"/>
              <w:right w:val="single" w:sz="8" w:space="0" w:color="auto"/>
            </w:tcBorders>
            <w:vAlign w:val="center"/>
            <w:hideMark/>
          </w:tcPr>
          <w:p w14:paraId="209631FB"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14:paraId="3D083ACF"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1342" w:type="pct"/>
            <w:vMerge/>
            <w:tcBorders>
              <w:top w:val="single" w:sz="8" w:space="0" w:color="auto"/>
              <w:left w:val="single" w:sz="8" w:space="0" w:color="auto"/>
              <w:bottom w:val="single" w:sz="8" w:space="0" w:color="000000"/>
              <w:right w:val="single" w:sz="8" w:space="0" w:color="auto"/>
            </w:tcBorders>
            <w:vAlign w:val="center"/>
            <w:hideMark/>
          </w:tcPr>
          <w:p w14:paraId="7FC4DBC1" w14:textId="77777777" w:rsidR="00571EAF" w:rsidRPr="004A694D" w:rsidRDefault="00571EAF" w:rsidP="00571EAF">
            <w:pPr>
              <w:spacing w:after="0" w:line="240" w:lineRule="auto"/>
              <w:rPr>
                <w:rFonts w:ascii="Times New Roman" w:eastAsia="Times New Roman" w:hAnsi="Times New Roman" w:cs="Times New Roman"/>
                <w:b/>
                <w:bCs/>
              </w:rPr>
            </w:pPr>
          </w:p>
        </w:tc>
      </w:tr>
      <w:tr w:rsidR="00571EAF" w:rsidRPr="004A694D" w14:paraId="68991500" w14:textId="77777777" w:rsidTr="00B26E71">
        <w:trPr>
          <w:trHeight w:val="129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FC2B6E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V.1.1</w:t>
            </w:r>
          </w:p>
        </w:tc>
        <w:tc>
          <w:tcPr>
            <w:tcW w:w="468" w:type="pct"/>
            <w:tcBorders>
              <w:top w:val="nil"/>
              <w:left w:val="nil"/>
              <w:bottom w:val="single" w:sz="8" w:space="0" w:color="auto"/>
              <w:right w:val="single" w:sz="8" w:space="0" w:color="auto"/>
            </w:tcBorders>
            <w:shd w:val="clear" w:color="auto" w:fill="auto"/>
            <w:vAlign w:val="center"/>
            <w:hideMark/>
          </w:tcPr>
          <w:p w14:paraId="2BF086F4"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Supporting vulnerable consumers through existing support schemes Annual</w:t>
            </w:r>
          </w:p>
        </w:tc>
        <w:tc>
          <w:tcPr>
            <w:tcW w:w="221" w:type="pct"/>
            <w:tcBorders>
              <w:top w:val="nil"/>
              <w:left w:val="nil"/>
              <w:bottom w:val="single" w:sz="8" w:space="0" w:color="auto"/>
              <w:right w:val="single" w:sz="8" w:space="0" w:color="auto"/>
            </w:tcBorders>
            <w:shd w:val="clear" w:color="auto" w:fill="auto"/>
            <w:vAlign w:val="center"/>
            <w:hideMark/>
          </w:tcPr>
          <w:p w14:paraId="457604D9"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332" w:type="pct"/>
            <w:tcBorders>
              <w:top w:val="nil"/>
              <w:left w:val="nil"/>
              <w:bottom w:val="single" w:sz="8" w:space="0" w:color="auto"/>
              <w:right w:val="single" w:sz="8" w:space="0" w:color="auto"/>
            </w:tcBorders>
            <w:shd w:val="clear" w:color="auto" w:fill="auto"/>
            <w:vAlign w:val="center"/>
            <w:hideMark/>
          </w:tcPr>
          <w:p w14:paraId="5BA4DA3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€ 4,500,000.00 </w:t>
            </w:r>
          </w:p>
        </w:tc>
        <w:tc>
          <w:tcPr>
            <w:tcW w:w="356" w:type="pct"/>
            <w:tcBorders>
              <w:top w:val="nil"/>
              <w:left w:val="nil"/>
              <w:bottom w:val="single" w:sz="8" w:space="0" w:color="auto"/>
              <w:right w:val="single" w:sz="8" w:space="0" w:color="auto"/>
            </w:tcBorders>
            <w:shd w:val="clear" w:color="000000" w:fill="FFFFFF"/>
            <w:vAlign w:val="center"/>
            <w:hideMark/>
          </w:tcPr>
          <w:p w14:paraId="5E55351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4,500,000.00 </w:t>
            </w:r>
          </w:p>
        </w:tc>
        <w:tc>
          <w:tcPr>
            <w:tcW w:w="356" w:type="pct"/>
            <w:tcBorders>
              <w:top w:val="nil"/>
              <w:left w:val="nil"/>
              <w:bottom w:val="single" w:sz="8" w:space="0" w:color="auto"/>
              <w:right w:val="single" w:sz="8" w:space="0" w:color="auto"/>
            </w:tcBorders>
            <w:shd w:val="clear" w:color="auto" w:fill="auto"/>
            <w:vAlign w:val="center"/>
            <w:hideMark/>
          </w:tcPr>
          <w:p w14:paraId="05E2B8E2"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p>
        </w:tc>
        <w:tc>
          <w:tcPr>
            <w:tcW w:w="356" w:type="pct"/>
            <w:tcBorders>
              <w:top w:val="nil"/>
              <w:left w:val="nil"/>
              <w:bottom w:val="single" w:sz="8" w:space="0" w:color="auto"/>
              <w:right w:val="single" w:sz="8" w:space="0" w:color="auto"/>
            </w:tcBorders>
            <w:shd w:val="clear" w:color="auto" w:fill="auto"/>
            <w:vAlign w:val="center"/>
            <w:hideMark/>
          </w:tcPr>
          <w:p w14:paraId="65DB5D70"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5" w:type="pct"/>
            <w:tcBorders>
              <w:top w:val="nil"/>
              <w:left w:val="nil"/>
              <w:bottom w:val="single" w:sz="8" w:space="0" w:color="auto"/>
              <w:right w:val="single" w:sz="8" w:space="0" w:color="auto"/>
            </w:tcBorders>
            <w:shd w:val="clear" w:color="auto" w:fill="auto"/>
            <w:vAlign w:val="center"/>
            <w:hideMark/>
          </w:tcPr>
          <w:p w14:paraId="2B9C7964"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354" w:type="pct"/>
            <w:vMerge w:val="restart"/>
            <w:tcBorders>
              <w:top w:val="nil"/>
              <w:left w:val="single" w:sz="8" w:space="0" w:color="auto"/>
              <w:bottom w:val="single" w:sz="8" w:space="0" w:color="000000"/>
              <w:right w:val="single" w:sz="8" w:space="0" w:color="auto"/>
            </w:tcBorders>
            <w:shd w:val="clear" w:color="auto" w:fill="auto"/>
            <w:vAlign w:val="center"/>
            <w:hideMark/>
          </w:tcPr>
          <w:p w14:paraId="2CE9B3CA"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Ministry of Finance, </w:t>
            </w:r>
            <w:proofErr w:type="spellStart"/>
            <w:r>
              <w:rPr>
                <w:rFonts w:ascii="Times New Roman" w:hAnsi="Times New Roman"/>
                <w:sz w:val="18"/>
              </w:rPr>
              <w:t>Labour</w:t>
            </w:r>
            <w:proofErr w:type="spellEnd"/>
            <w:r>
              <w:rPr>
                <w:rFonts w:ascii="Times New Roman" w:hAnsi="Times New Roman"/>
                <w:sz w:val="18"/>
              </w:rPr>
              <w:t xml:space="preserve"> and Transfers</w:t>
            </w:r>
          </w:p>
          <w:p w14:paraId="1CA32AA5" w14:textId="77777777" w:rsidR="00062B41" w:rsidRPr="004A694D" w:rsidRDefault="00062B41"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(MFLT).</w:t>
            </w:r>
          </w:p>
        </w:tc>
        <w:tc>
          <w:tcPr>
            <w:tcW w:w="311" w:type="pct"/>
            <w:tcBorders>
              <w:top w:val="nil"/>
              <w:left w:val="nil"/>
              <w:bottom w:val="single" w:sz="8" w:space="0" w:color="auto"/>
              <w:right w:val="single" w:sz="8" w:space="0" w:color="auto"/>
            </w:tcBorders>
            <w:shd w:val="clear" w:color="auto" w:fill="auto"/>
            <w:vAlign w:val="center"/>
            <w:hideMark/>
          </w:tcPr>
          <w:p w14:paraId="3AA7C2C0"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Annual support schemes</w:t>
            </w:r>
          </w:p>
        </w:tc>
        <w:tc>
          <w:tcPr>
            <w:tcW w:w="360" w:type="pct"/>
            <w:tcBorders>
              <w:top w:val="nil"/>
              <w:left w:val="nil"/>
              <w:bottom w:val="single" w:sz="8" w:space="0" w:color="auto"/>
              <w:right w:val="single" w:sz="8" w:space="0" w:color="auto"/>
            </w:tcBorders>
            <w:shd w:val="clear" w:color="auto" w:fill="auto"/>
            <w:vAlign w:val="center"/>
            <w:hideMark/>
          </w:tcPr>
          <w:p w14:paraId="50E70C2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Medium-Term Expenditure Framework </w:t>
            </w:r>
            <w:r>
              <w:rPr>
                <w:rFonts w:ascii="Times New Roman" w:hAnsi="Times New Roman"/>
                <w:sz w:val="18"/>
              </w:rPr>
              <w:br/>
              <w:t>2023-2025</w:t>
            </w:r>
          </w:p>
        </w:tc>
        <w:tc>
          <w:tcPr>
            <w:tcW w:w="1342" w:type="pct"/>
            <w:tcBorders>
              <w:top w:val="nil"/>
              <w:left w:val="nil"/>
              <w:bottom w:val="single" w:sz="8" w:space="0" w:color="auto"/>
              <w:right w:val="single" w:sz="8" w:space="0" w:color="auto"/>
            </w:tcBorders>
            <w:shd w:val="clear" w:color="auto" w:fill="auto"/>
            <w:hideMark/>
          </w:tcPr>
          <w:p w14:paraId="4ACAFEAD" w14:textId="77777777" w:rsidR="00571EAF" w:rsidRPr="004A694D" w:rsidRDefault="00B26E71" w:rsidP="00863836">
            <w:pPr>
              <w:spacing w:after="0" w:line="240" w:lineRule="auto"/>
              <w:rPr>
                <w:rFonts w:ascii="Times New Roman" w:eastAsia="Times New Roman" w:hAnsi="Times New Roman" w:cs="Times New Roman"/>
                <w:sz w:val="18"/>
                <w:szCs w:val="18"/>
              </w:rPr>
            </w:pPr>
            <w:r>
              <w:rPr>
                <w:rFonts w:ascii="Times New Roman" w:hAnsi="Times New Roman"/>
                <w:sz w:val="18"/>
              </w:rPr>
              <w:t>This scheme has been replaced with the Pilot Program for Vulnerable Consumers explained in V.1.4</w:t>
            </w:r>
          </w:p>
        </w:tc>
      </w:tr>
      <w:tr w:rsidR="00571EAF" w:rsidRPr="004A694D" w14:paraId="4F24AA62" w14:textId="77777777" w:rsidTr="00B26E71">
        <w:trPr>
          <w:trHeight w:val="1335"/>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53C79F41"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V.1.2</w:t>
            </w:r>
          </w:p>
        </w:tc>
        <w:tc>
          <w:tcPr>
            <w:tcW w:w="468" w:type="pct"/>
            <w:tcBorders>
              <w:top w:val="nil"/>
              <w:left w:val="nil"/>
              <w:bottom w:val="nil"/>
              <w:right w:val="single" w:sz="8" w:space="0" w:color="auto"/>
            </w:tcBorders>
            <w:shd w:val="clear" w:color="auto" w:fill="auto"/>
            <w:vAlign w:val="center"/>
            <w:hideMark/>
          </w:tcPr>
          <w:p w14:paraId="2C355CE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Creation of a new support scheme for vulnerable consumers</w:t>
            </w:r>
          </w:p>
        </w:tc>
        <w:tc>
          <w:tcPr>
            <w:tcW w:w="221" w:type="pct"/>
            <w:tcBorders>
              <w:top w:val="nil"/>
              <w:left w:val="nil"/>
              <w:bottom w:val="single" w:sz="8" w:space="0" w:color="auto"/>
              <w:right w:val="single" w:sz="8" w:space="0" w:color="auto"/>
            </w:tcBorders>
            <w:shd w:val="clear" w:color="auto" w:fill="auto"/>
            <w:vAlign w:val="center"/>
            <w:hideMark/>
          </w:tcPr>
          <w:p w14:paraId="163AC18C"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Yearly</w:t>
            </w:r>
          </w:p>
        </w:tc>
        <w:tc>
          <w:tcPr>
            <w:tcW w:w="332" w:type="pct"/>
            <w:tcBorders>
              <w:top w:val="nil"/>
              <w:left w:val="nil"/>
              <w:bottom w:val="nil"/>
              <w:right w:val="single" w:sz="8" w:space="0" w:color="auto"/>
            </w:tcBorders>
            <w:shd w:val="clear" w:color="auto" w:fill="auto"/>
            <w:vAlign w:val="center"/>
            <w:hideMark/>
          </w:tcPr>
          <w:p w14:paraId="671FDC57"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nil"/>
              <w:left w:val="nil"/>
              <w:bottom w:val="nil"/>
              <w:right w:val="single" w:sz="8" w:space="0" w:color="auto"/>
            </w:tcBorders>
            <w:shd w:val="clear" w:color="000000" w:fill="FFFFFF"/>
            <w:vAlign w:val="center"/>
            <w:hideMark/>
          </w:tcPr>
          <w:p w14:paraId="4C54F68E"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nil"/>
              <w:left w:val="nil"/>
              <w:bottom w:val="single" w:sz="8" w:space="0" w:color="auto"/>
              <w:right w:val="single" w:sz="8" w:space="0" w:color="auto"/>
            </w:tcBorders>
            <w:shd w:val="clear" w:color="auto" w:fill="auto"/>
            <w:vAlign w:val="center"/>
            <w:hideMark/>
          </w:tcPr>
          <w:p w14:paraId="72839693"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10,000,000.00 </w:t>
            </w:r>
          </w:p>
        </w:tc>
        <w:tc>
          <w:tcPr>
            <w:tcW w:w="356" w:type="pct"/>
            <w:tcBorders>
              <w:top w:val="nil"/>
              <w:left w:val="nil"/>
              <w:bottom w:val="single" w:sz="8" w:space="0" w:color="auto"/>
              <w:right w:val="single" w:sz="8" w:space="0" w:color="auto"/>
            </w:tcBorders>
            <w:shd w:val="clear" w:color="auto" w:fill="auto"/>
            <w:vAlign w:val="center"/>
            <w:hideMark/>
          </w:tcPr>
          <w:p w14:paraId="3D34824F"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10,000,000.00 </w:t>
            </w:r>
          </w:p>
        </w:tc>
        <w:tc>
          <w:tcPr>
            <w:tcW w:w="355" w:type="pct"/>
            <w:tcBorders>
              <w:top w:val="nil"/>
              <w:left w:val="nil"/>
              <w:bottom w:val="single" w:sz="8" w:space="0" w:color="auto"/>
              <w:right w:val="single" w:sz="8" w:space="0" w:color="auto"/>
            </w:tcBorders>
            <w:shd w:val="clear" w:color="auto" w:fill="auto"/>
            <w:vAlign w:val="center"/>
            <w:hideMark/>
          </w:tcPr>
          <w:p w14:paraId="2277E2BF"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354" w:type="pct"/>
            <w:vMerge/>
            <w:tcBorders>
              <w:top w:val="nil"/>
              <w:left w:val="single" w:sz="8" w:space="0" w:color="auto"/>
              <w:bottom w:val="single" w:sz="8" w:space="0" w:color="000000"/>
              <w:right w:val="single" w:sz="8" w:space="0" w:color="auto"/>
            </w:tcBorders>
            <w:vAlign w:val="center"/>
            <w:hideMark/>
          </w:tcPr>
          <w:p w14:paraId="6C428F41" w14:textId="77777777" w:rsidR="00571EAF" w:rsidRPr="004A694D" w:rsidRDefault="00571EAF" w:rsidP="00571EAF">
            <w:pPr>
              <w:spacing w:after="0" w:line="240" w:lineRule="auto"/>
              <w:rPr>
                <w:rFonts w:ascii="Times New Roman" w:eastAsia="Times New Roman" w:hAnsi="Times New Roman" w:cs="Times New Roman"/>
                <w:sz w:val="18"/>
                <w:szCs w:val="18"/>
              </w:rPr>
            </w:pPr>
          </w:p>
        </w:tc>
        <w:tc>
          <w:tcPr>
            <w:tcW w:w="311" w:type="pct"/>
            <w:tcBorders>
              <w:top w:val="nil"/>
              <w:left w:val="nil"/>
              <w:bottom w:val="single" w:sz="8" w:space="0" w:color="auto"/>
              <w:right w:val="single" w:sz="8" w:space="0" w:color="auto"/>
            </w:tcBorders>
            <w:shd w:val="clear" w:color="auto" w:fill="auto"/>
            <w:vAlign w:val="center"/>
            <w:hideMark/>
          </w:tcPr>
          <w:p w14:paraId="507E9099"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Annual support schemes</w:t>
            </w:r>
          </w:p>
        </w:tc>
        <w:tc>
          <w:tcPr>
            <w:tcW w:w="360" w:type="pct"/>
            <w:tcBorders>
              <w:top w:val="nil"/>
              <w:left w:val="nil"/>
              <w:bottom w:val="single" w:sz="8" w:space="0" w:color="auto"/>
              <w:right w:val="single" w:sz="8" w:space="0" w:color="auto"/>
            </w:tcBorders>
            <w:shd w:val="clear" w:color="auto" w:fill="auto"/>
            <w:vAlign w:val="center"/>
            <w:hideMark/>
          </w:tcPr>
          <w:p w14:paraId="227E0B49"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Medium-Term Expenditure Framework </w:t>
            </w:r>
            <w:r>
              <w:rPr>
                <w:rFonts w:ascii="Times New Roman" w:hAnsi="Times New Roman"/>
                <w:sz w:val="18"/>
              </w:rPr>
              <w:br/>
              <w:t>2023-2025</w:t>
            </w:r>
          </w:p>
        </w:tc>
        <w:tc>
          <w:tcPr>
            <w:tcW w:w="1342" w:type="pct"/>
            <w:tcBorders>
              <w:top w:val="nil"/>
              <w:left w:val="nil"/>
              <w:bottom w:val="single" w:sz="8" w:space="0" w:color="auto"/>
              <w:right w:val="single" w:sz="8" w:space="0" w:color="auto"/>
            </w:tcBorders>
            <w:shd w:val="clear" w:color="auto" w:fill="auto"/>
            <w:hideMark/>
          </w:tcPr>
          <w:p w14:paraId="5883B0DB" w14:textId="77777777" w:rsidR="00571EAF" w:rsidRPr="004A694D" w:rsidRDefault="00B26E71" w:rsidP="00863836">
            <w:pPr>
              <w:spacing w:after="0" w:line="240" w:lineRule="auto"/>
              <w:rPr>
                <w:rFonts w:ascii="Times New Roman" w:eastAsia="Times New Roman" w:hAnsi="Times New Roman" w:cs="Times New Roman"/>
                <w:sz w:val="18"/>
                <w:szCs w:val="18"/>
              </w:rPr>
            </w:pPr>
            <w:r>
              <w:rPr>
                <w:rFonts w:ascii="Times New Roman" w:hAnsi="Times New Roman"/>
                <w:sz w:val="18"/>
              </w:rPr>
              <w:t>There will be no “new” scheme. The Government has approved the Program for the Protection of Vulnerable Electricity Consumers for 2023/2024. Under this program for 2023/2024, a total of 61,247 families have been subsidized. €15,025,732.73 have been spent on these subsidies.</w:t>
            </w:r>
          </w:p>
        </w:tc>
      </w:tr>
      <w:tr w:rsidR="00571EAF" w:rsidRPr="004A694D" w14:paraId="575C57B4" w14:textId="77777777" w:rsidTr="00B26E71">
        <w:trPr>
          <w:trHeight w:val="1905"/>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CA94FDC"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V.1.3</w:t>
            </w:r>
          </w:p>
        </w:tc>
        <w:tc>
          <w:tcPr>
            <w:tcW w:w="468" w:type="pct"/>
            <w:tcBorders>
              <w:top w:val="single" w:sz="8" w:space="0" w:color="auto"/>
              <w:left w:val="nil"/>
              <w:bottom w:val="nil"/>
              <w:right w:val="single" w:sz="8" w:space="0" w:color="auto"/>
            </w:tcBorders>
            <w:shd w:val="clear" w:color="auto" w:fill="auto"/>
            <w:vAlign w:val="center"/>
            <w:hideMark/>
          </w:tcPr>
          <w:p w14:paraId="1669981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Designing a five-year program for the protection of vulnerable consumers</w:t>
            </w:r>
          </w:p>
        </w:tc>
        <w:tc>
          <w:tcPr>
            <w:tcW w:w="221" w:type="pct"/>
            <w:tcBorders>
              <w:top w:val="nil"/>
              <w:left w:val="nil"/>
              <w:bottom w:val="nil"/>
              <w:right w:val="single" w:sz="8" w:space="0" w:color="auto"/>
            </w:tcBorders>
            <w:shd w:val="clear" w:color="auto" w:fill="auto"/>
            <w:vAlign w:val="center"/>
            <w:hideMark/>
          </w:tcPr>
          <w:p w14:paraId="6BFC9D25"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2023/2024</w:t>
            </w:r>
          </w:p>
        </w:tc>
        <w:tc>
          <w:tcPr>
            <w:tcW w:w="332" w:type="pct"/>
            <w:tcBorders>
              <w:top w:val="single" w:sz="8" w:space="0" w:color="auto"/>
              <w:left w:val="nil"/>
              <w:bottom w:val="nil"/>
              <w:right w:val="single" w:sz="8" w:space="0" w:color="auto"/>
            </w:tcBorders>
            <w:shd w:val="clear" w:color="auto" w:fill="auto"/>
            <w:vAlign w:val="center"/>
            <w:hideMark/>
          </w:tcPr>
          <w:p w14:paraId="552578C5"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single" w:sz="8" w:space="0" w:color="auto"/>
              <w:left w:val="nil"/>
              <w:bottom w:val="nil"/>
              <w:right w:val="single" w:sz="8" w:space="0" w:color="auto"/>
            </w:tcBorders>
            <w:shd w:val="clear" w:color="000000" w:fill="FFFFFF"/>
            <w:vAlign w:val="center"/>
            <w:hideMark/>
          </w:tcPr>
          <w:p w14:paraId="1996FFC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 </w:t>
            </w:r>
          </w:p>
        </w:tc>
        <w:tc>
          <w:tcPr>
            <w:tcW w:w="356" w:type="pct"/>
            <w:tcBorders>
              <w:top w:val="nil"/>
              <w:left w:val="nil"/>
              <w:bottom w:val="nil"/>
              <w:right w:val="single" w:sz="8" w:space="0" w:color="auto"/>
            </w:tcBorders>
            <w:shd w:val="clear" w:color="auto" w:fill="auto"/>
            <w:vAlign w:val="center"/>
            <w:hideMark/>
          </w:tcPr>
          <w:p w14:paraId="50E013F8"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p>
        </w:tc>
        <w:tc>
          <w:tcPr>
            <w:tcW w:w="356" w:type="pct"/>
            <w:tcBorders>
              <w:top w:val="nil"/>
              <w:left w:val="nil"/>
              <w:bottom w:val="nil"/>
              <w:right w:val="single" w:sz="8" w:space="0" w:color="auto"/>
            </w:tcBorders>
            <w:shd w:val="clear" w:color="auto" w:fill="auto"/>
            <w:vAlign w:val="center"/>
            <w:hideMark/>
          </w:tcPr>
          <w:p w14:paraId="3F6AE949"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5" w:type="pct"/>
            <w:tcBorders>
              <w:top w:val="nil"/>
              <w:left w:val="nil"/>
              <w:bottom w:val="nil"/>
              <w:right w:val="single" w:sz="8" w:space="0" w:color="auto"/>
            </w:tcBorders>
            <w:shd w:val="clear" w:color="auto" w:fill="auto"/>
            <w:vAlign w:val="center"/>
            <w:hideMark/>
          </w:tcPr>
          <w:p w14:paraId="0384675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354" w:type="pct"/>
            <w:vMerge/>
            <w:tcBorders>
              <w:top w:val="nil"/>
              <w:left w:val="single" w:sz="8" w:space="0" w:color="auto"/>
              <w:bottom w:val="single" w:sz="8" w:space="0" w:color="000000"/>
              <w:right w:val="single" w:sz="8" w:space="0" w:color="auto"/>
            </w:tcBorders>
            <w:vAlign w:val="center"/>
            <w:hideMark/>
          </w:tcPr>
          <w:p w14:paraId="097D5BEF" w14:textId="77777777" w:rsidR="00571EAF" w:rsidRPr="004A694D" w:rsidRDefault="00571EAF" w:rsidP="00571EAF">
            <w:pPr>
              <w:spacing w:after="0" w:line="240" w:lineRule="auto"/>
              <w:rPr>
                <w:rFonts w:ascii="Times New Roman" w:eastAsia="Times New Roman" w:hAnsi="Times New Roman" w:cs="Times New Roman"/>
                <w:sz w:val="18"/>
                <w:szCs w:val="18"/>
              </w:rPr>
            </w:pPr>
          </w:p>
        </w:tc>
        <w:tc>
          <w:tcPr>
            <w:tcW w:w="311" w:type="pct"/>
            <w:tcBorders>
              <w:top w:val="nil"/>
              <w:left w:val="nil"/>
              <w:bottom w:val="nil"/>
              <w:right w:val="single" w:sz="8" w:space="0" w:color="auto"/>
            </w:tcBorders>
            <w:shd w:val="clear" w:color="auto" w:fill="auto"/>
            <w:vAlign w:val="center"/>
            <w:hideMark/>
          </w:tcPr>
          <w:p w14:paraId="293CA5CF"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Drafting and adoption of the program for vulnerable consumers</w:t>
            </w:r>
          </w:p>
        </w:tc>
        <w:tc>
          <w:tcPr>
            <w:tcW w:w="360" w:type="pct"/>
            <w:tcBorders>
              <w:top w:val="nil"/>
              <w:left w:val="nil"/>
              <w:bottom w:val="nil"/>
              <w:right w:val="single" w:sz="8" w:space="0" w:color="auto"/>
            </w:tcBorders>
            <w:shd w:val="clear" w:color="auto" w:fill="auto"/>
            <w:vAlign w:val="center"/>
            <w:hideMark/>
          </w:tcPr>
          <w:p w14:paraId="16B1C2B4"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1342" w:type="pct"/>
            <w:tcBorders>
              <w:top w:val="nil"/>
              <w:left w:val="nil"/>
              <w:bottom w:val="single" w:sz="8" w:space="0" w:color="auto"/>
              <w:right w:val="single" w:sz="8" w:space="0" w:color="auto"/>
            </w:tcBorders>
            <w:shd w:val="clear" w:color="auto" w:fill="auto"/>
            <w:hideMark/>
          </w:tcPr>
          <w:p w14:paraId="3C873853" w14:textId="77777777" w:rsidR="00D0327D" w:rsidRPr="006D6D77" w:rsidRDefault="00D0327D" w:rsidP="00863836">
            <w:pPr>
              <w:spacing w:after="0" w:line="240" w:lineRule="auto"/>
              <w:rPr>
                <w:rFonts w:ascii="Times New Roman" w:eastAsia="Times New Roman" w:hAnsi="Times New Roman" w:cs="Times New Roman"/>
                <w:sz w:val="18"/>
                <w:szCs w:val="18"/>
              </w:rPr>
            </w:pPr>
          </w:p>
          <w:p w14:paraId="2A88A630" w14:textId="77777777" w:rsidR="00571EAF" w:rsidRPr="00D94C33" w:rsidRDefault="00B26E71" w:rsidP="00863836">
            <w:pPr>
              <w:spacing w:after="0" w:line="240" w:lineRule="auto"/>
              <w:rPr>
                <w:rFonts w:ascii="Times New Roman" w:eastAsia="Times New Roman" w:hAnsi="Times New Roman" w:cs="Times New Roman"/>
                <w:sz w:val="18"/>
                <w:szCs w:val="18"/>
              </w:rPr>
            </w:pPr>
            <w:r>
              <w:rPr>
                <w:rFonts w:ascii="Times New Roman" w:hAnsi="Times New Roman"/>
                <w:sz w:val="18"/>
              </w:rPr>
              <w:t>The Program for the Protection of Vulnerable Electricity Consumers for 2024/2025 has been finalized and adopted, and is being implemented until April, at which point 100% of this program will have been applied.</w:t>
            </w:r>
          </w:p>
        </w:tc>
      </w:tr>
      <w:tr w:rsidR="00571EAF" w:rsidRPr="004A694D" w14:paraId="568E66AA" w14:textId="77777777" w:rsidTr="00B26E71">
        <w:trPr>
          <w:trHeight w:val="3103"/>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C9D6D2F"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V.1.4</w:t>
            </w:r>
          </w:p>
        </w:tc>
        <w:tc>
          <w:tcPr>
            <w:tcW w:w="468" w:type="pct"/>
            <w:tcBorders>
              <w:top w:val="single" w:sz="8" w:space="0" w:color="auto"/>
              <w:left w:val="nil"/>
              <w:bottom w:val="nil"/>
              <w:right w:val="single" w:sz="8" w:space="0" w:color="auto"/>
            </w:tcBorders>
            <w:shd w:val="clear" w:color="auto" w:fill="auto"/>
            <w:vAlign w:val="center"/>
            <w:hideMark/>
          </w:tcPr>
          <w:p w14:paraId="0E7260EB"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Drafting and adoption of a one (1) year program for the implementation of measures to support vulnerable consumers</w:t>
            </w:r>
          </w:p>
        </w:tc>
        <w:tc>
          <w:tcPr>
            <w:tcW w:w="221" w:type="pct"/>
            <w:tcBorders>
              <w:top w:val="single" w:sz="8" w:space="0" w:color="auto"/>
              <w:left w:val="nil"/>
              <w:bottom w:val="nil"/>
              <w:right w:val="single" w:sz="8" w:space="0" w:color="auto"/>
            </w:tcBorders>
            <w:shd w:val="clear" w:color="auto" w:fill="auto"/>
            <w:vAlign w:val="center"/>
            <w:hideMark/>
          </w:tcPr>
          <w:p w14:paraId="54FCDDBA"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32" w:type="pct"/>
            <w:tcBorders>
              <w:top w:val="single" w:sz="8" w:space="0" w:color="auto"/>
              <w:left w:val="nil"/>
              <w:bottom w:val="nil"/>
              <w:right w:val="single" w:sz="8" w:space="0" w:color="auto"/>
            </w:tcBorders>
            <w:shd w:val="clear" w:color="auto" w:fill="auto"/>
            <w:vAlign w:val="center"/>
            <w:hideMark/>
          </w:tcPr>
          <w:p w14:paraId="03D317EB"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single" w:sz="8" w:space="0" w:color="auto"/>
              <w:left w:val="nil"/>
              <w:bottom w:val="nil"/>
              <w:right w:val="single" w:sz="8" w:space="0" w:color="auto"/>
            </w:tcBorders>
            <w:shd w:val="clear" w:color="000000" w:fill="FFFFFF"/>
            <w:vAlign w:val="center"/>
            <w:hideMark/>
          </w:tcPr>
          <w:p w14:paraId="544942B3"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10,000.00 </w:t>
            </w:r>
          </w:p>
        </w:tc>
        <w:tc>
          <w:tcPr>
            <w:tcW w:w="356" w:type="pct"/>
            <w:tcBorders>
              <w:top w:val="single" w:sz="8" w:space="0" w:color="auto"/>
              <w:left w:val="nil"/>
              <w:bottom w:val="nil"/>
              <w:right w:val="single" w:sz="8" w:space="0" w:color="auto"/>
            </w:tcBorders>
            <w:shd w:val="clear" w:color="auto" w:fill="auto"/>
            <w:vAlign w:val="center"/>
            <w:hideMark/>
          </w:tcPr>
          <w:p w14:paraId="1990ACF0"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p>
        </w:tc>
        <w:tc>
          <w:tcPr>
            <w:tcW w:w="356" w:type="pct"/>
            <w:tcBorders>
              <w:top w:val="single" w:sz="8" w:space="0" w:color="auto"/>
              <w:left w:val="nil"/>
              <w:bottom w:val="nil"/>
              <w:right w:val="single" w:sz="8" w:space="0" w:color="auto"/>
            </w:tcBorders>
            <w:shd w:val="clear" w:color="auto" w:fill="auto"/>
            <w:vAlign w:val="center"/>
            <w:hideMark/>
          </w:tcPr>
          <w:p w14:paraId="5E4739D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5" w:type="pct"/>
            <w:tcBorders>
              <w:top w:val="single" w:sz="8" w:space="0" w:color="auto"/>
              <w:left w:val="nil"/>
              <w:bottom w:val="nil"/>
              <w:right w:val="single" w:sz="8" w:space="0" w:color="auto"/>
            </w:tcBorders>
            <w:shd w:val="clear" w:color="auto" w:fill="auto"/>
            <w:vAlign w:val="center"/>
            <w:hideMark/>
          </w:tcPr>
          <w:p w14:paraId="6D82F852"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EU-Funds, IPA</w:t>
            </w:r>
          </w:p>
        </w:tc>
        <w:tc>
          <w:tcPr>
            <w:tcW w:w="354" w:type="pct"/>
            <w:vMerge/>
            <w:tcBorders>
              <w:top w:val="nil"/>
              <w:left w:val="single" w:sz="8" w:space="0" w:color="auto"/>
              <w:bottom w:val="single" w:sz="8" w:space="0" w:color="000000"/>
              <w:right w:val="single" w:sz="8" w:space="0" w:color="auto"/>
            </w:tcBorders>
            <w:vAlign w:val="center"/>
            <w:hideMark/>
          </w:tcPr>
          <w:p w14:paraId="547D4E5C" w14:textId="77777777" w:rsidR="00571EAF" w:rsidRPr="004A694D" w:rsidRDefault="00571EAF" w:rsidP="00571EAF">
            <w:pPr>
              <w:spacing w:after="0" w:line="240" w:lineRule="auto"/>
              <w:rPr>
                <w:rFonts w:ascii="Times New Roman" w:eastAsia="Times New Roman" w:hAnsi="Times New Roman" w:cs="Times New Roman"/>
                <w:sz w:val="18"/>
                <w:szCs w:val="18"/>
              </w:rPr>
            </w:pPr>
          </w:p>
        </w:tc>
        <w:tc>
          <w:tcPr>
            <w:tcW w:w="311" w:type="pct"/>
            <w:tcBorders>
              <w:top w:val="single" w:sz="8" w:space="0" w:color="auto"/>
              <w:left w:val="nil"/>
              <w:bottom w:val="nil"/>
              <w:right w:val="single" w:sz="8" w:space="0" w:color="auto"/>
            </w:tcBorders>
            <w:shd w:val="clear" w:color="auto" w:fill="auto"/>
            <w:vAlign w:val="center"/>
            <w:hideMark/>
          </w:tcPr>
          <w:p w14:paraId="663400E7"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One (1) year program drafted and adopted </w:t>
            </w:r>
          </w:p>
        </w:tc>
        <w:tc>
          <w:tcPr>
            <w:tcW w:w="360" w:type="pct"/>
            <w:tcBorders>
              <w:top w:val="single" w:sz="8" w:space="0" w:color="auto"/>
              <w:left w:val="nil"/>
              <w:bottom w:val="nil"/>
              <w:right w:val="single" w:sz="8" w:space="0" w:color="auto"/>
            </w:tcBorders>
            <w:shd w:val="clear" w:color="auto" w:fill="auto"/>
            <w:vAlign w:val="center"/>
            <w:hideMark/>
          </w:tcPr>
          <w:p w14:paraId="741383D1" w14:textId="7D5C3C51"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Minister’s decision on the establishment of the Working Group (WG).</w:t>
            </w:r>
          </w:p>
        </w:tc>
        <w:tc>
          <w:tcPr>
            <w:tcW w:w="1342" w:type="pct"/>
            <w:tcBorders>
              <w:top w:val="nil"/>
              <w:left w:val="nil"/>
              <w:bottom w:val="single" w:sz="8" w:space="0" w:color="auto"/>
              <w:right w:val="single" w:sz="8" w:space="0" w:color="auto"/>
            </w:tcBorders>
            <w:shd w:val="clear" w:color="auto" w:fill="auto"/>
            <w:vAlign w:val="center"/>
            <w:hideMark/>
          </w:tcPr>
          <w:p w14:paraId="2BB4EA54" w14:textId="2003EC4B" w:rsidR="00571EAF" w:rsidRPr="004A694D" w:rsidRDefault="00571EAF" w:rsidP="00863836">
            <w:pPr>
              <w:spacing w:after="0" w:line="240" w:lineRule="auto"/>
              <w:rPr>
                <w:rFonts w:ascii="Times New Roman" w:eastAsia="Times New Roman" w:hAnsi="Times New Roman" w:cs="Times New Roman"/>
                <w:sz w:val="18"/>
                <w:szCs w:val="18"/>
              </w:rPr>
            </w:pPr>
            <w:r>
              <w:rPr>
                <w:rFonts w:ascii="Times New Roman" w:hAnsi="Times New Roman"/>
                <w:sz w:val="18"/>
              </w:rPr>
              <w:t>The program for the period 2023–2024 began implementation in January 2024. From this program, 61,069 families have benefited. The subsidy has been disbursed in six tranches during the period January–July 2024 in the form of direct payment of a portion of the bill.</w:t>
            </w:r>
          </w:p>
        </w:tc>
      </w:tr>
      <w:tr w:rsidR="00571EAF" w:rsidRPr="004A694D" w14:paraId="71B9B928" w14:textId="77777777" w:rsidTr="00B26E71">
        <w:trPr>
          <w:trHeight w:val="1935"/>
        </w:trPr>
        <w:tc>
          <w:tcPr>
            <w:tcW w:w="189" w:type="pct"/>
            <w:tcBorders>
              <w:top w:val="nil"/>
              <w:left w:val="single" w:sz="8" w:space="0" w:color="auto"/>
              <w:bottom w:val="nil"/>
              <w:right w:val="single" w:sz="8" w:space="0" w:color="auto"/>
            </w:tcBorders>
            <w:shd w:val="clear" w:color="auto" w:fill="auto"/>
            <w:vAlign w:val="center"/>
            <w:hideMark/>
          </w:tcPr>
          <w:p w14:paraId="300572E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lastRenderedPageBreak/>
              <w:t>V.1.5</w:t>
            </w:r>
          </w:p>
        </w:tc>
        <w:tc>
          <w:tcPr>
            <w:tcW w:w="468" w:type="pct"/>
            <w:tcBorders>
              <w:top w:val="single" w:sz="8" w:space="0" w:color="auto"/>
              <w:left w:val="nil"/>
              <w:bottom w:val="nil"/>
              <w:right w:val="single" w:sz="8" w:space="0" w:color="auto"/>
            </w:tcBorders>
            <w:shd w:val="clear" w:color="auto" w:fill="auto"/>
            <w:hideMark/>
          </w:tcPr>
          <w:p w14:paraId="5C15FE61"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Support through subsidizing part of the bill for beneficiaries of social and pension schemes as well as households who are selected through a formal tested scheme</w:t>
            </w:r>
          </w:p>
        </w:tc>
        <w:tc>
          <w:tcPr>
            <w:tcW w:w="221" w:type="pct"/>
            <w:tcBorders>
              <w:top w:val="single" w:sz="8" w:space="0" w:color="auto"/>
              <w:left w:val="nil"/>
              <w:bottom w:val="nil"/>
              <w:right w:val="single" w:sz="8" w:space="0" w:color="auto"/>
            </w:tcBorders>
            <w:shd w:val="clear" w:color="auto" w:fill="auto"/>
            <w:vAlign w:val="center"/>
            <w:hideMark/>
          </w:tcPr>
          <w:p w14:paraId="52CCAFBF"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32" w:type="pct"/>
            <w:tcBorders>
              <w:top w:val="single" w:sz="8" w:space="0" w:color="auto"/>
              <w:left w:val="nil"/>
              <w:bottom w:val="nil"/>
              <w:right w:val="single" w:sz="8" w:space="0" w:color="auto"/>
            </w:tcBorders>
            <w:shd w:val="clear" w:color="auto" w:fill="auto"/>
            <w:vAlign w:val="center"/>
            <w:hideMark/>
          </w:tcPr>
          <w:p w14:paraId="117F0A6E"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single" w:sz="8" w:space="0" w:color="auto"/>
              <w:left w:val="nil"/>
              <w:bottom w:val="nil"/>
              <w:right w:val="single" w:sz="8" w:space="0" w:color="auto"/>
            </w:tcBorders>
            <w:shd w:val="clear" w:color="000000" w:fill="FFFFFF"/>
            <w:vAlign w:val="center"/>
            <w:hideMark/>
          </w:tcPr>
          <w:p w14:paraId="51BFE1D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20,000,000.00 </w:t>
            </w:r>
          </w:p>
        </w:tc>
        <w:tc>
          <w:tcPr>
            <w:tcW w:w="356" w:type="pct"/>
            <w:tcBorders>
              <w:top w:val="single" w:sz="8" w:space="0" w:color="auto"/>
              <w:left w:val="nil"/>
              <w:bottom w:val="nil"/>
              <w:right w:val="single" w:sz="8" w:space="0" w:color="auto"/>
            </w:tcBorders>
            <w:shd w:val="clear" w:color="auto" w:fill="auto"/>
            <w:vAlign w:val="center"/>
            <w:hideMark/>
          </w:tcPr>
          <w:p w14:paraId="49480B09"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p>
        </w:tc>
        <w:tc>
          <w:tcPr>
            <w:tcW w:w="356" w:type="pct"/>
            <w:tcBorders>
              <w:top w:val="single" w:sz="8" w:space="0" w:color="auto"/>
              <w:left w:val="nil"/>
              <w:bottom w:val="nil"/>
              <w:right w:val="single" w:sz="8" w:space="0" w:color="auto"/>
            </w:tcBorders>
            <w:shd w:val="clear" w:color="auto" w:fill="auto"/>
            <w:vAlign w:val="center"/>
            <w:hideMark/>
          </w:tcPr>
          <w:p w14:paraId="6BDC43D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5" w:type="pct"/>
            <w:tcBorders>
              <w:top w:val="single" w:sz="8" w:space="0" w:color="auto"/>
              <w:left w:val="nil"/>
              <w:bottom w:val="nil"/>
              <w:right w:val="single" w:sz="8" w:space="0" w:color="auto"/>
            </w:tcBorders>
            <w:shd w:val="clear" w:color="auto" w:fill="auto"/>
            <w:vAlign w:val="center"/>
            <w:hideMark/>
          </w:tcPr>
          <w:p w14:paraId="7C246F31"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EU-Funds, IPA</w:t>
            </w:r>
          </w:p>
        </w:tc>
        <w:tc>
          <w:tcPr>
            <w:tcW w:w="354" w:type="pct"/>
            <w:vMerge/>
            <w:tcBorders>
              <w:top w:val="nil"/>
              <w:left w:val="single" w:sz="8" w:space="0" w:color="auto"/>
              <w:bottom w:val="single" w:sz="8" w:space="0" w:color="000000"/>
              <w:right w:val="single" w:sz="8" w:space="0" w:color="auto"/>
            </w:tcBorders>
            <w:vAlign w:val="center"/>
            <w:hideMark/>
          </w:tcPr>
          <w:p w14:paraId="1CCA9906" w14:textId="77777777" w:rsidR="00571EAF" w:rsidRPr="004A694D" w:rsidRDefault="00571EAF" w:rsidP="00571EAF">
            <w:pPr>
              <w:spacing w:after="0" w:line="240" w:lineRule="auto"/>
              <w:rPr>
                <w:rFonts w:ascii="Times New Roman" w:eastAsia="Times New Roman" w:hAnsi="Times New Roman" w:cs="Times New Roman"/>
                <w:sz w:val="18"/>
                <w:szCs w:val="18"/>
              </w:rPr>
            </w:pPr>
          </w:p>
        </w:tc>
        <w:tc>
          <w:tcPr>
            <w:tcW w:w="311" w:type="pct"/>
            <w:tcBorders>
              <w:top w:val="single" w:sz="8" w:space="0" w:color="auto"/>
              <w:left w:val="nil"/>
              <w:bottom w:val="nil"/>
              <w:right w:val="single" w:sz="8" w:space="0" w:color="auto"/>
            </w:tcBorders>
            <w:shd w:val="clear" w:color="auto" w:fill="auto"/>
            <w:vAlign w:val="center"/>
            <w:hideMark/>
          </w:tcPr>
          <w:p w14:paraId="235D3626"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Number of vulnerable families supported through direct subsidy (200,000 beneficiaries)</w:t>
            </w:r>
          </w:p>
        </w:tc>
        <w:tc>
          <w:tcPr>
            <w:tcW w:w="360" w:type="pct"/>
            <w:tcBorders>
              <w:top w:val="single" w:sz="8" w:space="0" w:color="auto"/>
              <w:left w:val="nil"/>
              <w:bottom w:val="nil"/>
              <w:right w:val="single" w:sz="8" w:space="0" w:color="auto"/>
            </w:tcBorders>
            <w:shd w:val="clear" w:color="auto" w:fill="auto"/>
            <w:vAlign w:val="center"/>
            <w:hideMark/>
          </w:tcPr>
          <w:p w14:paraId="49F327C5"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Measure 1: Action Plan - Mitigating the immediate socio-economic impact of the energy crisis</w:t>
            </w:r>
          </w:p>
        </w:tc>
        <w:tc>
          <w:tcPr>
            <w:tcW w:w="1342" w:type="pct"/>
            <w:tcBorders>
              <w:top w:val="nil"/>
              <w:left w:val="nil"/>
              <w:bottom w:val="single" w:sz="8" w:space="0" w:color="auto"/>
              <w:right w:val="single" w:sz="8" w:space="0" w:color="auto"/>
            </w:tcBorders>
            <w:shd w:val="clear" w:color="auto" w:fill="auto"/>
            <w:hideMark/>
          </w:tcPr>
          <w:p w14:paraId="104993DA" w14:textId="77777777" w:rsidR="00571EAF" w:rsidRPr="004A694D" w:rsidRDefault="0079330E" w:rsidP="00863836">
            <w:pPr>
              <w:spacing w:after="0" w:line="240" w:lineRule="auto"/>
              <w:rPr>
                <w:rFonts w:ascii="Times New Roman" w:eastAsia="Times New Roman" w:hAnsi="Times New Roman" w:cs="Times New Roman"/>
                <w:sz w:val="18"/>
                <w:szCs w:val="18"/>
              </w:rPr>
            </w:pPr>
            <w:r>
              <w:rPr>
                <w:rFonts w:ascii="Times New Roman" w:hAnsi="Times New Roman"/>
                <w:sz w:val="18"/>
              </w:rPr>
              <w:t>Included within Action 1.4.</w:t>
            </w:r>
          </w:p>
        </w:tc>
      </w:tr>
      <w:tr w:rsidR="00571EAF" w:rsidRPr="004A694D" w14:paraId="7559A101" w14:textId="77777777" w:rsidTr="00B26E71">
        <w:trPr>
          <w:trHeight w:val="1455"/>
        </w:trPr>
        <w:tc>
          <w:tcPr>
            <w:tcW w:w="1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011EC0"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V.1.6</w:t>
            </w:r>
          </w:p>
        </w:tc>
        <w:tc>
          <w:tcPr>
            <w:tcW w:w="468" w:type="pct"/>
            <w:tcBorders>
              <w:top w:val="single" w:sz="8" w:space="0" w:color="auto"/>
              <w:left w:val="nil"/>
              <w:bottom w:val="nil"/>
              <w:right w:val="single" w:sz="8" w:space="0" w:color="auto"/>
            </w:tcBorders>
            <w:shd w:val="clear" w:color="auto" w:fill="auto"/>
            <w:vAlign w:val="center"/>
            <w:hideMark/>
          </w:tcPr>
          <w:p w14:paraId="2F05A942"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Support through subsidizing alternative methods (wood and pellets) for heating purposes for vulnerable groups</w:t>
            </w:r>
          </w:p>
        </w:tc>
        <w:tc>
          <w:tcPr>
            <w:tcW w:w="221" w:type="pct"/>
            <w:tcBorders>
              <w:top w:val="single" w:sz="8" w:space="0" w:color="auto"/>
              <w:left w:val="nil"/>
              <w:bottom w:val="nil"/>
              <w:right w:val="single" w:sz="8" w:space="0" w:color="auto"/>
            </w:tcBorders>
            <w:shd w:val="clear" w:color="auto" w:fill="auto"/>
            <w:vAlign w:val="center"/>
            <w:hideMark/>
          </w:tcPr>
          <w:p w14:paraId="073B060C"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32" w:type="pct"/>
            <w:tcBorders>
              <w:top w:val="single" w:sz="8" w:space="0" w:color="auto"/>
              <w:left w:val="nil"/>
              <w:bottom w:val="nil"/>
              <w:right w:val="single" w:sz="8" w:space="0" w:color="auto"/>
            </w:tcBorders>
            <w:shd w:val="clear" w:color="auto" w:fill="auto"/>
            <w:vAlign w:val="center"/>
            <w:hideMark/>
          </w:tcPr>
          <w:p w14:paraId="7E63AF41"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single" w:sz="8" w:space="0" w:color="auto"/>
              <w:left w:val="nil"/>
              <w:bottom w:val="nil"/>
              <w:right w:val="single" w:sz="8" w:space="0" w:color="auto"/>
            </w:tcBorders>
            <w:shd w:val="clear" w:color="000000" w:fill="FFFFFF"/>
            <w:vAlign w:val="center"/>
            <w:hideMark/>
          </w:tcPr>
          <w:p w14:paraId="514759F5"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5,000,000.00 </w:t>
            </w:r>
          </w:p>
        </w:tc>
        <w:tc>
          <w:tcPr>
            <w:tcW w:w="356" w:type="pct"/>
            <w:tcBorders>
              <w:top w:val="single" w:sz="8" w:space="0" w:color="auto"/>
              <w:left w:val="nil"/>
              <w:bottom w:val="nil"/>
              <w:right w:val="single" w:sz="8" w:space="0" w:color="auto"/>
            </w:tcBorders>
            <w:shd w:val="clear" w:color="auto" w:fill="auto"/>
            <w:vAlign w:val="center"/>
            <w:hideMark/>
          </w:tcPr>
          <w:p w14:paraId="3952E3E5"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p>
        </w:tc>
        <w:tc>
          <w:tcPr>
            <w:tcW w:w="356" w:type="pct"/>
            <w:tcBorders>
              <w:top w:val="single" w:sz="8" w:space="0" w:color="auto"/>
              <w:left w:val="nil"/>
              <w:bottom w:val="nil"/>
              <w:right w:val="single" w:sz="8" w:space="0" w:color="auto"/>
            </w:tcBorders>
            <w:shd w:val="clear" w:color="auto" w:fill="auto"/>
            <w:vAlign w:val="center"/>
            <w:hideMark/>
          </w:tcPr>
          <w:p w14:paraId="3BFDA481"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5" w:type="pct"/>
            <w:tcBorders>
              <w:top w:val="single" w:sz="8" w:space="0" w:color="auto"/>
              <w:left w:val="nil"/>
              <w:bottom w:val="nil"/>
              <w:right w:val="single" w:sz="8" w:space="0" w:color="auto"/>
            </w:tcBorders>
            <w:shd w:val="clear" w:color="auto" w:fill="auto"/>
            <w:vAlign w:val="center"/>
            <w:hideMark/>
          </w:tcPr>
          <w:p w14:paraId="0C9CBA50"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EU-Funds, IPA</w:t>
            </w:r>
          </w:p>
        </w:tc>
        <w:tc>
          <w:tcPr>
            <w:tcW w:w="354" w:type="pct"/>
            <w:vMerge/>
            <w:tcBorders>
              <w:top w:val="nil"/>
              <w:left w:val="single" w:sz="8" w:space="0" w:color="auto"/>
              <w:bottom w:val="single" w:sz="8" w:space="0" w:color="000000"/>
              <w:right w:val="single" w:sz="8" w:space="0" w:color="auto"/>
            </w:tcBorders>
            <w:vAlign w:val="center"/>
            <w:hideMark/>
          </w:tcPr>
          <w:p w14:paraId="73A4538B" w14:textId="77777777" w:rsidR="00571EAF" w:rsidRPr="004A694D" w:rsidRDefault="00571EAF" w:rsidP="00571EAF">
            <w:pPr>
              <w:spacing w:after="0" w:line="240" w:lineRule="auto"/>
              <w:rPr>
                <w:rFonts w:ascii="Times New Roman" w:eastAsia="Times New Roman" w:hAnsi="Times New Roman" w:cs="Times New Roman"/>
                <w:sz w:val="18"/>
                <w:szCs w:val="18"/>
              </w:rPr>
            </w:pPr>
          </w:p>
        </w:tc>
        <w:tc>
          <w:tcPr>
            <w:tcW w:w="311" w:type="pct"/>
            <w:tcBorders>
              <w:top w:val="single" w:sz="8" w:space="0" w:color="auto"/>
              <w:left w:val="nil"/>
              <w:bottom w:val="nil"/>
              <w:right w:val="single" w:sz="8" w:space="0" w:color="auto"/>
            </w:tcBorders>
            <w:shd w:val="clear" w:color="auto" w:fill="auto"/>
            <w:vAlign w:val="center"/>
            <w:hideMark/>
          </w:tcPr>
          <w:p w14:paraId="0225FC74"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Number of vulnerable families benefiting from support (10,000 families)</w:t>
            </w:r>
          </w:p>
        </w:tc>
        <w:tc>
          <w:tcPr>
            <w:tcW w:w="360" w:type="pct"/>
            <w:tcBorders>
              <w:top w:val="single" w:sz="8" w:space="0" w:color="auto"/>
              <w:left w:val="nil"/>
              <w:bottom w:val="nil"/>
              <w:right w:val="single" w:sz="8" w:space="0" w:color="auto"/>
            </w:tcBorders>
            <w:shd w:val="clear" w:color="auto" w:fill="auto"/>
            <w:vAlign w:val="center"/>
            <w:hideMark/>
          </w:tcPr>
          <w:p w14:paraId="0652927C"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Measure 1: Action Plan - Mitigating the immediate socio-economic impact of the energy crisis.</w:t>
            </w:r>
          </w:p>
        </w:tc>
        <w:tc>
          <w:tcPr>
            <w:tcW w:w="1342" w:type="pct"/>
            <w:tcBorders>
              <w:top w:val="nil"/>
              <w:left w:val="nil"/>
              <w:bottom w:val="single" w:sz="8" w:space="0" w:color="auto"/>
              <w:right w:val="single" w:sz="8" w:space="0" w:color="auto"/>
            </w:tcBorders>
            <w:shd w:val="clear" w:color="auto" w:fill="auto"/>
            <w:hideMark/>
          </w:tcPr>
          <w:p w14:paraId="28CA5633" w14:textId="77777777" w:rsidR="00571EAF" w:rsidRPr="004A694D" w:rsidRDefault="0079330E" w:rsidP="00863836">
            <w:pPr>
              <w:spacing w:after="0" w:line="240" w:lineRule="auto"/>
              <w:rPr>
                <w:rFonts w:ascii="Times New Roman" w:eastAsia="Times New Roman" w:hAnsi="Times New Roman" w:cs="Times New Roman"/>
                <w:sz w:val="18"/>
                <w:szCs w:val="18"/>
              </w:rPr>
            </w:pPr>
            <w:r>
              <w:rPr>
                <w:rFonts w:ascii="Times New Roman" w:hAnsi="Times New Roman"/>
                <w:sz w:val="18"/>
              </w:rPr>
              <w:t xml:space="preserve">It was finalized in 2023; around 20,000 families on social assistance benefited from the subsidy. </w:t>
            </w:r>
          </w:p>
        </w:tc>
      </w:tr>
      <w:tr w:rsidR="00571EAF" w:rsidRPr="004A694D" w14:paraId="6EB2E5D5" w14:textId="77777777" w:rsidTr="00B26E71">
        <w:trPr>
          <w:trHeight w:val="2175"/>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A82A70E"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V.1.7</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514F6D5F"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Supporting households by subsidizing the current month’s electricity bill based on the percentage of energy savings they have made compared to the same month of the previous year</w:t>
            </w:r>
          </w:p>
          <w:p w14:paraId="6F23B292"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47867BCE"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0D4875EA" w14:textId="5932B7A0" w:rsidR="004A694D" w:rsidRDefault="004A694D" w:rsidP="00571EAF">
            <w:pPr>
              <w:spacing w:after="0" w:line="240" w:lineRule="auto"/>
              <w:jc w:val="center"/>
              <w:rPr>
                <w:rFonts w:ascii="Times New Roman" w:eastAsia="Times New Roman" w:hAnsi="Times New Roman" w:cs="Times New Roman"/>
                <w:sz w:val="18"/>
                <w:szCs w:val="18"/>
              </w:rPr>
            </w:pPr>
          </w:p>
          <w:p w14:paraId="09BB6752" w14:textId="7577615E" w:rsidR="008D3F67" w:rsidRDefault="008D3F67" w:rsidP="00571EAF">
            <w:pPr>
              <w:spacing w:after="0" w:line="240" w:lineRule="auto"/>
              <w:jc w:val="center"/>
              <w:rPr>
                <w:rFonts w:ascii="Times New Roman" w:eastAsia="Times New Roman" w:hAnsi="Times New Roman" w:cs="Times New Roman"/>
                <w:sz w:val="18"/>
                <w:szCs w:val="18"/>
              </w:rPr>
            </w:pPr>
          </w:p>
          <w:p w14:paraId="7FDF5645" w14:textId="77777777" w:rsidR="008D3F67" w:rsidRPr="004A694D" w:rsidRDefault="008D3F67" w:rsidP="00571EAF">
            <w:pPr>
              <w:spacing w:after="0" w:line="240" w:lineRule="auto"/>
              <w:jc w:val="center"/>
              <w:rPr>
                <w:rFonts w:ascii="Times New Roman" w:eastAsia="Times New Roman" w:hAnsi="Times New Roman" w:cs="Times New Roman"/>
                <w:sz w:val="18"/>
                <w:szCs w:val="18"/>
              </w:rPr>
            </w:pPr>
          </w:p>
          <w:p w14:paraId="2FE050F3"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4B8E43EE"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2BD0F082"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tc>
        <w:tc>
          <w:tcPr>
            <w:tcW w:w="221" w:type="pct"/>
            <w:tcBorders>
              <w:top w:val="single" w:sz="8" w:space="0" w:color="auto"/>
              <w:left w:val="nil"/>
              <w:bottom w:val="single" w:sz="8" w:space="0" w:color="auto"/>
              <w:right w:val="single" w:sz="8" w:space="0" w:color="auto"/>
            </w:tcBorders>
            <w:shd w:val="clear" w:color="auto" w:fill="auto"/>
            <w:vAlign w:val="center"/>
            <w:hideMark/>
          </w:tcPr>
          <w:p w14:paraId="09A7660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32" w:type="pct"/>
            <w:tcBorders>
              <w:top w:val="single" w:sz="8" w:space="0" w:color="auto"/>
              <w:left w:val="nil"/>
              <w:bottom w:val="single" w:sz="8" w:space="0" w:color="auto"/>
              <w:right w:val="single" w:sz="8" w:space="0" w:color="auto"/>
            </w:tcBorders>
            <w:shd w:val="clear" w:color="auto" w:fill="auto"/>
            <w:vAlign w:val="center"/>
            <w:hideMark/>
          </w:tcPr>
          <w:p w14:paraId="7602A463"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single" w:sz="8" w:space="0" w:color="auto"/>
              <w:left w:val="nil"/>
              <w:bottom w:val="single" w:sz="8" w:space="0" w:color="auto"/>
              <w:right w:val="single" w:sz="8" w:space="0" w:color="auto"/>
            </w:tcBorders>
            <w:shd w:val="clear" w:color="000000" w:fill="FFFFFF"/>
            <w:vAlign w:val="center"/>
            <w:hideMark/>
          </w:tcPr>
          <w:p w14:paraId="5E69557C"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15,000,000.00 </w:t>
            </w:r>
          </w:p>
        </w:tc>
        <w:tc>
          <w:tcPr>
            <w:tcW w:w="356" w:type="pct"/>
            <w:tcBorders>
              <w:top w:val="single" w:sz="8" w:space="0" w:color="auto"/>
              <w:left w:val="nil"/>
              <w:bottom w:val="single" w:sz="8" w:space="0" w:color="auto"/>
              <w:right w:val="single" w:sz="8" w:space="0" w:color="auto"/>
            </w:tcBorders>
            <w:shd w:val="clear" w:color="auto" w:fill="auto"/>
            <w:vAlign w:val="center"/>
            <w:hideMark/>
          </w:tcPr>
          <w:p w14:paraId="0A016911"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w:t>
            </w:r>
            <w:r>
              <w:rPr>
                <w:rFonts w:ascii="Times New Roman" w:hAnsi="Times New Roman"/>
                <w:sz w:val="18"/>
              </w:rPr>
              <w:t xml:space="preserve">-   </w:t>
            </w:r>
          </w:p>
        </w:tc>
        <w:tc>
          <w:tcPr>
            <w:tcW w:w="356" w:type="pct"/>
            <w:tcBorders>
              <w:top w:val="single" w:sz="8" w:space="0" w:color="auto"/>
              <w:left w:val="nil"/>
              <w:bottom w:val="single" w:sz="8" w:space="0" w:color="auto"/>
              <w:right w:val="single" w:sz="8" w:space="0" w:color="auto"/>
            </w:tcBorders>
            <w:shd w:val="clear" w:color="auto" w:fill="auto"/>
            <w:vAlign w:val="center"/>
            <w:hideMark/>
          </w:tcPr>
          <w:p w14:paraId="73285DAE"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5" w:type="pct"/>
            <w:tcBorders>
              <w:top w:val="single" w:sz="8" w:space="0" w:color="auto"/>
              <w:left w:val="nil"/>
              <w:bottom w:val="single" w:sz="8" w:space="0" w:color="auto"/>
              <w:right w:val="single" w:sz="8" w:space="0" w:color="auto"/>
            </w:tcBorders>
            <w:shd w:val="clear" w:color="auto" w:fill="auto"/>
            <w:vAlign w:val="center"/>
            <w:hideMark/>
          </w:tcPr>
          <w:p w14:paraId="6E9ED85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EU-Funds, IPA</w:t>
            </w:r>
          </w:p>
        </w:tc>
        <w:tc>
          <w:tcPr>
            <w:tcW w:w="354" w:type="pct"/>
            <w:vMerge/>
            <w:tcBorders>
              <w:top w:val="nil"/>
              <w:left w:val="single" w:sz="8" w:space="0" w:color="auto"/>
              <w:bottom w:val="single" w:sz="8" w:space="0" w:color="000000"/>
              <w:right w:val="single" w:sz="8" w:space="0" w:color="auto"/>
            </w:tcBorders>
            <w:vAlign w:val="center"/>
            <w:hideMark/>
          </w:tcPr>
          <w:p w14:paraId="5EDF673D" w14:textId="77777777" w:rsidR="00571EAF" w:rsidRPr="004A694D" w:rsidRDefault="00571EAF" w:rsidP="00571EAF">
            <w:pPr>
              <w:spacing w:after="0" w:line="240" w:lineRule="auto"/>
              <w:rPr>
                <w:rFonts w:ascii="Times New Roman" w:eastAsia="Times New Roman" w:hAnsi="Times New Roman" w:cs="Times New Roman"/>
                <w:sz w:val="18"/>
                <w:szCs w:val="18"/>
              </w:rPr>
            </w:pPr>
          </w:p>
        </w:tc>
        <w:tc>
          <w:tcPr>
            <w:tcW w:w="311" w:type="pct"/>
            <w:tcBorders>
              <w:top w:val="single" w:sz="8" w:space="0" w:color="auto"/>
              <w:left w:val="nil"/>
              <w:bottom w:val="single" w:sz="8" w:space="0" w:color="auto"/>
              <w:right w:val="single" w:sz="8" w:space="0" w:color="auto"/>
            </w:tcBorders>
            <w:shd w:val="clear" w:color="auto" w:fill="auto"/>
            <w:vAlign w:val="center"/>
            <w:hideMark/>
          </w:tcPr>
          <w:p w14:paraId="3B8867F3" w14:textId="0EC336BE"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Number of households supported through energy-saving</w:t>
            </w:r>
          </w:p>
        </w:tc>
        <w:tc>
          <w:tcPr>
            <w:tcW w:w="360" w:type="pct"/>
            <w:tcBorders>
              <w:top w:val="single" w:sz="8" w:space="0" w:color="auto"/>
              <w:left w:val="nil"/>
              <w:bottom w:val="single" w:sz="8" w:space="0" w:color="auto"/>
              <w:right w:val="single" w:sz="8" w:space="0" w:color="auto"/>
            </w:tcBorders>
            <w:shd w:val="clear" w:color="auto" w:fill="auto"/>
            <w:vAlign w:val="center"/>
            <w:hideMark/>
          </w:tcPr>
          <w:p w14:paraId="7B08B87B"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Measure 1: Action Plan - Mitigating the immediate socio-economic impact of the energy crisis.</w:t>
            </w:r>
          </w:p>
        </w:tc>
        <w:tc>
          <w:tcPr>
            <w:tcW w:w="1342" w:type="pct"/>
            <w:tcBorders>
              <w:top w:val="nil"/>
              <w:left w:val="nil"/>
              <w:bottom w:val="single" w:sz="8" w:space="0" w:color="auto"/>
              <w:right w:val="single" w:sz="8" w:space="0" w:color="auto"/>
            </w:tcBorders>
            <w:shd w:val="clear" w:color="auto" w:fill="auto"/>
            <w:hideMark/>
          </w:tcPr>
          <w:p w14:paraId="189A3368" w14:textId="725CFB65" w:rsidR="00571EAF" w:rsidRPr="004A694D" w:rsidRDefault="00571EAF" w:rsidP="00863836">
            <w:pPr>
              <w:spacing w:after="0" w:line="240" w:lineRule="auto"/>
              <w:rPr>
                <w:rFonts w:ascii="Times New Roman" w:eastAsia="Times New Roman" w:hAnsi="Times New Roman" w:cs="Times New Roman"/>
                <w:sz w:val="18"/>
                <w:szCs w:val="18"/>
              </w:rPr>
            </w:pPr>
            <w:r>
              <w:rPr>
                <w:rFonts w:ascii="Times New Roman" w:hAnsi="Times New Roman"/>
                <w:sz w:val="18"/>
              </w:rPr>
              <w:t>It was active between October 2022 and April 2023, during which approximately 300,000 families benefited.</w:t>
            </w:r>
          </w:p>
        </w:tc>
      </w:tr>
      <w:tr w:rsidR="00571EAF" w:rsidRPr="004A694D" w14:paraId="1CDA00C9" w14:textId="77777777" w:rsidTr="00405811">
        <w:trPr>
          <w:trHeight w:val="315"/>
        </w:trPr>
        <w:tc>
          <w:tcPr>
            <w:tcW w:w="189" w:type="pct"/>
            <w:tcBorders>
              <w:top w:val="nil"/>
              <w:left w:val="single" w:sz="8" w:space="0" w:color="auto"/>
              <w:bottom w:val="single" w:sz="8" w:space="0" w:color="auto"/>
              <w:right w:val="single" w:sz="8" w:space="0" w:color="auto"/>
            </w:tcBorders>
            <w:shd w:val="clear" w:color="000000" w:fill="D9D9D9"/>
            <w:vAlign w:val="center"/>
            <w:hideMark/>
          </w:tcPr>
          <w:p w14:paraId="6028206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lastRenderedPageBreak/>
              <w:t>V.2</w:t>
            </w:r>
          </w:p>
        </w:tc>
        <w:tc>
          <w:tcPr>
            <w:tcW w:w="3469" w:type="pct"/>
            <w:gridSpan w:val="10"/>
            <w:tcBorders>
              <w:top w:val="nil"/>
              <w:left w:val="nil"/>
              <w:bottom w:val="single" w:sz="8" w:space="0" w:color="auto"/>
              <w:right w:val="single" w:sz="8" w:space="0" w:color="000000"/>
            </w:tcBorders>
            <w:shd w:val="clear" w:color="000000" w:fill="D9D9D9"/>
            <w:vAlign w:val="center"/>
            <w:hideMark/>
          </w:tcPr>
          <w:p w14:paraId="7E6FEB5A" w14:textId="77777777" w:rsidR="00571EAF" w:rsidRPr="0014539F"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Specific Objective: Empowering consumers</w:t>
            </w:r>
          </w:p>
        </w:tc>
        <w:tc>
          <w:tcPr>
            <w:tcW w:w="1342" w:type="pct"/>
            <w:tcBorders>
              <w:top w:val="nil"/>
              <w:left w:val="nil"/>
              <w:bottom w:val="nil"/>
              <w:right w:val="nil"/>
            </w:tcBorders>
            <w:shd w:val="clear" w:color="auto" w:fill="auto"/>
            <w:noWrap/>
            <w:vAlign w:val="bottom"/>
            <w:hideMark/>
          </w:tcPr>
          <w:p w14:paraId="26A4D707" w14:textId="77777777" w:rsidR="00571EAF" w:rsidRPr="0014539F" w:rsidRDefault="00571EAF" w:rsidP="00571EAF">
            <w:pPr>
              <w:spacing w:after="0" w:line="240" w:lineRule="auto"/>
              <w:jc w:val="center"/>
              <w:rPr>
                <w:rFonts w:ascii="Times New Roman" w:eastAsia="Times New Roman" w:hAnsi="Times New Roman" w:cs="Times New Roman"/>
                <w:b/>
                <w:bCs/>
                <w:sz w:val="18"/>
                <w:szCs w:val="18"/>
                <w:lang w:val="it-IT"/>
              </w:rPr>
            </w:pPr>
          </w:p>
        </w:tc>
      </w:tr>
      <w:tr w:rsidR="00571EAF" w:rsidRPr="004A694D" w14:paraId="69823EF3" w14:textId="77777777" w:rsidTr="00570FE8">
        <w:trPr>
          <w:trHeight w:val="925"/>
        </w:trPr>
        <w:tc>
          <w:tcPr>
            <w:tcW w:w="189" w:type="pct"/>
            <w:tcBorders>
              <w:top w:val="nil"/>
              <w:left w:val="single" w:sz="8" w:space="0" w:color="auto"/>
              <w:bottom w:val="single" w:sz="8" w:space="0" w:color="auto"/>
              <w:right w:val="single" w:sz="8" w:space="0" w:color="auto"/>
            </w:tcBorders>
            <w:shd w:val="clear" w:color="000000" w:fill="D0CECE"/>
            <w:vAlign w:val="center"/>
            <w:hideMark/>
          </w:tcPr>
          <w:p w14:paraId="725CDF4E" w14:textId="77777777" w:rsidR="00571EAF" w:rsidRPr="0014539F"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468" w:type="pct"/>
            <w:tcBorders>
              <w:top w:val="nil"/>
              <w:left w:val="nil"/>
              <w:bottom w:val="single" w:sz="8" w:space="0" w:color="auto"/>
              <w:right w:val="single" w:sz="8" w:space="0" w:color="auto"/>
            </w:tcBorders>
            <w:shd w:val="clear" w:color="000000" w:fill="D0CECE"/>
            <w:vAlign w:val="center"/>
            <w:hideMark/>
          </w:tcPr>
          <w:p w14:paraId="6FEFADB1"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09" w:type="pct"/>
            <w:gridSpan w:val="3"/>
            <w:tcBorders>
              <w:top w:val="single" w:sz="8" w:space="0" w:color="auto"/>
              <w:left w:val="nil"/>
              <w:bottom w:val="single" w:sz="8" w:space="0" w:color="auto"/>
              <w:right w:val="nil"/>
            </w:tcBorders>
            <w:shd w:val="clear" w:color="000000" w:fill="D9D9D9"/>
            <w:vAlign w:val="center"/>
            <w:hideMark/>
          </w:tcPr>
          <w:p w14:paraId="58E750F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712" w:type="pct"/>
            <w:gridSpan w:val="2"/>
            <w:tcBorders>
              <w:top w:val="single" w:sz="8" w:space="0" w:color="auto"/>
              <w:left w:val="single" w:sz="8" w:space="0" w:color="auto"/>
              <w:bottom w:val="single" w:sz="8" w:space="0" w:color="auto"/>
              <w:right w:val="nil"/>
            </w:tcBorders>
            <w:shd w:val="clear" w:color="000000" w:fill="D9D9D9"/>
            <w:vAlign w:val="center"/>
            <w:hideMark/>
          </w:tcPr>
          <w:p w14:paraId="3D1A02B3"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355" w:type="pct"/>
            <w:tcBorders>
              <w:top w:val="nil"/>
              <w:left w:val="single" w:sz="8" w:space="0" w:color="auto"/>
              <w:bottom w:val="single" w:sz="8" w:space="0" w:color="auto"/>
              <w:right w:val="single" w:sz="8" w:space="0" w:color="auto"/>
            </w:tcBorders>
            <w:shd w:val="clear" w:color="000000" w:fill="D9D9D9"/>
            <w:vAlign w:val="center"/>
            <w:hideMark/>
          </w:tcPr>
          <w:p w14:paraId="29E6673E"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025" w:type="pct"/>
            <w:gridSpan w:val="3"/>
            <w:tcBorders>
              <w:top w:val="single" w:sz="8" w:space="0" w:color="auto"/>
              <w:left w:val="nil"/>
              <w:bottom w:val="single" w:sz="8" w:space="0" w:color="auto"/>
              <w:right w:val="single" w:sz="8" w:space="0" w:color="000000"/>
            </w:tcBorders>
            <w:shd w:val="clear" w:color="000000" w:fill="D9D9D9"/>
            <w:vAlign w:val="center"/>
            <w:hideMark/>
          </w:tcPr>
          <w:p w14:paraId="071383AD"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1342" w:type="pct"/>
            <w:tcBorders>
              <w:top w:val="nil"/>
              <w:left w:val="nil"/>
              <w:bottom w:val="nil"/>
              <w:right w:val="nil"/>
            </w:tcBorders>
            <w:shd w:val="clear" w:color="auto" w:fill="auto"/>
            <w:noWrap/>
            <w:vAlign w:val="bottom"/>
            <w:hideMark/>
          </w:tcPr>
          <w:p w14:paraId="12AF48A3"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4A694D" w14:paraId="0BAC2207" w14:textId="77777777" w:rsidTr="00897969">
        <w:trPr>
          <w:trHeight w:val="735"/>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4B5D0C9"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68" w:type="pct"/>
            <w:tcBorders>
              <w:top w:val="nil"/>
              <w:left w:val="nil"/>
              <w:bottom w:val="single" w:sz="8" w:space="0" w:color="auto"/>
              <w:right w:val="single" w:sz="8" w:space="0" w:color="auto"/>
            </w:tcBorders>
            <w:shd w:val="clear" w:color="auto" w:fill="auto"/>
            <w:vAlign w:val="center"/>
            <w:hideMark/>
          </w:tcPr>
          <w:p w14:paraId="0E178710"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Implementation of energy awareness-raising and information campaigns</w:t>
            </w:r>
          </w:p>
        </w:tc>
        <w:tc>
          <w:tcPr>
            <w:tcW w:w="909" w:type="pct"/>
            <w:gridSpan w:val="3"/>
            <w:tcBorders>
              <w:top w:val="single" w:sz="8" w:space="0" w:color="auto"/>
              <w:left w:val="nil"/>
              <w:bottom w:val="single" w:sz="8" w:space="0" w:color="auto"/>
              <w:right w:val="single" w:sz="8" w:space="0" w:color="000000"/>
            </w:tcBorders>
            <w:shd w:val="clear" w:color="auto" w:fill="auto"/>
            <w:vAlign w:val="center"/>
            <w:hideMark/>
          </w:tcPr>
          <w:p w14:paraId="37A534B3"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6 [2021]</w:t>
            </w:r>
          </w:p>
        </w:tc>
        <w:tc>
          <w:tcPr>
            <w:tcW w:w="712" w:type="pct"/>
            <w:gridSpan w:val="2"/>
            <w:tcBorders>
              <w:top w:val="single" w:sz="8" w:space="0" w:color="auto"/>
              <w:left w:val="nil"/>
              <w:bottom w:val="single" w:sz="8" w:space="0" w:color="auto"/>
              <w:right w:val="single" w:sz="8" w:space="0" w:color="000000"/>
            </w:tcBorders>
            <w:shd w:val="clear" w:color="auto" w:fill="auto"/>
            <w:vAlign w:val="center"/>
            <w:hideMark/>
          </w:tcPr>
          <w:p w14:paraId="57E3803B"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9 per year</w:t>
            </w:r>
          </w:p>
        </w:tc>
        <w:tc>
          <w:tcPr>
            <w:tcW w:w="355" w:type="pct"/>
            <w:tcBorders>
              <w:top w:val="nil"/>
              <w:left w:val="nil"/>
              <w:bottom w:val="single" w:sz="8" w:space="0" w:color="auto"/>
              <w:right w:val="single" w:sz="8" w:space="0" w:color="auto"/>
            </w:tcBorders>
            <w:shd w:val="clear" w:color="auto" w:fill="auto"/>
            <w:vAlign w:val="center"/>
            <w:hideMark/>
          </w:tcPr>
          <w:p w14:paraId="4DBB4308"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9 per year</w:t>
            </w:r>
          </w:p>
        </w:tc>
        <w:tc>
          <w:tcPr>
            <w:tcW w:w="1025" w:type="pct"/>
            <w:gridSpan w:val="3"/>
            <w:tcBorders>
              <w:top w:val="single" w:sz="8" w:space="0" w:color="auto"/>
              <w:left w:val="nil"/>
              <w:bottom w:val="single" w:sz="8" w:space="0" w:color="auto"/>
              <w:right w:val="single" w:sz="8" w:space="0" w:color="000000"/>
            </w:tcBorders>
            <w:shd w:val="clear" w:color="auto" w:fill="auto"/>
            <w:vAlign w:val="center"/>
            <w:hideMark/>
          </w:tcPr>
          <w:p w14:paraId="24075D74" w14:textId="02424458" w:rsidR="00571EAF" w:rsidRPr="00570FE8" w:rsidRDefault="00C94CCB" w:rsidP="00570FE8">
            <w:pPr>
              <w:spacing w:after="0" w:line="240" w:lineRule="auto"/>
              <w:jc w:val="both"/>
              <w:rPr>
                <w:rFonts w:ascii="Times New Roman" w:eastAsia="Times New Roman" w:hAnsi="Times New Roman" w:cs="Times New Roman"/>
                <w:sz w:val="18"/>
                <w:szCs w:val="18"/>
                <w:highlight w:val="yellow"/>
              </w:rPr>
            </w:pPr>
            <w:r>
              <w:rPr>
                <w:rFonts w:ascii="Times New Roman" w:hAnsi="Times New Roman"/>
                <w:sz w:val="18"/>
              </w:rPr>
              <w:t>17 (2024)</w:t>
            </w:r>
          </w:p>
        </w:tc>
        <w:tc>
          <w:tcPr>
            <w:tcW w:w="1342" w:type="pct"/>
            <w:tcBorders>
              <w:top w:val="nil"/>
              <w:left w:val="nil"/>
              <w:bottom w:val="nil"/>
              <w:right w:val="nil"/>
            </w:tcBorders>
            <w:shd w:val="clear" w:color="auto" w:fill="auto"/>
            <w:noWrap/>
            <w:vAlign w:val="bottom"/>
          </w:tcPr>
          <w:p w14:paraId="4998F2EC" w14:textId="1A72AC38" w:rsidR="00571EAF" w:rsidRPr="007833F1" w:rsidRDefault="00571EAF" w:rsidP="00622AD4">
            <w:pPr>
              <w:spacing w:after="0" w:line="240" w:lineRule="auto"/>
              <w:rPr>
                <w:rFonts w:ascii="Times New Roman" w:eastAsia="Times New Roman" w:hAnsi="Times New Roman" w:cs="Times New Roman"/>
                <w:color w:val="FF0000"/>
                <w:sz w:val="18"/>
                <w:szCs w:val="18"/>
                <w:highlight w:val="yellow"/>
              </w:rPr>
            </w:pPr>
          </w:p>
        </w:tc>
      </w:tr>
      <w:tr w:rsidR="00571EAF" w:rsidRPr="004A694D" w14:paraId="0CEB2C89" w14:textId="77777777" w:rsidTr="00B26E71">
        <w:trPr>
          <w:trHeight w:val="1215"/>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65A2154C"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w:t>
            </w:r>
          </w:p>
        </w:tc>
        <w:tc>
          <w:tcPr>
            <w:tcW w:w="468" w:type="pct"/>
            <w:tcBorders>
              <w:top w:val="nil"/>
              <w:left w:val="nil"/>
              <w:bottom w:val="single" w:sz="8" w:space="0" w:color="auto"/>
              <w:right w:val="single" w:sz="8" w:space="0" w:color="auto"/>
            </w:tcBorders>
            <w:shd w:val="clear" w:color="auto" w:fill="auto"/>
            <w:vAlign w:val="center"/>
            <w:hideMark/>
          </w:tcPr>
          <w:p w14:paraId="1617EBA3"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Diversity and comparability of services</w:t>
            </w:r>
            <w:r>
              <w:rPr>
                <w:rFonts w:ascii="Times New Roman" w:hAnsi="Times New Roman"/>
                <w:sz w:val="18"/>
              </w:rPr>
              <w:br/>
              <w:t>provided to consumers</w:t>
            </w:r>
          </w:p>
        </w:tc>
        <w:tc>
          <w:tcPr>
            <w:tcW w:w="909" w:type="pct"/>
            <w:gridSpan w:val="3"/>
            <w:tcBorders>
              <w:top w:val="single" w:sz="8" w:space="0" w:color="auto"/>
              <w:left w:val="nil"/>
              <w:bottom w:val="single" w:sz="8" w:space="0" w:color="auto"/>
              <w:right w:val="single" w:sz="8" w:space="0" w:color="000000"/>
            </w:tcBorders>
            <w:shd w:val="clear" w:color="auto" w:fill="auto"/>
            <w:vAlign w:val="center"/>
            <w:hideMark/>
          </w:tcPr>
          <w:p w14:paraId="2EB79CB0"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There are no </w:t>
            </w:r>
            <w:r>
              <w:rPr>
                <w:rFonts w:ascii="Times New Roman" w:hAnsi="Times New Roman"/>
                <w:sz w:val="18"/>
              </w:rPr>
              <w:br/>
              <w:t>offers available</w:t>
            </w:r>
          </w:p>
        </w:tc>
        <w:tc>
          <w:tcPr>
            <w:tcW w:w="712" w:type="pct"/>
            <w:gridSpan w:val="2"/>
            <w:tcBorders>
              <w:top w:val="single" w:sz="8" w:space="0" w:color="auto"/>
              <w:left w:val="nil"/>
              <w:bottom w:val="single" w:sz="8" w:space="0" w:color="auto"/>
              <w:right w:val="single" w:sz="8" w:space="0" w:color="000000"/>
            </w:tcBorders>
            <w:shd w:val="clear" w:color="auto" w:fill="auto"/>
            <w:vAlign w:val="center"/>
            <w:hideMark/>
          </w:tcPr>
          <w:p w14:paraId="5502E8EC" w14:textId="4877D73A"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Launching the Price Comparison </w:t>
            </w:r>
            <w:r>
              <w:rPr>
                <w:rFonts w:ascii="Times New Roman" w:hAnsi="Times New Roman"/>
                <w:sz w:val="18"/>
              </w:rPr>
              <w:br/>
              <w:t>Tool.</w:t>
            </w:r>
          </w:p>
        </w:tc>
        <w:tc>
          <w:tcPr>
            <w:tcW w:w="355" w:type="pct"/>
            <w:tcBorders>
              <w:top w:val="nil"/>
              <w:left w:val="nil"/>
              <w:bottom w:val="single" w:sz="8" w:space="0" w:color="auto"/>
              <w:right w:val="single" w:sz="8" w:space="0" w:color="auto"/>
            </w:tcBorders>
            <w:shd w:val="clear" w:color="auto" w:fill="auto"/>
            <w:vAlign w:val="center"/>
            <w:hideMark/>
          </w:tcPr>
          <w:p w14:paraId="6BAE8F88"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br/>
              <w:t xml:space="preserve">Alternative offers available to </w:t>
            </w:r>
            <w:r>
              <w:rPr>
                <w:rFonts w:ascii="Times New Roman" w:hAnsi="Times New Roman"/>
                <w:sz w:val="18"/>
              </w:rPr>
              <w:br/>
              <w:t>all customers</w:t>
            </w:r>
          </w:p>
        </w:tc>
        <w:tc>
          <w:tcPr>
            <w:tcW w:w="1025" w:type="pct"/>
            <w:gridSpan w:val="3"/>
            <w:tcBorders>
              <w:top w:val="single" w:sz="8" w:space="0" w:color="auto"/>
              <w:left w:val="nil"/>
              <w:bottom w:val="single" w:sz="8" w:space="0" w:color="auto"/>
              <w:right w:val="single" w:sz="8" w:space="0" w:color="000000"/>
            </w:tcBorders>
            <w:shd w:val="clear" w:color="000000" w:fill="FFFFFF"/>
            <w:vAlign w:val="center"/>
            <w:hideMark/>
          </w:tcPr>
          <w:p w14:paraId="22C54088"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1342" w:type="pct"/>
            <w:tcBorders>
              <w:top w:val="nil"/>
              <w:left w:val="nil"/>
              <w:bottom w:val="nil"/>
              <w:right w:val="nil"/>
            </w:tcBorders>
            <w:shd w:val="clear" w:color="auto" w:fill="auto"/>
            <w:noWrap/>
            <w:vAlign w:val="bottom"/>
            <w:hideMark/>
          </w:tcPr>
          <w:p w14:paraId="04495915" w14:textId="77777777" w:rsidR="00571EAF" w:rsidRPr="006D6D77" w:rsidRDefault="00571EAF" w:rsidP="00571EAF">
            <w:pPr>
              <w:spacing w:after="0" w:line="240" w:lineRule="auto"/>
              <w:jc w:val="center"/>
              <w:rPr>
                <w:rFonts w:ascii="Times New Roman" w:eastAsia="Times New Roman" w:hAnsi="Times New Roman" w:cs="Times New Roman"/>
                <w:color w:val="FF0000"/>
                <w:sz w:val="18"/>
                <w:szCs w:val="18"/>
              </w:rPr>
            </w:pPr>
          </w:p>
        </w:tc>
      </w:tr>
      <w:tr w:rsidR="00571EAF" w:rsidRPr="004A694D" w14:paraId="56C347EF" w14:textId="77777777" w:rsidTr="00B26E71">
        <w:trPr>
          <w:trHeight w:val="315"/>
        </w:trPr>
        <w:tc>
          <w:tcPr>
            <w:tcW w:w="1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5183633"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No.</w:t>
            </w:r>
          </w:p>
        </w:tc>
        <w:tc>
          <w:tcPr>
            <w:tcW w:w="46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CE3FF5E"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2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1C8A5DE"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400" w:type="pct"/>
            <w:gridSpan w:val="4"/>
            <w:tcBorders>
              <w:top w:val="single" w:sz="8" w:space="0" w:color="auto"/>
              <w:left w:val="nil"/>
              <w:bottom w:val="single" w:sz="8" w:space="0" w:color="auto"/>
              <w:right w:val="single" w:sz="8" w:space="0" w:color="000000"/>
            </w:tcBorders>
            <w:shd w:val="clear" w:color="000000" w:fill="D9D9D9"/>
            <w:vAlign w:val="center"/>
            <w:hideMark/>
          </w:tcPr>
          <w:p w14:paraId="19902512"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35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9EADAD6"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35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1DA1F8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31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7F86B70"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6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03E8905"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134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A1B5CC9" w14:textId="77777777" w:rsidR="00571EAF" w:rsidRPr="004A694D" w:rsidRDefault="00571EAF" w:rsidP="005D6B3A">
            <w:pPr>
              <w:spacing w:after="0" w:line="240" w:lineRule="auto"/>
              <w:jc w:val="center"/>
              <w:rPr>
                <w:rFonts w:ascii="Times New Roman" w:eastAsia="Times New Roman" w:hAnsi="Times New Roman" w:cs="Times New Roman"/>
                <w:b/>
                <w:bCs/>
              </w:rPr>
            </w:pPr>
            <w:r>
              <w:rPr>
                <w:rFonts w:ascii="Times New Roman" w:hAnsi="Times New Roman"/>
                <w:b/>
              </w:rPr>
              <w:t>Implementation progress for 2024</w:t>
            </w:r>
          </w:p>
        </w:tc>
      </w:tr>
      <w:tr w:rsidR="00571EAF" w:rsidRPr="004A694D" w14:paraId="717AD19C" w14:textId="77777777" w:rsidTr="00B26E71">
        <w:trPr>
          <w:trHeight w:val="300"/>
        </w:trPr>
        <w:tc>
          <w:tcPr>
            <w:tcW w:w="189" w:type="pct"/>
            <w:vMerge/>
            <w:tcBorders>
              <w:top w:val="nil"/>
              <w:left w:val="single" w:sz="8" w:space="0" w:color="auto"/>
              <w:bottom w:val="single" w:sz="8" w:space="0" w:color="000000"/>
              <w:right w:val="single" w:sz="8" w:space="0" w:color="auto"/>
            </w:tcBorders>
            <w:vAlign w:val="center"/>
            <w:hideMark/>
          </w:tcPr>
          <w:p w14:paraId="1CAB8F84"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468" w:type="pct"/>
            <w:vMerge/>
            <w:tcBorders>
              <w:top w:val="nil"/>
              <w:left w:val="single" w:sz="8" w:space="0" w:color="auto"/>
              <w:bottom w:val="single" w:sz="8" w:space="0" w:color="000000"/>
              <w:right w:val="single" w:sz="8" w:space="0" w:color="auto"/>
            </w:tcBorders>
            <w:vAlign w:val="center"/>
            <w:hideMark/>
          </w:tcPr>
          <w:p w14:paraId="7CAD7FCF"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221" w:type="pct"/>
            <w:vMerge/>
            <w:tcBorders>
              <w:top w:val="nil"/>
              <w:left w:val="single" w:sz="8" w:space="0" w:color="auto"/>
              <w:bottom w:val="single" w:sz="8" w:space="0" w:color="000000"/>
              <w:right w:val="single" w:sz="8" w:space="0" w:color="auto"/>
            </w:tcBorders>
            <w:vAlign w:val="center"/>
            <w:hideMark/>
          </w:tcPr>
          <w:p w14:paraId="270D25A2"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32" w:type="pct"/>
            <w:tcBorders>
              <w:top w:val="nil"/>
              <w:left w:val="nil"/>
              <w:bottom w:val="nil"/>
              <w:right w:val="single" w:sz="8" w:space="0" w:color="auto"/>
            </w:tcBorders>
            <w:shd w:val="clear" w:color="000000" w:fill="D9D9D9"/>
            <w:vAlign w:val="center"/>
            <w:hideMark/>
          </w:tcPr>
          <w:p w14:paraId="3E696E06"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6DAEC28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6469B9E4"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470D3B9D"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5" w:type="pct"/>
            <w:vMerge/>
            <w:tcBorders>
              <w:top w:val="nil"/>
              <w:left w:val="single" w:sz="8" w:space="0" w:color="auto"/>
              <w:bottom w:val="single" w:sz="8" w:space="0" w:color="000000"/>
              <w:right w:val="single" w:sz="8" w:space="0" w:color="auto"/>
            </w:tcBorders>
            <w:vAlign w:val="center"/>
            <w:hideMark/>
          </w:tcPr>
          <w:p w14:paraId="61B4E36E"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54" w:type="pct"/>
            <w:vMerge/>
            <w:tcBorders>
              <w:top w:val="nil"/>
              <w:left w:val="single" w:sz="8" w:space="0" w:color="auto"/>
              <w:bottom w:val="single" w:sz="8" w:space="0" w:color="000000"/>
              <w:right w:val="single" w:sz="8" w:space="0" w:color="auto"/>
            </w:tcBorders>
            <w:vAlign w:val="center"/>
            <w:hideMark/>
          </w:tcPr>
          <w:p w14:paraId="7385D44A"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nil"/>
              <w:left w:val="single" w:sz="8" w:space="0" w:color="auto"/>
              <w:bottom w:val="single" w:sz="8" w:space="0" w:color="000000"/>
              <w:right w:val="single" w:sz="8" w:space="0" w:color="auto"/>
            </w:tcBorders>
            <w:vAlign w:val="center"/>
            <w:hideMark/>
          </w:tcPr>
          <w:p w14:paraId="702E1936"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14:paraId="338A100C"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1342" w:type="pct"/>
            <w:vMerge/>
            <w:tcBorders>
              <w:top w:val="single" w:sz="8" w:space="0" w:color="auto"/>
              <w:left w:val="single" w:sz="8" w:space="0" w:color="auto"/>
              <w:bottom w:val="single" w:sz="8" w:space="0" w:color="000000"/>
              <w:right w:val="single" w:sz="8" w:space="0" w:color="auto"/>
            </w:tcBorders>
            <w:vAlign w:val="center"/>
            <w:hideMark/>
          </w:tcPr>
          <w:p w14:paraId="529677B2" w14:textId="77777777" w:rsidR="00571EAF" w:rsidRPr="004A694D" w:rsidRDefault="00571EAF" w:rsidP="00571EAF">
            <w:pPr>
              <w:spacing w:after="0" w:line="240" w:lineRule="auto"/>
              <w:rPr>
                <w:rFonts w:ascii="Times New Roman" w:eastAsia="Times New Roman" w:hAnsi="Times New Roman" w:cs="Times New Roman"/>
                <w:b/>
                <w:bCs/>
              </w:rPr>
            </w:pPr>
          </w:p>
        </w:tc>
      </w:tr>
      <w:tr w:rsidR="00571EAF" w:rsidRPr="004A694D" w14:paraId="6E472CD5" w14:textId="77777777" w:rsidTr="00B26E71">
        <w:trPr>
          <w:trHeight w:val="315"/>
        </w:trPr>
        <w:tc>
          <w:tcPr>
            <w:tcW w:w="189" w:type="pct"/>
            <w:vMerge/>
            <w:tcBorders>
              <w:top w:val="nil"/>
              <w:left w:val="single" w:sz="8" w:space="0" w:color="auto"/>
              <w:bottom w:val="single" w:sz="8" w:space="0" w:color="000000"/>
              <w:right w:val="single" w:sz="8" w:space="0" w:color="auto"/>
            </w:tcBorders>
            <w:vAlign w:val="center"/>
            <w:hideMark/>
          </w:tcPr>
          <w:p w14:paraId="0FC847BC"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468" w:type="pct"/>
            <w:vMerge/>
            <w:tcBorders>
              <w:top w:val="nil"/>
              <w:left w:val="single" w:sz="8" w:space="0" w:color="auto"/>
              <w:bottom w:val="single" w:sz="8" w:space="0" w:color="000000"/>
              <w:right w:val="single" w:sz="8" w:space="0" w:color="auto"/>
            </w:tcBorders>
            <w:vAlign w:val="center"/>
            <w:hideMark/>
          </w:tcPr>
          <w:p w14:paraId="1174A6BB"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221" w:type="pct"/>
            <w:vMerge/>
            <w:tcBorders>
              <w:top w:val="nil"/>
              <w:left w:val="single" w:sz="8" w:space="0" w:color="auto"/>
              <w:bottom w:val="single" w:sz="8" w:space="0" w:color="000000"/>
              <w:right w:val="single" w:sz="8" w:space="0" w:color="auto"/>
            </w:tcBorders>
            <w:vAlign w:val="center"/>
            <w:hideMark/>
          </w:tcPr>
          <w:p w14:paraId="432D0696"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32" w:type="pct"/>
            <w:tcBorders>
              <w:top w:val="nil"/>
              <w:left w:val="nil"/>
              <w:bottom w:val="single" w:sz="8" w:space="0" w:color="auto"/>
              <w:right w:val="single" w:sz="8" w:space="0" w:color="auto"/>
            </w:tcBorders>
            <w:shd w:val="clear" w:color="000000" w:fill="D9D9D9"/>
            <w:vAlign w:val="center"/>
            <w:hideMark/>
          </w:tcPr>
          <w:p w14:paraId="31627A3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356" w:type="pct"/>
            <w:tcBorders>
              <w:top w:val="nil"/>
              <w:left w:val="nil"/>
              <w:bottom w:val="single" w:sz="8" w:space="0" w:color="auto"/>
              <w:right w:val="single" w:sz="8" w:space="0" w:color="auto"/>
            </w:tcBorders>
            <w:shd w:val="clear" w:color="000000" w:fill="D9D9D9"/>
            <w:vAlign w:val="center"/>
            <w:hideMark/>
          </w:tcPr>
          <w:p w14:paraId="29F85685"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356" w:type="pct"/>
            <w:tcBorders>
              <w:top w:val="nil"/>
              <w:left w:val="nil"/>
              <w:bottom w:val="single" w:sz="8" w:space="0" w:color="auto"/>
              <w:right w:val="single" w:sz="8" w:space="0" w:color="auto"/>
            </w:tcBorders>
            <w:shd w:val="clear" w:color="000000" w:fill="D9D9D9"/>
            <w:vAlign w:val="center"/>
            <w:hideMark/>
          </w:tcPr>
          <w:p w14:paraId="371BF66C"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2024</w:t>
            </w:r>
          </w:p>
        </w:tc>
        <w:tc>
          <w:tcPr>
            <w:tcW w:w="356" w:type="pct"/>
            <w:tcBorders>
              <w:top w:val="nil"/>
              <w:left w:val="nil"/>
              <w:bottom w:val="single" w:sz="8" w:space="0" w:color="auto"/>
              <w:right w:val="single" w:sz="8" w:space="0" w:color="auto"/>
            </w:tcBorders>
            <w:shd w:val="clear" w:color="000000" w:fill="D9D9D9"/>
            <w:vAlign w:val="center"/>
            <w:hideMark/>
          </w:tcPr>
          <w:p w14:paraId="46C9595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55" w:type="pct"/>
            <w:vMerge/>
            <w:tcBorders>
              <w:top w:val="nil"/>
              <w:left w:val="single" w:sz="8" w:space="0" w:color="auto"/>
              <w:bottom w:val="single" w:sz="8" w:space="0" w:color="000000"/>
              <w:right w:val="single" w:sz="8" w:space="0" w:color="auto"/>
            </w:tcBorders>
            <w:vAlign w:val="center"/>
            <w:hideMark/>
          </w:tcPr>
          <w:p w14:paraId="35760D3E"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54" w:type="pct"/>
            <w:vMerge/>
            <w:tcBorders>
              <w:top w:val="nil"/>
              <w:left w:val="single" w:sz="8" w:space="0" w:color="auto"/>
              <w:bottom w:val="single" w:sz="8" w:space="0" w:color="000000"/>
              <w:right w:val="single" w:sz="8" w:space="0" w:color="auto"/>
            </w:tcBorders>
            <w:vAlign w:val="center"/>
            <w:hideMark/>
          </w:tcPr>
          <w:p w14:paraId="0CE6CFCE"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nil"/>
              <w:left w:val="single" w:sz="8" w:space="0" w:color="auto"/>
              <w:bottom w:val="single" w:sz="8" w:space="0" w:color="000000"/>
              <w:right w:val="single" w:sz="8" w:space="0" w:color="auto"/>
            </w:tcBorders>
            <w:vAlign w:val="center"/>
            <w:hideMark/>
          </w:tcPr>
          <w:p w14:paraId="0DBEC1DE"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14:paraId="6A2025AE"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1342" w:type="pct"/>
            <w:vMerge/>
            <w:tcBorders>
              <w:top w:val="single" w:sz="8" w:space="0" w:color="auto"/>
              <w:left w:val="single" w:sz="8" w:space="0" w:color="auto"/>
              <w:bottom w:val="single" w:sz="8" w:space="0" w:color="000000"/>
              <w:right w:val="single" w:sz="8" w:space="0" w:color="auto"/>
            </w:tcBorders>
            <w:vAlign w:val="center"/>
            <w:hideMark/>
          </w:tcPr>
          <w:p w14:paraId="6E5281B7" w14:textId="77777777" w:rsidR="00571EAF" w:rsidRPr="004A694D" w:rsidRDefault="00571EAF" w:rsidP="00571EAF">
            <w:pPr>
              <w:spacing w:after="0" w:line="240" w:lineRule="auto"/>
              <w:rPr>
                <w:rFonts w:ascii="Times New Roman" w:eastAsia="Times New Roman" w:hAnsi="Times New Roman" w:cs="Times New Roman"/>
                <w:b/>
                <w:bCs/>
              </w:rPr>
            </w:pPr>
          </w:p>
        </w:tc>
      </w:tr>
      <w:tr w:rsidR="00571EAF" w:rsidRPr="004A694D" w14:paraId="44F144EF" w14:textId="77777777" w:rsidTr="00B26E71">
        <w:trPr>
          <w:trHeight w:val="1455"/>
        </w:trPr>
        <w:tc>
          <w:tcPr>
            <w:tcW w:w="189" w:type="pct"/>
            <w:tcBorders>
              <w:top w:val="nil"/>
              <w:left w:val="single" w:sz="8" w:space="0" w:color="auto"/>
              <w:bottom w:val="single" w:sz="8" w:space="0" w:color="auto"/>
              <w:right w:val="single" w:sz="8" w:space="0" w:color="auto"/>
            </w:tcBorders>
            <w:shd w:val="clear" w:color="000000" w:fill="FFFFFF"/>
            <w:vAlign w:val="center"/>
            <w:hideMark/>
          </w:tcPr>
          <w:p w14:paraId="3B8FE230"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V.2.1</w:t>
            </w:r>
          </w:p>
        </w:tc>
        <w:tc>
          <w:tcPr>
            <w:tcW w:w="468" w:type="pct"/>
            <w:tcBorders>
              <w:top w:val="nil"/>
              <w:left w:val="nil"/>
              <w:bottom w:val="single" w:sz="8" w:space="0" w:color="auto"/>
              <w:right w:val="single" w:sz="8" w:space="0" w:color="auto"/>
            </w:tcBorders>
            <w:shd w:val="clear" w:color="000000" w:fill="FFFFFF"/>
            <w:vAlign w:val="center"/>
            <w:hideMark/>
          </w:tcPr>
          <w:p w14:paraId="19E51A31"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Drafting legislation on the Price Comparison Tool, with detailed guidelines on the information to be provided in the Tool</w:t>
            </w:r>
          </w:p>
        </w:tc>
        <w:tc>
          <w:tcPr>
            <w:tcW w:w="221" w:type="pct"/>
            <w:tcBorders>
              <w:top w:val="nil"/>
              <w:left w:val="nil"/>
              <w:bottom w:val="single" w:sz="8" w:space="0" w:color="auto"/>
              <w:right w:val="single" w:sz="8" w:space="0" w:color="auto"/>
            </w:tcBorders>
            <w:shd w:val="clear" w:color="000000" w:fill="FFFFFF"/>
            <w:vAlign w:val="center"/>
            <w:hideMark/>
          </w:tcPr>
          <w:p w14:paraId="052A799C"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32" w:type="pct"/>
            <w:tcBorders>
              <w:top w:val="nil"/>
              <w:left w:val="nil"/>
              <w:bottom w:val="single" w:sz="8" w:space="0" w:color="auto"/>
              <w:right w:val="single" w:sz="8" w:space="0" w:color="auto"/>
            </w:tcBorders>
            <w:shd w:val="clear" w:color="000000" w:fill="FFFFFF"/>
            <w:vAlign w:val="center"/>
            <w:hideMark/>
          </w:tcPr>
          <w:p w14:paraId="498804CD"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nil"/>
              <w:left w:val="nil"/>
              <w:bottom w:val="single" w:sz="8" w:space="0" w:color="auto"/>
              <w:right w:val="single" w:sz="8" w:space="0" w:color="auto"/>
            </w:tcBorders>
            <w:shd w:val="clear" w:color="000000" w:fill="FFFFFF"/>
            <w:vAlign w:val="center"/>
            <w:hideMark/>
          </w:tcPr>
          <w:p w14:paraId="022D0FFB"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20,000.00 </w:t>
            </w:r>
          </w:p>
        </w:tc>
        <w:tc>
          <w:tcPr>
            <w:tcW w:w="356" w:type="pct"/>
            <w:tcBorders>
              <w:top w:val="nil"/>
              <w:left w:val="nil"/>
              <w:bottom w:val="single" w:sz="8" w:space="0" w:color="auto"/>
              <w:right w:val="single" w:sz="8" w:space="0" w:color="auto"/>
            </w:tcBorders>
            <w:shd w:val="clear" w:color="000000" w:fill="FFFFFF"/>
            <w:vAlign w:val="center"/>
            <w:hideMark/>
          </w:tcPr>
          <w:p w14:paraId="15CACC0E"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nil"/>
              <w:left w:val="nil"/>
              <w:bottom w:val="single" w:sz="8" w:space="0" w:color="auto"/>
              <w:right w:val="single" w:sz="8" w:space="0" w:color="auto"/>
            </w:tcBorders>
            <w:shd w:val="clear" w:color="000000" w:fill="FFFFFF"/>
            <w:vAlign w:val="center"/>
            <w:hideMark/>
          </w:tcPr>
          <w:p w14:paraId="2002ED96"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5" w:type="pct"/>
            <w:tcBorders>
              <w:top w:val="nil"/>
              <w:left w:val="nil"/>
              <w:bottom w:val="single" w:sz="8" w:space="0" w:color="auto"/>
              <w:right w:val="single" w:sz="8" w:space="0" w:color="auto"/>
            </w:tcBorders>
            <w:shd w:val="clear" w:color="000000" w:fill="FFFFFF"/>
            <w:vAlign w:val="center"/>
            <w:hideMark/>
          </w:tcPr>
          <w:p w14:paraId="2B615C53"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Donors</w:t>
            </w:r>
          </w:p>
        </w:tc>
        <w:tc>
          <w:tcPr>
            <w:tcW w:w="354" w:type="pct"/>
            <w:tcBorders>
              <w:top w:val="nil"/>
              <w:left w:val="nil"/>
              <w:bottom w:val="single" w:sz="8" w:space="0" w:color="auto"/>
              <w:right w:val="single" w:sz="8" w:space="0" w:color="auto"/>
            </w:tcBorders>
            <w:shd w:val="clear" w:color="000000" w:fill="FFFFFF"/>
            <w:vAlign w:val="center"/>
            <w:hideMark/>
          </w:tcPr>
          <w:p w14:paraId="511FA4E8"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ERO</w:t>
            </w:r>
          </w:p>
        </w:tc>
        <w:tc>
          <w:tcPr>
            <w:tcW w:w="311" w:type="pct"/>
            <w:tcBorders>
              <w:top w:val="nil"/>
              <w:left w:val="nil"/>
              <w:bottom w:val="single" w:sz="8" w:space="0" w:color="auto"/>
              <w:right w:val="single" w:sz="8" w:space="0" w:color="auto"/>
            </w:tcBorders>
            <w:shd w:val="clear" w:color="000000" w:fill="FFFFFF"/>
            <w:vAlign w:val="center"/>
            <w:hideMark/>
          </w:tcPr>
          <w:p w14:paraId="4606406E" w14:textId="395C3A82"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The legal framework enables the development of the Price Comparison Tool</w:t>
            </w:r>
          </w:p>
        </w:tc>
        <w:tc>
          <w:tcPr>
            <w:tcW w:w="360" w:type="pct"/>
            <w:tcBorders>
              <w:top w:val="nil"/>
              <w:left w:val="nil"/>
              <w:bottom w:val="single" w:sz="8" w:space="0" w:color="auto"/>
              <w:right w:val="single" w:sz="8" w:space="0" w:color="auto"/>
            </w:tcBorders>
            <w:shd w:val="clear" w:color="000000" w:fill="FFFFFF"/>
            <w:vAlign w:val="center"/>
            <w:hideMark/>
          </w:tcPr>
          <w:p w14:paraId="78E2A83B"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1342" w:type="pct"/>
            <w:tcBorders>
              <w:top w:val="nil"/>
              <w:left w:val="nil"/>
              <w:bottom w:val="single" w:sz="8" w:space="0" w:color="auto"/>
              <w:right w:val="single" w:sz="8" w:space="0" w:color="auto"/>
            </w:tcBorders>
            <w:shd w:val="clear" w:color="000000" w:fill="FFFFFF"/>
            <w:vAlign w:val="bottom"/>
            <w:hideMark/>
          </w:tcPr>
          <w:p w14:paraId="2A5CCB55" w14:textId="223D64D2" w:rsidR="00571EAF" w:rsidRPr="0014539F" w:rsidRDefault="00B26E71" w:rsidP="00863836">
            <w:pPr>
              <w:spacing w:after="0" w:line="240" w:lineRule="auto"/>
              <w:rPr>
                <w:rFonts w:ascii="Times New Roman" w:eastAsia="Times New Roman" w:hAnsi="Times New Roman" w:cs="Times New Roman"/>
                <w:sz w:val="18"/>
                <w:szCs w:val="18"/>
              </w:rPr>
            </w:pPr>
            <w:r>
              <w:rPr>
                <w:rFonts w:ascii="Times New Roman" w:hAnsi="Times New Roman"/>
                <w:sz w:val="18"/>
              </w:rPr>
              <w:t>Procedure and proper instructions have been completed.</w:t>
            </w:r>
          </w:p>
        </w:tc>
      </w:tr>
      <w:tr w:rsidR="00571EAF" w:rsidRPr="004A694D" w14:paraId="0D42440A" w14:textId="77777777" w:rsidTr="00B26E71">
        <w:trPr>
          <w:trHeight w:val="735"/>
        </w:trPr>
        <w:tc>
          <w:tcPr>
            <w:tcW w:w="189" w:type="pct"/>
            <w:tcBorders>
              <w:top w:val="nil"/>
              <w:left w:val="single" w:sz="8" w:space="0" w:color="auto"/>
              <w:bottom w:val="single" w:sz="8" w:space="0" w:color="auto"/>
              <w:right w:val="single" w:sz="8" w:space="0" w:color="auto"/>
            </w:tcBorders>
            <w:shd w:val="clear" w:color="000000" w:fill="FFFFFF"/>
            <w:vAlign w:val="center"/>
            <w:hideMark/>
          </w:tcPr>
          <w:p w14:paraId="76EE627B"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V.2.2</w:t>
            </w:r>
          </w:p>
        </w:tc>
        <w:tc>
          <w:tcPr>
            <w:tcW w:w="468" w:type="pct"/>
            <w:tcBorders>
              <w:top w:val="nil"/>
              <w:left w:val="nil"/>
              <w:bottom w:val="single" w:sz="8" w:space="0" w:color="auto"/>
              <w:right w:val="single" w:sz="8" w:space="0" w:color="auto"/>
            </w:tcBorders>
            <w:shd w:val="clear" w:color="000000" w:fill="FFFFFF"/>
            <w:vAlign w:val="center"/>
            <w:hideMark/>
          </w:tcPr>
          <w:p w14:paraId="5FD06ADC" w14:textId="77777777" w:rsidR="00571EAF" w:rsidRDefault="00571EAF" w:rsidP="00571EAF">
            <w:pPr>
              <w:spacing w:after="0" w:line="240" w:lineRule="auto"/>
              <w:jc w:val="center"/>
              <w:rPr>
                <w:rFonts w:ascii="Times New Roman" w:hAnsi="Times New Roman"/>
                <w:sz w:val="18"/>
              </w:rPr>
            </w:pPr>
            <w:r>
              <w:rPr>
                <w:rFonts w:ascii="Times New Roman" w:hAnsi="Times New Roman"/>
                <w:sz w:val="18"/>
              </w:rPr>
              <w:t>Development of Price Comparison Tool</w:t>
            </w:r>
          </w:p>
          <w:p w14:paraId="79B3EF3D"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6F773C4A"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543ECAAB"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6778BC8B"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1BB5DBED"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C76F085"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758415AB"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2342AB14"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40C658DC"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32450AD6" w14:textId="4FA9D111" w:rsidR="008D3F67" w:rsidRPr="00523D2C" w:rsidRDefault="008D3F67" w:rsidP="00571EAF">
            <w:pPr>
              <w:spacing w:after="0" w:line="240" w:lineRule="auto"/>
              <w:jc w:val="center"/>
              <w:rPr>
                <w:rFonts w:ascii="Times New Roman" w:eastAsia="Times New Roman" w:hAnsi="Times New Roman" w:cs="Times New Roman"/>
                <w:sz w:val="18"/>
                <w:szCs w:val="18"/>
              </w:rPr>
            </w:pPr>
          </w:p>
        </w:tc>
        <w:tc>
          <w:tcPr>
            <w:tcW w:w="221" w:type="pct"/>
            <w:tcBorders>
              <w:top w:val="nil"/>
              <w:left w:val="nil"/>
              <w:bottom w:val="single" w:sz="8" w:space="0" w:color="auto"/>
              <w:right w:val="single" w:sz="8" w:space="0" w:color="auto"/>
            </w:tcBorders>
            <w:shd w:val="clear" w:color="000000" w:fill="FFFFFF"/>
            <w:vAlign w:val="center"/>
            <w:hideMark/>
          </w:tcPr>
          <w:p w14:paraId="1DBD7ADA"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2023</w:t>
            </w:r>
          </w:p>
        </w:tc>
        <w:tc>
          <w:tcPr>
            <w:tcW w:w="332" w:type="pct"/>
            <w:tcBorders>
              <w:top w:val="nil"/>
              <w:left w:val="nil"/>
              <w:bottom w:val="single" w:sz="8" w:space="0" w:color="auto"/>
              <w:right w:val="single" w:sz="8" w:space="0" w:color="auto"/>
            </w:tcBorders>
            <w:shd w:val="clear" w:color="000000" w:fill="FFFFFF"/>
            <w:vAlign w:val="center"/>
            <w:hideMark/>
          </w:tcPr>
          <w:p w14:paraId="091EBF23"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nil"/>
              <w:left w:val="nil"/>
              <w:bottom w:val="single" w:sz="8" w:space="0" w:color="auto"/>
              <w:right w:val="single" w:sz="8" w:space="0" w:color="auto"/>
            </w:tcBorders>
            <w:shd w:val="clear" w:color="000000" w:fill="FFFFFF"/>
            <w:vAlign w:val="center"/>
            <w:hideMark/>
          </w:tcPr>
          <w:p w14:paraId="7B974F31"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7,000.00 </w:t>
            </w:r>
          </w:p>
        </w:tc>
        <w:tc>
          <w:tcPr>
            <w:tcW w:w="356" w:type="pct"/>
            <w:tcBorders>
              <w:top w:val="nil"/>
              <w:left w:val="nil"/>
              <w:bottom w:val="single" w:sz="8" w:space="0" w:color="auto"/>
              <w:right w:val="single" w:sz="8" w:space="0" w:color="auto"/>
            </w:tcBorders>
            <w:shd w:val="clear" w:color="000000" w:fill="FFFFFF"/>
            <w:vAlign w:val="center"/>
            <w:hideMark/>
          </w:tcPr>
          <w:p w14:paraId="76C614D1"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6" w:type="pct"/>
            <w:tcBorders>
              <w:top w:val="nil"/>
              <w:left w:val="nil"/>
              <w:bottom w:val="single" w:sz="8" w:space="0" w:color="auto"/>
              <w:right w:val="single" w:sz="8" w:space="0" w:color="auto"/>
            </w:tcBorders>
            <w:shd w:val="clear" w:color="000000" w:fill="FFFFFF"/>
            <w:vAlign w:val="center"/>
            <w:hideMark/>
          </w:tcPr>
          <w:p w14:paraId="2819863F"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   </w:t>
            </w:r>
          </w:p>
        </w:tc>
        <w:tc>
          <w:tcPr>
            <w:tcW w:w="355" w:type="pct"/>
            <w:tcBorders>
              <w:top w:val="nil"/>
              <w:left w:val="nil"/>
              <w:bottom w:val="single" w:sz="8" w:space="0" w:color="auto"/>
              <w:right w:val="single" w:sz="8" w:space="0" w:color="auto"/>
            </w:tcBorders>
            <w:shd w:val="clear" w:color="000000" w:fill="FFFFFF"/>
            <w:vAlign w:val="center"/>
            <w:hideMark/>
          </w:tcPr>
          <w:p w14:paraId="763FDD26"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ERO</w:t>
            </w:r>
          </w:p>
        </w:tc>
        <w:tc>
          <w:tcPr>
            <w:tcW w:w="354" w:type="pct"/>
            <w:tcBorders>
              <w:top w:val="nil"/>
              <w:left w:val="nil"/>
              <w:bottom w:val="single" w:sz="8" w:space="0" w:color="auto"/>
              <w:right w:val="single" w:sz="8" w:space="0" w:color="auto"/>
            </w:tcBorders>
            <w:shd w:val="clear" w:color="000000" w:fill="FFFFFF"/>
            <w:vAlign w:val="center"/>
            <w:hideMark/>
          </w:tcPr>
          <w:p w14:paraId="0B13F8D6"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ERO</w:t>
            </w:r>
          </w:p>
        </w:tc>
        <w:tc>
          <w:tcPr>
            <w:tcW w:w="311" w:type="pct"/>
            <w:tcBorders>
              <w:top w:val="nil"/>
              <w:left w:val="nil"/>
              <w:bottom w:val="single" w:sz="8" w:space="0" w:color="auto"/>
              <w:right w:val="single" w:sz="8" w:space="0" w:color="auto"/>
            </w:tcBorders>
            <w:shd w:val="clear" w:color="000000" w:fill="FFFFFF"/>
            <w:vAlign w:val="center"/>
            <w:hideMark/>
          </w:tcPr>
          <w:p w14:paraId="183DF14D" w14:textId="77777777" w:rsidR="00571EAF" w:rsidRPr="00523D2C"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Fully operational Price Comparison Tool</w:t>
            </w:r>
          </w:p>
        </w:tc>
        <w:tc>
          <w:tcPr>
            <w:tcW w:w="360" w:type="pct"/>
            <w:tcBorders>
              <w:top w:val="nil"/>
              <w:left w:val="nil"/>
              <w:bottom w:val="single" w:sz="8" w:space="0" w:color="auto"/>
              <w:right w:val="single" w:sz="8" w:space="0" w:color="auto"/>
            </w:tcBorders>
            <w:shd w:val="clear" w:color="000000" w:fill="FFFFFF"/>
            <w:vAlign w:val="center"/>
            <w:hideMark/>
          </w:tcPr>
          <w:p w14:paraId="1B5EDC5C" w14:textId="77777777" w:rsidR="00571EAF" w:rsidRPr="00D94C33"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Energy Strategy for the period 2022-2031</w:t>
            </w:r>
          </w:p>
        </w:tc>
        <w:tc>
          <w:tcPr>
            <w:tcW w:w="1342" w:type="pct"/>
            <w:tcBorders>
              <w:top w:val="nil"/>
              <w:left w:val="nil"/>
              <w:bottom w:val="single" w:sz="8" w:space="0" w:color="auto"/>
              <w:right w:val="single" w:sz="8" w:space="0" w:color="auto"/>
            </w:tcBorders>
            <w:shd w:val="clear" w:color="000000" w:fill="FFFFFF"/>
            <w:vAlign w:val="bottom"/>
            <w:hideMark/>
          </w:tcPr>
          <w:p w14:paraId="2138708B" w14:textId="11719D1C" w:rsidR="00571EAF" w:rsidRPr="0014539F" w:rsidRDefault="00B26E71" w:rsidP="00571EAF">
            <w:pPr>
              <w:spacing w:after="0" w:line="240" w:lineRule="auto"/>
              <w:rPr>
                <w:rFonts w:ascii="Times New Roman" w:eastAsia="Times New Roman" w:hAnsi="Times New Roman" w:cs="Times New Roman"/>
                <w:sz w:val="18"/>
                <w:szCs w:val="18"/>
              </w:rPr>
            </w:pPr>
            <w:r>
              <w:rPr>
                <w:rFonts w:ascii="Times New Roman" w:hAnsi="Times New Roman"/>
                <w:sz w:val="18"/>
              </w:rPr>
              <w:t>The application must be updated so that it functions according to the latest Windows operating system.</w:t>
            </w:r>
          </w:p>
        </w:tc>
      </w:tr>
      <w:tr w:rsidR="00571EAF" w:rsidRPr="004A694D" w14:paraId="16B0A265" w14:textId="77777777" w:rsidTr="00405811">
        <w:trPr>
          <w:trHeight w:val="315"/>
        </w:trPr>
        <w:tc>
          <w:tcPr>
            <w:tcW w:w="189" w:type="pct"/>
            <w:tcBorders>
              <w:top w:val="nil"/>
              <w:left w:val="single" w:sz="8" w:space="0" w:color="auto"/>
              <w:bottom w:val="single" w:sz="8" w:space="0" w:color="auto"/>
              <w:right w:val="single" w:sz="8" w:space="0" w:color="auto"/>
            </w:tcBorders>
            <w:shd w:val="clear" w:color="000000" w:fill="D9D9D9"/>
            <w:vAlign w:val="center"/>
            <w:hideMark/>
          </w:tcPr>
          <w:p w14:paraId="4238E84F"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lastRenderedPageBreak/>
              <w:t>V.3</w:t>
            </w:r>
          </w:p>
        </w:tc>
        <w:tc>
          <w:tcPr>
            <w:tcW w:w="3469" w:type="pct"/>
            <w:gridSpan w:val="10"/>
            <w:tcBorders>
              <w:top w:val="single" w:sz="8" w:space="0" w:color="auto"/>
              <w:left w:val="nil"/>
              <w:bottom w:val="single" w:sz="8" w:space="0" w:color="auto"/>
              <w:right w:val="single" w:sz="8" w:space="0" w:color="000000"/>
            </w:tcBorders>
            <w:shd w:val="clear" w:color="000000" w:fill="D9D9D9"/>
            <w:vAlign w:val="center"/>
            <w:hideMark/>
          </w:tcPr>
          <w:p w14:paraId="1C34ECC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Specific Objective: Preserving human health and environment</w:t>
            </w:r>
          </w:p>
        </w:tc>
        <w:tc>
          <w:tcPr>
            <w:tcW w:w="1342" w:type="pct"/>
            <w:tcBorders>
              <w:top w:val="nil"/>
              <w:left w:val="nil"/>
              <w:bottom w:val="nil"/>
              <w:right w:val="nil"/>
            </w:tcBorders>
            <w:shd w:val="clear" w:color="auto" w:fill="auto"/>
            <w:noWrap/>
            <w:vAlign w:val="bottom"/>
            <w:hideMark/>
          </w:tcPr>
          <w:p w14:paraId="356C4C1C"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4A694D" w14:paraId="63BAA379" w14:textId="77777777" w:rsidTr="00B26E71">
        <w:trPr>
          <w:trHeight w:val="735"/>
        </w:trPr>
        <w:tc>
          <w:tcPr>
            <w:tcW w:w="189" w:type="pct"/>
            <w:tcBorders>
              <w:top w:val="nil"/>
              <w:left w:val="single" w:sz="8" w:space="0" w:color="auto"/>
              <w:bottom w:val="single" w:sz="8" w:space="0" w:color="auto"/>
              <w:right w:val="single" w:sz="8" w:space="0" w:color="auto"/>
            </w:tcBorders>
            <w:shd w:val="clear" w:color="000000" w:fill="D0CECE"/>
            <w:vAlign w:val="center"/>
            <w:hideMark/>
          </w:tcPr>
          <w:p w14:paraId="1152B67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468" w:type="pct"/>
            <w:tcBorders>
              <w:top w:val="nil"/>
              <w:left w:val="nil"/>
              <w:bottom w:val="nil"/>
              <w:right w:val="single" w:sz="8" w:space="0" w:color="auto"/>
            </w:tcBorders>
            <w:shd w:val="clear" w:color="000000" w:fill="D0CECE"/>
            <w:vAlign w:val="center"/>
            <w:hideMark/>
          </w:tcPr>
          <w:p w14:paraId="2D2EA86E"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Indicator</w:t>
            </w:r>
          </w:p>
        </w:tc>
        <w:tc>
          <w:tcPr>
            <w:tcW w:w="909" w:type="pct"/>
            <w:gridSpan w:val="3"/>
            <w:tcBorders>
              <w:top w:val="single" w:sz="8" w:space="0" w:color="auto"/>
              <w:left w:val="nil"/>
              <w:bottom w:val="single" w:sz="8" w:space="0" w:color="auto"/>
              <w:right w:val="nil"/>
            </w:tcBorders>
            <w:shd w:val="clear" w:color="000000" w:fill="D9D9D9"/>
            <w:vAlign w:val="center"/>
            <w:hideMark/>
          </w:tcPr>
          <w:p w14:paraId="72005C73"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Baseline value </w:t>
            </w:r>
          </w:p>
        </w:tc>
        <w:tc>
          <w:tcPr>
            <w:tcW w:w="712" w:type="pct"/>
            <w:gridSpan w:val="2"/>
            <w:tcBorders>
              <w:top w:val="single" w:sz="8" w:space="0" w:color="auto"/>
              <w:left w:val="single" w:sz="8" w:space="0" w:color="auto"/>
              <w:bottom w:val="single" w:sz="8" w:space="0" w:color="auto"/>
              <w:right w:val="nil"/>
            </w:tcBorders>
            <w:shd w:val="clear" w:color="000000" w:fill="D9D9D9"/>
            <w:vAlign w:val="center"/>
            <w:hideMark/>
          </w:tcPr>
          <w:p w14:paraId="12E7957A"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Short-term objective</w:t>
            </w:r>
            <w:r>
              <w:rPr>
                <w:rFonts w:ascii="Times New Roman" w:hAnsi="Times New Roman"/>
                <w:b/>
                <w:sz w:val="18"/>
              </w:rPr>
              <w:br/>
              <w:t xml:space="preserve"> 2025</w:t>
            </w:r>
          </w:p>
        </w:tc>
        <w:tc>
          <w:tcPr>
            <w:tcW w:w="355" w:type="pct"/>
            <w:tcBorders>
              <w:top w:val="nil"/>
              <w:left w:val="single" w:sz="8" w:space="0" w:color="auto"/>
              <w:bottom w:val="single" w:sz="8" w:space="0" w:color="auto"/>
              <w:right w:val="single" w:sz="8" w:space="0" w:color="auto"/>
            </w:tcBorders>
            <w:shd w:val="clear" w:color="000000" w:fill="D9D9D9"/>
            <w:vAlign w:val="center"/>
            <w:hideMark/>
          </w:tcPr>
          <w:p w14:paraId="595E19CC"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Last year’s objective </w:t>
            </w:r>
            <w:r>
              <w:rPr>
                <w:rFonts w:ascii="Times New Roman" w:hAnsi="Times New Roman"/>
                <w:b/>
                <w:sz w:val="18"/>
              </w:rPr>
              <w:br/>
              <w:t>2031</w:t>
            </w:r>
          </w:p>
        </w:tc>
        <w:tc>
          <w:tcPr>
            <w:tcW w:w="1025" w:type="pct"/>
            <w:gridSpan w:val="3"/>
            <w:tcBorders>
              <w:top w:val="single" w:sz="8" w:space="0" w:color="auto"/>
              <w:left w:val="nil"/>
              <w:bottom w:val="single" w:sz="8" w:space="0" w:color="auto"/>
              <w:right w:val="single" w:sz="8" w:space="0" w:color="000000"/>
            </w:tcBorders>
            <w:shd w:val="clear" w:color="000000" w:fill="D9D9D9"/>
            <w:vAlign w:val="center"/>
            <w:hideMark/>
          </w:tcPr>
          <w:p w14:paraId="0A1094F5"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w:t>
            </w:r>
          </w:p>
        </w:tc>
        <w:tc>
          <w:tcPr>
            <w:tcW w:w="1342" w:type="pct"/>
            <w:tcBorders>
              <w:top w:val="nil"/>
              <w:left w:val="nil"/>
              <w:bottom w:val="nil"/>
              <w:right w:val="nil"/>
            </w:tcBorders>
            <w:shd w:val="clear" w:color="auto" w:fill="auto"/>
            <w:noWrap/>
            <w:vAlign w:val="bottom"/>
            <w:hideMark/>
          </w:tcPr>
          <w:p w14:paraId="392F396B"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p>
        </w:tc>
      </w:tr>
      <w:tr w:rsidR="00571EAF" w:rsidRPr="004A694D" w14:paraId="7567FE28" w14:textId="77777777" w:rsidTr="00B26E71">
        <w:trPr>
          <w:trHeight w:val="2655"/>
        </w:trPr>
        <w:tc>
          <w:tcPr>
            <w:tcW w:w="189" w:type="pct"/>
            <w:tcBorders>
              <w:top w:val="nil"/>
              <w:left w:val="single" w:sz="8" w:space="0" w:color="auto"/>
              <w:bottom w:val="nil"/>
              <w:right w:val="single" w:sz="8" w:space="0" w:color="auto"/>
            </w:tcBorders>
            <w:shd w:val="clear" w:color="auto" w:fill="auto"/>
            <w:vAlign w:val="center"/>
            <w:hideMark/>
          </w:tcPr>
          <w:p w14:paraId="0A1E3E7D"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1.</w:t>
            </w:r>
          </w:p>
        </w:tc>
        <w:tc>
          <w:tcPr>
            <w:tcW w:w="468" w:type="pct"/>
            <w:tcBorders>
              <w:top w:val="single" w:sz="8" w:space="0" w:color="auto"/>
              <w:left w:val="nil"/>
              <w:bottom w:val="nil"/>
              <w:right w:val="single" w:sz="8" w:space="0" w:color="auto"/>
            </w:tcBorders>
            <w:shd w:val="clear" w:color="auto" w:fill="auto"/>
            <w:vAlign w:val="center"/>
            <w:hideMark/>
          </w:tcPr>
          <w:p w14:paraId="454FF99B" w14:textId="28746A7F" w:rsidR="00571EAF" w:rsidRDefault="00571EAF" w:rsidP="00571EAF">
            <w:pPr>
              <w:spacing w:after="0" w:line="240" w:lineRule="auto"/>
              <w:jc w:val="center"/>
              <w:rPr>
                <w:rFonts w:ascii="Times New Roman" w:hAnsi="Times New Roman"/>
                <w:sz w:val="18"/>
              </w:rPr>
            </w:pPr>
            <w:r>
              <w:rPr>
                <w:rFonts w:ascii="Times New Roman" w:hAnsi="Times New Roman"/>
                <w:sz w:val="18"/>
              </w:rPr>
              <w:t>Dust, NOx and SO₂ emissions of lignite power plants</w:t>
            </w:r>
          </w:p>
          <w:p w14:paraId="740AEFAE" w14:textId="77777777" w:rsidR="008D3F67" w:rsidRPr="004A694D" w:rsidRDefault="008D3F67" w:rsidP="008D3F67">
            <w:pPr>
              <w:spacing w:after="0" w:line="240" w:lineRule="auto"/>
              <w:rPr>
                <w:rFonts w:ascii="Times New Roman" w:eastAsia="Times New Roman" w:hAnsi="Times New Roman" w:cs="Times New Roman"/>
                <w:sz w:val="18"/>
                <w:szCs w:val="18"/>
              </w:rPr>
            </w:pPr>
          </w:p>
          <w:p w14:paraId="282791FE" w14:textId="77777777" w:rsidR="004A694D" w:rsidRPr="004A694D" w:rsidRDefault="004A694D" w:rsidP="004A694D">
            <w:pPr>
              <w:spacing w:after="0" w:line="240" w:lineRule="auto"/>
              <w:rPr>
                <w:rFonts w:ascii="Times New Roman" w:eastAsia="Times New Roman" w:hAnsi="Times New Roman" w:cs="Times New Roman"/>
                <w:sz w:val="18"/>
                <w:szCs w:val="18"/>
              </w:rPr>
            </w:pPr>
          </w:p>
        </w:tc>
        <w:tc>
          <w:tcPr>
            <w:tcW w:w="909" w:type="pct"/>
            <w:gridSpan w:val="3"/>
            <w:tcBorders>
              <w:top w:val="single" w:sz="8" w:space="0" w:color="auto"/>
              <w:left w:val="nil"/>
              <w:bottom w:val="nil"/>
              <w:right w:val="single" w:sz="8" w:space="0" w:color="000000"/>
            </w:tcBorders>
            <w:shd w:val="clear" w:color="auto" w:fill="auto"/>
            <w:hideMark/>
          </w:tcPr>
          <w:p w14:paraId="3A45F27D" w14:textId="77777777" w:rsidR="008D3F67" w:rsidRDefault="00571EAF" w:rsidP="00571EAF">
            <w:pPr>
              <w:spacing w:after="0" w:line="240" w:lineRule="auto"/>
              <w:jc w:val="center"/>
              <w:rPr>
                <w:rFonts w:ascii="Times New Roman" w:hAnsi="Times New Roman"/>
                <w:sz w:val="18"/>
              </w:rPr>
            </w:pPr>
            <w:r>
              <w:rPr>
                <w:rFonts w:ascii="Times New Roman" w:hAnsi="Times New Roman"/>
                <w:b/>
                <w:sz w:val="18"/>
              </w:rPr>
              <w:t>TPP “</w:t>
            </w:r>
            <w:proofErr w:type="spellStart"/>
            <w:r>
              <w:rPr>
                <w:rFonts w:ascii="Times New Roman" w:hAnsi="Times New Roman"/>
                <w:b/>
                <w:sz w:val="18"/>
              </w:rPr>
              <w:t>Kosova</w:t>
            </w:r>
            <w:proofErr w:type="spellEnd"/>
            <w:r>
              <w:rPr>
                <w:rFonts w:ascii="Times New Roman" w:hAnsi="Times New Roman"/>
                <w:b/>
                <w:sz w:val="18"/>
              </w:rPr>
              <w:t xml:space="preserve"> B”:</w:t>
            </w:r>
            <w:r>
              <w:rPr>
                <w:rFonts w:ascii="Times New Roman" w:hAnsi="Times New Roman"/>
                <w:sz w:val="18"/>
              </w:rPr>
              <w:t xml:space="preserve"> Dust: over 300 mg/ Nm³, NOx: over 500 mg/ Nm³ </w:t>
            </w:r>
            <w:r>
              <w:rPr>
                <w:rFonts w:ascii="Times New Roman" w:hAnsi="Times New Roman"/>
                <w:sz w:val="18"/>
              </w:rPr>
              <w:br/>
              <w:t>SO₂: over 600 mg/ Nm³</w:t>
            </w:r>
            <w:r>
              <w:rPr>
                <w:rFonts w:ascii="Times New Roman" w:hAnsi="Times New Roman"/>
                <w:sz w:val="18"/>
              </w:rPr>
              <w:br/>
            </w:r>
            <w:r>
              <w:rPr>
                <w:rFonts w:ascii="Times New Roman" w:hAnsi="Times New Roman"/>
                <w:b/>
                <w:sz w:val="18"/>
              </w:rPr>
              <w:t>TPP “</w:t>
            </w:r>
            <w:proofErr w:type="spellStart"/>
            <w:r>
              <w:rPr>
                <w:rFonts w:ascii="Times New Roman" w:hAnsi="Times New Roman"/>
                <w:b/>
                <w:sz w:val="18"/>
              </w:rPr>
              <w:t>Kosova</w:t>
            </w:r>
            <w:proofErr w:type="spellEnd"/>
            <w:r>
              <w:rPr>
                <w:rFonts w:ascii="Times New Roman" w:hAnsi="Times New Roman"/>
                <w:b/>
                <w:sz w:val="18"/>
              </w:rPr>
              <w:t xml:space="preserve"> A”: </w:t>
            </w:r>
            <w:r>
              <w:rPr>
                <w:rFonts w:ascii="Times New Roman" w:hAnsi="Times New Roman"/>
                <w:sz w:val="18"/>
              </w:rPr>
              <w:t xml:space="preserve">Dust: over 50 mg/ Nm³, NOx: over 600 mg/ Nm³ SO₂: over </w:t>
            </w:r>
          </w:p>
          <w:p w14:paraId="45853E1E" w14:textId="77777777" w:rsidR="00571EAF" w:rsidRDefault="00571EAF" w:rsidP="00571EAF">
            <w:pPr>
              <w:spacing w:after="0" w:line="240" w:lineRule="auto"/>
              <w:jc w:val="center"/>
              <w:rPr>
                <w:rFonts w:ascii="Times New Roman" w:hAnsi="Times New Roman"/>
                <w:sz w:val="18"/>
              </w:rPr>
            </w:pPr>
            <w:r>
              <w:rPr>
                <w:rFonts w:ascii="Times New Roman" w:hAnsi="Times New Roman"/>
                <w:sz w:val="18"/>
              </w:rPr>
              <w:t>600 mg/ Nm³</w:t>
            </w:r>
          </w:p>
          <w:p w14:paraId="385FFC0D"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44815183"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7AB527CB"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17F73B73"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4205E1D4"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28EA8E35"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40C0556E"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118858E3"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1246D89"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0D813C1"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4F4503D"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2176FA2F"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580A03D"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5946EC70"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62CDFEDF"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3D5192E"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58090AC7"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13FF18B6"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598F4FA5"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1E6C5672"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6E17F2A1"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2473D5BA"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DBA178F"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5C26C042"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9CBDF8A"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12B9D2A"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60130EB"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174AD25"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28A1657"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1F912CC6"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DD5BD33"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2197F396"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0EA659E0"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13590FDC" w14:textId="77777777" w:rsidR="008D3F67" w:rsidRDefault="008D3F67" w:rsidP="00571EAF">
            <w:pPr>
              <w:spacing w:after="0" w:line="240" w:lineRule="auto"/>
              <w:jc w:val="center"/>
              <w:rPr>
                <w:rFonts w:ascii="Times New Roman" w:eastAsia="Times New Roman" w:hAnsi="Times New Roman" w:cs="Times New Roman"/>
                <w:sz w:val="18"/>
                <w:szCs w:val="18"/>
              </w:rPr>
            </w:pPr>
          </w:p>
          <w:p w14:paraId="11187938" w14:textId="1ED2AD8F" w:rsidR="008D3F67" w:rsidRPr="004A694D" w:rsidRDefault="008D3F67" w:rsidP="00571EAF">
            <w:pPr>
              <w:spacing w:after="0" w:line="240" w:lineRule="auto"/>
              <w:jc w:val="center"/>
              <w:rPr>
                <w:rFonts w:ascii="Times New Roman" w:eastAsia="Times New Roman" w:hAnsi="Times New Roman" w:cs="Times New Roman"/>
                <w:sz w:val="18"/>
                <w:szCs w:val="18"/>
              </w:rPr>
            </w:pPr>
          </w:p>
        </w:tc>
        <w:tc>
          <w:tcPr>
            <w:tcW w:w="712" w:type="pct"/>
            <w:gridSpan w:val="2"/>
            <w:tcBorders>
              <w:top w:val="single" w:sz="8" w:space="0" w:color="auto"/>
              <w:left w:val="nil"/>
              <w:bottom w:val="nil"/>
              <w:right w:val="single" w:sz="8" w:space="0" w:color="000000"/>
            </w:tcBorders>
            <w:shd w:val="clear" w:color="auto" w:fill="auto"/>
            <w:hideMark/>
          </w:tcPr>
          <w:p w14:paraId="72EF18CE"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b/>
                <w:sz w:val="18"/>
              </w:rPr>
              <w:t>TPP “</w:t>
            </w:r>
            <w:proofErr w:type="spellStart"/>
            <w:r>
              <w:rPr>
                <w:rFonts w:ascii="Times New Roman" w:hAnsi="Times New Roman"/>
                <w:b/>
                <w:sz w:val="18"/>
              </w:rPr>
              <w:t>Kosova</w:t>
            </w:r>
            <w:proofErr w:type="spellEnd"/>
            <w:r>
              <w:rPr>
                <w:rFonts w:ascii="Times New Roman" w:hAnsi="Times New Roman"/>
                <w:b/>
                <w:sz w:val="18"/>
              </w:rPr>
              <w:t xml:space="preserve"> B2”: </w:t>
            </w:r>
            <w:r>
              <w:rPr>
                <w:rFonts w:ascii="Times New Roman" w:hAnsi="Times New Roman"/>
                <w:sz w:val="18"/>
              </w:rPr>
              <w:t>Dust: 20 mg/ Nm³,</w:t>
            </w:r>
            <w:r>
              <w:rPr>
                <w:rFonts w:ascii="Times New Roman" w:hAnsi="Times New Roman"/>
                <w:sz w:val="18"/>
              </w:rPr>
              <w:br/>
              <w:t>NOx: 200 mg/ Nm³, SO₂: 600 mg/ Nm³</w:t>
            </w:r>
            <w:r>
              <w:rPr>
                <w:rFonts w:ascii="Times New Roman" w:hAnsi="Times New Roman"/>
                <w:sz w:val="18"/>
              </w:rPr>
              <w:br/>
            </w:r>
            <w:r>
              <w:rPr>
                <w:rFonts w:ascii="Times New Roman" w:hAnsi="Times New Roman"/>
                <w:b/>
                <w:sz w:val="18"/>
              </w:rPr>
              <w:t>TPP “</w:t>
            </w:r>
            <w:proofErr w:type="spellStart"/>
            <w:r>
              <w:rPr>
                <w:rFonts w:ascii="Times New Roman" w:hAnsi="Times New Roman"/>
                <w:b/>
                <w:sz w:val="18"/>
              </w:rPr>
              <w:t>Kosova</w:t>
            </w:r>
            <w:proofErr w:type="spellEnd"/>
            <w:r>
              <w:rPr>
                <w:rFonts w:ascii="Times New Roman" w:hAnsi="Times New Roman"/>
                <w:b/>
                <w:sz w:val="18"/>
              </w:rPr>
              <w:t xml:space="preserve"> B1”: </w:t>
            </w:r>
            <w:r>
              <w:rPr>
                <w:rFonts w:ascii="Times New Roman" w:hAnsi="Times New Roman"/>
                <w:sz w:val="18"/>
              </w:rPr>
              <w:t>Dust: over 300 mg/ Nm³,</w:t>
            </w:r>
            <w:r>
              <w:rPr>
                <w:rFonts w:ascii="Times New Roman" w:hAnsi="Times New Roman"/>
                <w:sz w:val="18"/>
              </w:rPr>
              <w:br/>
              <w:t>NOx: over 500 mg/ Nm³, SO₂: over 600 mg/ Nm³</w:t>
            </w:r>
            <w:r>
              <w:rPr>
                <w:rFonts w:ascii="Times New Roman" w:hAnsi="Times New Roman"/>
                <w:sz w:val="18"/>
              </w:rPr>
              <w:br/>
            </w:r>
            <w:r>
              <w:rPr>
                <w:rFonts w:ascii="Times New Roman" w:hAnsi="Times New Roman"/>
                <w:b/>
                <w:sz w:val="18"/>
              </w:rPr>
              <w:t>TPP “</w:t>
            </w:r>
            <w:proofErr w:type="spellStart"/>
            <w:r>
              <w:rPr>
                <w:rFonts w:ascii="Times New Roman" w:hAnsi="Times New Roman"/>
                <w:b/>
                <w:sz w:val="18"/>
              </w:rPr>
              <w:t>Kosova</w:t>
            </w:r>
            <w:proofErr w:type="spellEnd"/>
            <w:r>
              <w:rPr>
                <w:rFonts w:ascii="Times New Roman" w:hAnsi="Times New Roman"/>
                <w:b/>
                <w:sz w:val="18"/>
              </w:rPr>
              <w:t xml:space="preserve"> A3”: </w:t>
            </w:r>
            <w:r>
              <w:rPr>
                <w:rFonts w:ascii="Times New Roman" w:hAnsi="Times New Roman"/>
                <w:sz w:val="18"/>
              </w:rPr>
              <w:t>Dust: 20 mg/ Nm³,</w:t>
            </w:r>
            <w:r>
              <w:rPr>
                <w:rFonts w:ascii="Times New Roman" w:hAnsi="Times New Roman"/>
                <w:sz w:val="18"/>
              </w:rPr>
              <w:br/>
              <w:t>NOx: over 200 mg/ Nm³, SO₂: over 200 mg/ Nm³</w:t>
            </w:r>
            <w:r>
              <w:rPr>
                <w:rFonts w:ascii="Times New Roman" w:hAnsi="Times New Roman"/>
                <w:sz w:val="18"/>
              </w:rPr>
              <w:br/>
            </w:r>
            <w:r>
              <w:rPr>
                <w:rFonts w:ascii="Times New Roman" w:hAnsi="Times New Roman"/>
                <w:b/>
                <w:sz w:val="18"/>
              </w:rPr>
              <w:t>TPP “</w:t>
            </w:r>
            <w:proofErr w:type="spellStart"/>
            <w:r>
              <w:rPr>
                <w:rFonts w:ascii="Times New Roman" w:hAnsi="Times New Roman"/>
                <w:b/>
                <w:sz w:val="18"/>
              </w:rPr>
              <w:t>Kosova</w:t>
            </w:r>
            <w:proofErr w:type="spellEnd"/>
            <w:r>
              <w:rPr>
                <w:rFonts w:ascii="Times New Roman" w:hAnsi="Times New Roman"/>
                <w:b/>
                <w:sz w:val="18"/>
              </w:rPr>
              <w:t xml:space="preserve"> A4 &amp; A5”: </w:t>
            </w:r>
            <w:r>
              <w:rPr>
                <w:rFonts w:ascii="Times New Roman" w:hAnsi="Times New Roman"/>
                <w:sz w:val="18"/>
              </w:rPr>
              <w:t>Dust: over 50 mg/Nm³,</w:t>
            </w:r>
            <w:r>
              <w:rPr>
                <w:rFonts w:ascii="Times New Roman" w:hAnsi="Times New Roman"/>
                <w:sz w:val="18"/>
              </w:rPr>
              <w:br/>
              <w:t>NOx: over 600 mg/Nm³, SO₂: over 600 mg/Nm³</w:t>
            </w:r>
          </w:p>
        </w:tc>
        <w:tc>
          <w:tcPr>
            <w:tcW w:w="355" w:type="pct"/>
            <w:tcBorders>
              <w:top w:val="nil"/>
              <w:left w:val="nil"/>
              <w:bottom w:val="nil"/>
              <w:right w:val="single" w:sz="8" w:space="0" w:color="auto"/>
            </w:tcBorders>
            <w:shd w:val="clear" w:color="auto" w:fill="auto"/>
            <w:hideMark/>
          </w:tcPr>
          <w:p w14:paraId="59979144"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b/>
                <w:sz w:val="18"/>
              </w:rPr>
              <w:t>TPP “</w:t>
            </w:r>
            <w:proofErr w:type="spellStart"/>
            <w:r>
              <w:rPr>
                <w:rFonts w:ascii="Times New Roman" w:hAnsi="Times New Roman"/>
                <w:b/>
                <w:sz w:val="18"/>
              </w:rPr>
              <w:t>Kosova</w:t>
            </w:r>
            <w:proofErr w:type="spellEnd"/>
            <w:r>
              <w:rPr>
                <w:rFonts w:ascii="Times New Roman" w:hAnsi="Times New Roman"/>
                <w:b/>
                <w:sz w:val="18"/>
              </w:rPr>
              <w:t xml:space="preserve"> B”:</w:t>
            </w:r>
            <w:r>
              <w:rPr>
                <w:rFonts w:ascii="Times New Roman" w:hAnsi="Times New Roman"/>
                <w:b/>
                <w:sz w:val="18"/>
              </w:rPr>
              <w:br/>
            </w:r>
            <w:r>
              <w:rPr>
                <w:rFonts w:ascii="Times New Roman" w:hAnsi="Times New Roman"/>
                <w:sz w:val="18"/>
              </w:rPr>
              <w:t>Dust: 20 mg/ Nm³</w:t>
            </w:r>
            <w:r>
              <w:rPr>
                <w:rFonts w:ascii="Times New Roman" w:hAnsi="Times New Roman"/>
                <w:sz w:val="18"/>
              </w:rPr>
              <w:br/>
              <w:t>NOx: 200 mg/ Nm³</w:t>
            </w:r>
            <w:r>
              <w:rPr>
                <w:rFonts w:ascii="Times New Roman" w:hAnsi="Times New Roman"/>
                <w:sz w:val="18"/>
              </w:rPr>
              <w:br/>
              <w:t>SO₂: 200 mg/ Nm³</w:t>
            </w:r>
            <w:r>
              <w:rPr>
                <w:rFonts w:ascii="Times New Roman" w:hAnsi="Times New Roman"/>
                <w:sz w:val="18"/>
              </w:rPr>
              <w:br/>
            </w:r>
            <w:r>
              <w:rPr>
                <w:rFonts w:ascii="Times New Roman" w:hAnsi="Times New Roman"/>
                <w:b/>
                <w:sz w:val="18"/>
              </w:rPr>
              <w:t>TPP “</w:t>
            </w:r>
            <w:proofErr w:type="spellStart"/>
            <w:r>
              <w:rPr>
                <w:rFonts w:ascii="Times New Roman" w:hAnsi="Times New Roman"/>
                <w:b/>
                <w:sz w:val="18"/>
              </w:rPr>
              <w:t>Kosova</w:t>
            </w:r>
            <w:proofErr w:type="spellEnd"/>
            <w:r>
              <w:rPr>
                <w:rFonts w:ascii="Times New Roman" w:hAnsi="Times New Roman"/>
                <w:b/>
                <w:sz w:val="18"/>
              </w:rPr>
              <w:t xml:space="preserve"> A”:</w:t>
            </w:r>
            <w:r>
              <w:rPr>
                <w:rFonts w:ascii="Times New Roman" w:hAnsi="Times New Roman"/>
                <w:sz w:val="18"/>
              </w:rPr>
              <w:br/>
              <w:t>Dust: 20 mg/ Nm³</w:t>
            </w:r>
            <w:r>
              <w:rPr>
                <w:rFonts w:ascii="Times New Roman" w:hAnsi="Times New Roman"/>
                <w:sz w:val="18"/>
              </w:rPr>
              <w:br/>
              <w:t>NOx: 200 mg/ Nm³</w:t>
            </w:r>
            <w:r>
              <w:rPr>
                <w:rFonts w:ascii="Times New Roman" w:hAnsi="Times New Roman"/>
                <w:sz w:val="18"/>
              </w:rPr>
              <w:br/>
              <w:t>SO₂: 200 mg/ Nm³</w:t>
            </w:r>
          </w:p>
          <w:p w14:paraId="26ACD66A"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4FAA6BE3"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57F9B2F6"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21537CDB"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1AE9B035"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1219A225"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7C6E2474"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28796D21"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555C4F8C"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51648F6A"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19DEC262"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11D3DA29"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0764FEFC"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4896C3D7"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5AE3F515"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763E08A2"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44DE1F2B"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185E9941"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002A03EC"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66E515C7"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7D81511A"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65114A8E"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63660A04"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p w14:paraId="5C9B32E3" w14:textId="77777777" w:rsidR="004A694D" w:rsidRPr="004A694D" w:rsidRDefault="004A694D" w:rsidP="00571EAF">
            <w:pPr>
              <w:spacing w:after="0" w:line="240" w:lineRule="auto"/>
              <w:jc w:val="center"/>
              <w:rPr>
                <w:rFonts w:ascii="Times New Roman" w:eastAsia="Times New Roman" w:hAnsi="Times New Roman" w:cs="Times New Roman"/>
                <w:sz w:val="18"/>
                <w:szCs w:val="18"/>
              </w:rPr>
            </w:pPr>
          </w:p>
        </w:tc>
        <w:tc>
          <w:tcPr>
            <w:tcW w:w="1025" w:type="pct"/>
            <w:gridSpan w:val="3"/>
            <w:tcBorders>
              <w:top w:val="single" w:sz="8" w:space="0" w:color="auto"/>
              <w:left w:val="nil"/>
              <w:bottom w:val="nil"/>
              <w:right w:val="single" w:sz="8" w:space="0" w:color="000000"/>
            </w:tcBorders>
            <w:shd w:val="clear" w:color="auto" w:fill="auto"/>
            <w:vAlign w:val="center"/>
            <w:hideMark/>
          </w:tcPr>
          <w:p w14:paraId="48FC1CD6"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w:t>
            </w:r>
          </w:p>
        </w:tc>
        <w:tc>
          <w:tcPr>
            <w:tcW w:w="1342" w:type="pct"/>
            <w:tcBorders>
              <w:top w:val="nil"/>
              <w:left w:val="nil"/>
              <w:bottom w:val="nil"/>
              <w:right w:val="nil"/>
            </w:tcBorders>
            <w:shd w:val="clear" w:color="auto" w:fill="auto"/>
            <w:noWrap/>
            <w:vAlign w:val="bottom"/>
            <w:hideMark/>
          </w:tcPr>
          <w:p w14:paraId="0AEB0693"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p>
        </w:tc>
      </w:tr>
      <w:tr w:rsidR="00571EAF" w:rsidRPr="004A694D" w14:paraId="27449843" w14:textId="77777777" w:rsidTr="00B26E71">
        <w:trPr>
          <w:trHeight w:val="315"/>
        </w:trPr>
        <w:tc>
          <w:tcPr>
            <w:tcW w:w="18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18E2CAF"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lastRenderedPageBreak/>
              <w:t>No.</w:t>
            </w:r>
          </w:p>
        </w:tc>
        <w:tc>
          <w:tcPr>
            <w:tcW w:w="46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654FBA2"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Action</w:t>
            </w:r>
          </w:p>
        </w:tc>
        <w:tc>
          <w:tcPr>
            <w:tcW w:w="22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5464952"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Deadline</w:t>
            </w:r>
          </w:p>
        </w:tc>
        <w:tc>
          <w:tcPr>
            <w:tcW w:w="1400" w:type="pct"/>
            <w:gridSpan w:val="4"/>
            <w:tcBorders>
              <w:top w:val="single" w:sz="8" w:space="0" w:color="auto"/>
              <w:left w:val="nil"/>
              <w:bottom w:val="single" w:sz="8" w:space="0" w:color="auto"/>
              <w:right w:val="single" w:sz="8" w:space="0" w:color="000000"/>
            </w:tcBorders>
            <w:shd w:val="clear" w:color="000000" w:fill="D9D9D9"/>
            <w:vAlign w:val="center"/>
            <w:hideMark/>
          </w:tcPr>
          <w:p w14:paraId="2477B5F8"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Budget</w:t>
            </w:r>
          </w:p>
        </w:tc>
        <w:tc>
          <w:tcPr>
            <w:tcW w:w="355"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8CA338"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Source of funding</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15E50B1"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Leading and supporting institution</w:t>
            </w:r>
          </w:p>
        </w:tc>
        <w:tc>
          <w:tcPr>
            <w:tcW w:w="31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A4A7CBA"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Product</w:t>
            </w:r>
          </w:p>
        </w:tc>
        <w:tc>
          <w:tcPr>
            <w:tcW w:w="36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69FD11A"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References to documents</w:t>
            </w:r>
          </w:p>
        </w:tc>
        <w:tc>
          <w:tcPr>
            <w:tcW w:w="134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C258AA4" w14:textId="77777777" w:rsidR="00571EAF" w:rsidRPr="004A694D" w:rsidRDefault="005D6B3A" w:rsidP="000532B1">
            <w:pPr>
              <w:spacing w:after="0" w:line="240" w:lineRule="auto"/>
              <w:jc w:val="center"/>
              <w:rPr>
                <w:rFonts w:ascii="Times New Roman" w:eastAsia="Times New Roman" w:hAnsi="Times New Roman" w:cs="Times New Roman"/>
                <w:b/>
                <w:bCs/>
              </w:rPr>
            </w:pPr>
            <w:r>
              <w:rPr>
                <w:rFonts w:ascii="Times New Roman" w:hAnsi="Times New Roman"/>
                <w:b/>
              </w:rPr>
              <w:t>Implementation progress for 2024</w:t>
            </w:r>
          </w:p>
        </w:tc>
      </w:tr>
      <w:tr w:rsidR="00571EAF" w:rsidRPr="004A694D" w14:paraId="78C774F7" w14:textId="77777777" w:rsidTr="00B26E71">
        <w:trPr>
          <w:trHeight w:val="300"/>
        </w:trPr>
        <w:tc>
          <w:tcPr>
            <w:tcW w:w="189" w:type="pct"/>
            <w:vMerge/>
            <w:tcBorders>
              <w:top w:val="single" w:sz="8" w:space="0" w:color="auto"/>
              <w:left w:val="single" w:sz="8" w:space="0" w:color="auto"/>
              <w:bottom w:val="single" w:sz="8" w:space="0" w:color="000000"/>
              <w:right w:val="single" w:sz="8" w:space="0" w:color="auto"/>
            </w:tcBorders>
            <w:vAlign w:val="center"/>
            <w:hideMark/>
          </w:tcPr>
          <w:p w14:paraId="0D91FE49"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468" w:type="pct"/>
            <w:vMerge/>
            <w:tcBorders>
              <w:top w:val="single" w:sz="8" w:space="0" w:color="auto"/>
              <w:left w:val="single" w:sz="8" w:space="0" w:color="auto"/>
              <w:bottom w:val="single" w:sz="8" w:space="0" w:color="000000"/>
              <w:right w:val="single" w:sz="8" w:space="0" w:color="auto"/>
            </w:tcBorders>
            <w:vAlign w:val="center"/>
            <w:hideMark/>
          </w:tcPr>
          <w:p w14:paraId="34D4F5FC"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221" w:type="pct"/>
            <w:vMerge/>
            <w:tcBorders>
              <w:top w:val="single" w:sz="8" w:space="0" w:color="auto"/>
              <w:left w:val="single" w:sz="8" w:space="0" w:color="auto"/>
              <w:bottom w:val="single" w:sz="8" w:space="0" w:color="000000"/>
              <w:right w:val="single" w:sz="8" w:space="0" w:color="auto"/>
            </w:tcBorders>
            <w:vAlign w:val="center"/>
            <w:hideMark/>
          </w:tcPr>
          <w:p w14:paraId="68ED989D"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32" w:type="pct"/>
            <w:tcBorders>
              <w:top w:val="nil"/>
              <w:left w:val="nil"/>
              <w:bottom w:val="nil"/>
              <w:right w:val="single" w:sz="8" w:space="0" w:color="auto"/>
            </w:tcBorders>
            <w:shd w:val="clear" w:color="000000" w:fill="D9D9D9"/>
            <w:vAlign w:val="center"/>
            <w:hideMark/>
          </w:tcPr>
          <w:p w14:paraId="7E04B79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16042607"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38338BEC"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6" w:type="pct"/>
            <w:tcBorders>
              <w:top w:val="nil"/>
              <w:left w:val="nil"/>
              <w:bottom w:val="nil"/>
              <w:right w:val="single" w:sz="8" w:space="0" w:color="auto"/>
            </w:tcBorders>
            <w:shd w:val="clear" w:color="000000" w:fill="D9D9D9"/>
            <w:vAlign w:val="center"/>
            <w:hideMark/>
          </w:tcPr>
          <w:p w14:paraId="2C8BAB1C"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Year</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05302ADD"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54" w:type="pct"/>
            <w:vMerge/>
            <w:tcBorders>
              <w:top w:val="single" w:sz="8" w:space="0" w:color="auto"/>
              <w:left w:val="single" w:sz="8" w:space="0" w:color="auto"/>
              <w:bottom w:val="single" w:sz="8" w:space="0" w:color="000000"/>
              <w:right w:val="single" w:sz="8" w:space="0" w:color="auto"/>
            </w:tcBorders>
            <w:vAlign w:val="center"/>
            <w:hideMark/>
          </w:tcPr>
          <w:p w14:paraId="23E92406"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single" w:sz="8" w:space="0" w:color="auto"/>
              <w:left w:val="single" w:sz="8" w:space="0" w:color="auto"/>
              <w:bottom w:val="single" w:sz="8" w:space="0" w:color="000000"/>
              <w:right w:val="single" w:sz="8" w:space="0" w:color="auto"/>
            </w:tcBorders>
            <w:vAlign w:val="center"/>
            <w:hideMark/>
          </w:tcPr>
          <w:p w14:paraId="4217B573"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60" w:type="pct"/>
            <w:vMerge/>
            <w:tcBorders>
              <w:top w:val="single" w:sz="8" w:space="0" w:color="auto"/>
              <w:left w:val="single" w:sz="8" w:space="0" w:color="auto"/>
              <w:bottom w:val="single" w:sz="8" w:space="0" w:color="000000"/>
              <w:right w:val="single" w:sz="8" w:space="0" w:color="auto"/>
            </w:tcBorders>
            <w:vAlign w:val="center"/>
            <w:hideMark/>
          </w:tcPr>
          <w:p w14:paraId="2298CA41"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1342" w:type="pct"/>
            <w:vMerge/>
            <w:tcBorders>
              <w:top w:val="single" w:sz="8" w:space="0" w:color="auto"/>
              <w:left w:val="single" w:sz="8" w:space="0" w:color="auto"/>
              <w:bottom w:val="single" w:sz="8" w:space="0" w:color="000000"/>
              <w:right w:val="single" w:sz="8" w:space="0" w:color="auto"/>
            </w:tcBorders>
            <w:vAlign w:val="center"/>
            <w:hideMark/>
          </w:tcPr>
          <w:p w14:paraId="5A93F268" w14:textId="77777777" w:rsidR="00571EAF" w:rsidRPr="004A694D" w:rsidRDefault="00571EAF" w:rsidP="00571EAF">
            <w:pPr>
              <w:spacing w:after="0" w:line="240" w:lineRule="auto"/>
              <w:rPr>
                <w:rFonts w:ascii="Times New Roman" w:eastAsia="Times New Roman" w:hAnsi="Times New Roman" w:cs="Times New Roman"/>
                <w:b/>
                <w:bCs/>
              </w:rPr>
            </w:pPr>
          </w:p>
        </w:tc>
      </w:tr>
      <w:tr w:rsidR="00571EAF" w:rsidRPr="004A694D" w14:paraId="508291E1" w14:textId="77777777" w:rsidTr="00B26E71">
        <w:trPr>
          <w:trHeight w:val="315"/>
        </w:trPr>
        <w:tc>
          <w:tcPr>
            <w:tcW w:w="189" w:type="pct"/>
            <w:vMerge/>
            <w:tcBorders>
              <w:top w:val="single" w:sz="8" w:space="0" w:color="auto"/>
              <w:left w:val="single" w:sz="8" w:space="0" w:color="auto"/>
              <w:bottom w:val="single" w:sz="8" w:space="0" w:color="000000"/>
              <w:right w:val="single" w:sz="8" w:space="0" w:color="auto"/>
            </w:tcBorders>
            <w:vAlign w:val="center"/>
            <w:hideMark/>
          </w:tcPr>
          <w:p w14:paraId="16DF2B3C"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468" w:type="pct"/>
            <w:vMerge/>
            <w:tcBorders>
              <w:top w:val="single" w:sz="8" w:space="0" w:color="auto"/>
              <w:left w:val="single" w:sz="8" w:space="0" w:color="auto"/>
              <w:bottom w:val="single" w:sz="8" w:space="0" w:color="000000"/>
              <w:right w:val="single" w:sz="8" w:space="0" w:color="auto"/>
            </w:tcBorders>
            <w:vAlign w:val="center"/>
            <w:hideMark/>
          </w:tcPr>
          <w:p w14:paraId="0A8A47E2"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221" w:type="pct"/>
            <w:vMerge/>
            <w:tcBorders>
              <w:top w:val="single" w:sz="8" w:space="0" w:color="auto"/>
              <w:left w:val="single" w:sz="8" w:space="0" w:color="auto"/>
              <w:bottom w:val="single" w:sz="8" w:space="0" w:color="000000"/>
              <w:right w:val="single" w:sz="8" w:space="0" w:color="auto"/>
            </w:tcBorders>
            <w:vAlign w:val="center"/>
            <w:hideMark/>
          </w:tcPr>
          <w:p w14:paraId="75F46D95"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32" w:type="pct"/>
            <w:tcBorders>
              <w:top w:val="nil"/>
              <w:left w:val="nil"/>
              <w:bottom w:val="single" w:sz="8" w:space="0" w:color="auto"/>
              <w:right w:val="single" w:sz="8" w:space="0" w:color="auto"/>
            </w:tcBorders>
            <w:shd w:val="clear" w:color="000000" w:fill="D9D9D9"/>
            <w:vAlign w:val="center"/>
            <w:hideMark/>
          </w:tcPr>
          <w:p w14:paraId="3D1CEE15"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2022</w:t>
            </w:r>
          </w:p>
        </w:tc>
        <w:tc>
          <w:tcPr>
            <w:tcW w:w="356" w:type="pct"/>
            <w:tcBorders>
              <w:top w:val="nil"/>
              <w:left w:val="nil"/>
              <w:bottom w:val="single" w:sz="8" w:space="0" w:color="auto"/>
              <w:right w:val="single" w:sz="8" w:space="0" w:color="auto"/>
            </w:tcBorders>
            <w:shd w:val="clear" w:color="000000" w:fill="D9D9D9"/>
            <w:vAlign w:val="center"/>
            <w:hideMark/>
          </w:tcPr>
          <w:p w14:paraId="19E66656"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2023</w:t>
            </w:r>
          </w:p>
        </w:tc>
        <w:tc>
          <w:tcPr>
            <w:tcW w:w="356" w:type="pct"/>
            <w:tcBorders>
              <w:top w:val="nil"/>
              <w:left w:val="nil"/>
              <w:bottom w:val="single" w:sz="8" w:space="0" w:color="auto"/>
              <w:right w:val="single" w:sz="8" w:space="0" w:color="auto"/>
            </w:tcBorders>
            <w:shd w:val="clear" w:color="000000" w:fill="D9D9D9"/>
            <w:vAlign w:val="center"/>
            <w:hideMark/>
          </w:tcPr>
          <w:p w14:paraId="36F0A864" w14:textId="77777777" w:rsidR="00571EAF" w:rsidRPr="004A694D"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2024</w:t>
            </w:r>
          </w:p>
        </w:tc>
        <w:tc>
          <w:tcPr>
            <w:tcW w:w="356" w:type="pct"/>
            <w:tcBorders>
              <w:top w:val="nil"/>
              <w:left w:val="nil"/>
              <w:bottom w:val="single" w:sz="8" w:space="0" w:color="auto"/>
              <w:right w:val="single" w:sz="8" w:space="0" w:color="auto"/>
            </w:tcBorders>
            <w:shd w:val="clear" w:color="000000" w:fill="D9D9D9"/>
            <w:vAlign w:val="center"/>
            <w:hideMark/>
          </w:tcPr>
          <w:p w14:paraId="4978D22E" w14:textId="77777777" w:rsidR="00571EAF" w:rsidRPr="004A694D"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3B23FDFC"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54" w:type="pct"/>
            <w:vMerge/>
            <w:tcBorders>
              <w:top w:val="single" w:sz="8" w:space="0" w:color="auto"/>
              <w:left w:val="single" w:sz="8" w:space="0" w:color="auto"/>
              <w:bottom w:val="single" w:sz="8" w:space="0" w:color="000000"/>
              <w:right w:val="single" w:sz="8" w:space="0" w:color="auto"/>
            </w:tcBorders>
            <w:vAlign w:val="center"/>
            <w:hideMark/>
          </w:tcPr>
          <w:p w14:paraId="6ED38D20"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single" w:sz="8" w:space="0" w:color="auto"/>
              <w:left w:val="single" w:sz="8" w:space="0" w:color="auto"/>
              <w:bottom w:val="single" w:sz="8" w:space="0" w:color="000000"/>
              <w:right w:val="single" w:sz="8" w:space="0" w:color="auto"/>
            </w:tcBorders>
            <w:vAlign w:val="center"/>
            <w:hideMark/>
          </w:tcPr>
          <w:p w14:paraId="44DA09FF"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360" w:type="pct"/>
            <w:vMerge/>
            <w:tcBorders>
              <w:top w:val="single" w:sz="8" w:space="0" w:color="auto"/>
              <w:left w:val="single" w:sz="8" w:space="0" w:color="auto"/>
              <w:bottom w:val="single" w:sz="8" w:space="0" w:color="000000"/>
              <w:right w:val="single" w:sz="8" w:space="0" w:color="auto"/>
            </w:tcBorders>
            <w:vAlign w:val="center"/>
            <w:hideMark/>
          </w:tcPr>
          <w:p w14:paraId="7BBE61C3" w14:textId="77777777" w:rsidR="00571EAF" w:rsidRPr="004A694D" w:rsidRDefault="00571EAF" w:rsidP="00571EAF">
            <w:pPr>
              <w:spacing w:after="0" w:line="240" w:lineRule="auto"/>
              <w:rPr>
                <w:rFonts w:ascii="Times New Roman" w:eastAsia="Times New Roman" w:hAnsi="Times New Roman" w:cs="Times New Roman"/>
                <w:b/>
                <w:bCs/>
                <w:sz w:val="18"/>
                <w:szCs w:val="18"/>
              </w:rPr>
            </w:pPr>
          </w:p>
        </w:tc>
        <w:tc>
          <w:tcPr>
            <w:tcW w:w="1342" w:type="pct"/>
            <w:vMerge/>
            <w:tcBorders>
              <w:top w:val="single" w:sz="8" w:space="0" w:color="auto"/>
              <w:left w:val="single" w:sz="8" w:space="0" w:color="auto"/>
              <w:bottom w:val="single" w:sz="8" w:space="0" w:color="000000"/>
              <w:right w:val="single" w:sz="8" w:space="0" w:color="auto"/>
            </w:tcBorders>
            <w:vAlign w:val="center"/>
            <w:hideMark/>
          </w:tcPr>
          <w:p w14:paraId="51B965C8" w14:textId="77777777" w:rsidR="00571EAF" w:rsidRPr="004A694D" w:rsidRDefault="00571EAF" w:rsidP="00571EAF">
            <w:pPr>
              <w:spacing w:after="0" w:line="240" w:lineRule="auto"/>
              <w:rPr>
                <w:rFonts w:ascii="Times New Roman" w:eastAsia="Times New Roman" w:hAnsi="Times New Roman" w:cs="Times New Roman"/>
                <w:b/>
                <w:bCs/>
              </w:rPr>
            </w:pPr>
          </w:p>
        </w:tc>
      </w:tr>
      <w:tr w:rsidR="00571EAF" w:rsidRPr="00764826" w14:paraId="1B619E47" w14:textId="77777777" w:rsidTr="00B26E71">
        <w:trPr>
          <w:trHeight w:val="444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C2357FB" w14:textId="77777777" w:rsidR="00571EAF" w:rsidRPr="0076482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V.3.1</w:t>
            </w:r>
          </w:p>
        </w:tc>
        <w:tc>
          <w:tcPr>
            <w:tcW w:w="468" w:type="pct"/>
            <w:tcBorders>
              <w:top w:val="nil"/>
              <w:left w:val="nil"/>
              <w:bottom w:val="single" w:sz="8" w:space="0" w:color="auto"/>
              <w:right w:val="single" w:sz="8" w:space="0" w:color="auto"/>
            </w:tcBorders>
            <w:shd w:val="clear" w:color="auto" w:fill="auto"/>
            <w:vAlign w:val="center"/>
            <w:hideMark/>
          </w:tcPr>
          <w:p w14:paraId="32F2F999"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Increasing the KEPA capacities for monitoring, evaluating and reporting emissions from large combustion plants</w:t>
            </w:r>
          </w:p>
        </w:tc>
        <w:tc>
          <w:tcPr>
            <w:tcW w:w="221" w:type="pct"/>
            <w:tcBorders>
              <w:top w:val="nil"/>
              <w:left w:val="nil"/>
              <w:bottom w:val="single" w:sz="8" w:space="0" w:color="auto"/>
              <w:right w:val="single" w:sz="8" w:space="0" w:color="auto"/>
            </w:tcBorders>
            <w:shd w:val="clear" w:color="auto" w:fill="auto"/>
            <w:vAlign w:val="center"/>
            <w:hideMark/>
          </w:tcPr>
          <w:p w14:paraId="2E5E2C03" w14:textId="77777777" w:rsidR="00571EAF" w:rsidRPr="0076482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2025</w:t>
            </w:r>
          </w:p>
        </w:tc>
        <w:tc>
          <w:tcPr>
            <w:tcW w:w="332" w:type="pct"/>
            <w:tcBorders>
              <w:top w:val="nil"/>
              <w:left w:val="nil"/>
              <w:bottom w:val="single" w:sz="8" w:space="0" w:color="auto"/>
              <w:right w:val="single" w:sz="8" w:space="0" w:color="auto"/>
            </w:tcBorders>
            <w:shd w:val="clear" w:color="auto" w:fill="auto"/>
            <w:vAlign w:val="center"/>
            <w:hideMark/>
          </w:tcPr>
          <w:p w14:paraId="6DCB493A" w14:textId="77777777" w:rsidR="00571EAF" w:rsidRPr="0076482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w:t>
            </w:r>
          </w:p>
        </w:tc>
        <w:tc>
          <w:tcPr>
            <w:tcW w:w="356" w:type="pct"/>
            <w:tcBorders>
              <w:top w:val="nil"/>
              <w:left w:val="nil"/>
              <w:bottom w:val="single" w:sz="8" w:space="0" w:color="auto"/>
              <w:right w:val="single" w:sz="8" w:space="0" w:color="auto"/>
            </w:tcBorders>
            <w:shd w:val="clear" w:color="auto" w:fill="auto"/>
            <w:vAlign w:val="center"/>
            <w:hideMark/>
          </w:tcPr>
          <w:p w14:paraId="2AC5239E" w14:textId="77777777" w:rsidR="00571EAF" w:rsidRPr="0076482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9,000.00 </w:t>
            </w:r>
          </w:p>
        </w:tc>
        <w:tc>
          <w:tcPr>
            <w:tcW w:w="356" w:type="pct"/>
            <w:tcBorders>
              <w:top w:val="nil"/>
              <w:left w:val="nil"/>
              <w:bottom w:val="single" w:sz="8" w:space="0" w:color="auto"/>
              <w:right w:val="single" w:sz="8" w:space="0" w:color="auto"/>
            </w:tcBorders>
            <w:shd w:val="clear" w:color="auto" w:fill="auto"/>
            <w:vAlign w:val="center"/>
            <w:hideMark/>
          </w:tcPr>
          <w:p w14:paraId="67F42D74" w14:textId="77777777" w:rsidR="00571EAF" w:rsidRPr="00764826" w:rsidRDefault="00571EAF"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sz w:val="18"/>
              </w:rPr>
              <w:t xml:space="preserve"> €               9,000.00 </w:t>
            </w:r>
          </w:p>
        </w:tc>
        <w:tc>
          <w:tcPr>
            <w:tcW w:w="356" w:type="pct"/>
            <w:tcBorders>
              <w:top w:val="nil"/>
              <w:left w:val="nil"/>
              <w:bottom w:val="single" w:sz="8" w:space="0" w:color="auto"/>
              <w:right w:val="single" w:sz="8" w:space="0" w:color="auto"/>
            </w:tcBorders>
            <w:shd w:val="clear" w:color="auto" w:fill="auto"/>
            <w:vAlign w:val="center"/>
            <w:hideMark/>
          </w:tcPr>
          <w:p w14:paraId="1D8098CE" w14:textId="77777777" w:rsidR="00571EAF" w:rsidRPr="0076482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 xml:space="preserve"> €           9,000.00 </w:t>
            </w:r>
          </w:p>
        </w:tc>
        <w:tc>
          <w:tcPr>
            <w:tcW w:w="355" w:type="pct"/>
            <w:tcBorders>
              <w:top w:val="nil"/>
              <w:left w:val="nil"/>
              <w:bottom w:val="single" w:sz="8" w:space="0" w:color="auto"/>
              <w:right w:val="single" w:sz="8" w:space="0" w:color="auto"/>
            </w:tcBorders>
            <w:shd w:val="clear" w:color="auto" w:fill="auto"/>
            <w:vAlign w:val="center"/>
            <w:hideMark/>
          </w:tcPr>
          <w:p w14:paraId="6972CC42" w14:textId="77777777" w:rsidR="00571EAF" w:rsidRPr="0076482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Kosovo Budget (KB)</w:t>
            </w:r>
          </w:p>
        </w:tc>
        <w:tc>
          <w:tcPr>
            <w:tcW w:w="354" w:type="pct"/>
            <w:tcBorders>
              <w:top w:val="nil"/>
              <w:left w:val="nil"/>
              <w:bottom w:val="single" w:sz="8" w:space="0" w:color="auto"/>
              <w:right w:val="single" w:sz="8" w:space="0" w:color="auto"/>
            </w:tcBorders>
            <w:shd w:val="clear" w:color="auto" w:fill="auto"/>
            <w:vAlign w:val="center"/>
            <w:hideMark/>
          </w:tcPr>
          <w:p w14:paraId="7412ED5E" w14:textId="77777777" w:rsidR="00571EAF" w:rsidRPr="00764826"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MESPI, Kosovo Environmental Protection Agency (KEPA)</w:t>
            </w:r>
          </w:p>
        </w:tc>
        <w:tc>
          <w:tcPr>
            <w:tcW w:w="311" w:type="pct"/>
            <w:tcBorders>
              <w:top w:val="nil"/>
              <w:left w:val="nil"/>
              <w:bottom w:val="single" w:sz="8" w:space="0" w:color="auto"/>
              <w:right w:val="single" w:sz="8" w:space="0" w:color="auto"/>
            </w:tcBorders>
            <w:shd w:val="clear" w:color="auto" w:fill="auto"/>
            <w:vAlign w:val="center"/>
            <w:hideMark/>
          </w:tcPr>
          <w:p w14:paraId="152936D9"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Increasing the KEPA staff capacities for monitoring, evaluating and reporting emissions from large combustion plants</w:t>
            </w:r>
          </w:p>
        </w:tc>
        <w:tc>
          <w:tcPr>
            <w:tcW w:w="360" w:type="pct"/>
            <w:tcBorders>
              <w:top w:val="nil"/>
              <w:left w:val="nil"/>
              <w:bottom w:val="single" w:sz="8" w:space="0" w:color="auto"/>
              <w:right w:val="single" w:sz="8" w:space="0" w:color="auto"/>
            </w:tcBorders>
            <w:shd w:val="clear" w:color="auto" w:fill="auto"/>
            <w:hideMark/>
          </w:tcPr>
          <w:p w14:paraId="6929D482" w14:textId="77777777" w:rsidR="00571EAF" w:rsidRPr="0014539F" w:rsidRDefault="00571EAF"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rPr>
              <w:t>Administrative Instruction on the Rules and Standards of the Discharges on Air and Stationary Sources of Pollution</w:t>
            </w:r>
          </w:p>
        </w:tc>
        <w:tc>
          <w:tcPr>
            <w:tcW w:w="1342" w:type="pct"/>
            <w:tcBorders>
              <w:top w:val="nil"/>
              <w:left w:val="nil"/>
              <w:bottom w:val="single" w:sz="8" w:space="0" w:color="auto"/>
              <w:right w:val="single" w:sz="8" w:space="0" w:color="auto"/>
            </w:tcBorders>
            <w:shd w:val="clear" w:color="auto" w:fill="auto"/>
            <w:vAlign w:val="center"/>
            <w:hideMark/>
          </w:tcPr>
          <w:p w14:paraId="04CA697B" w14:textId="16822BE7" w:rsidR="00B26E71" w:rsidRPr="00764826" w:rsidRDefault="00B26E71" w:rsidP="000D0440">
            <w:pPr>
              <w:spacing w:after="0" w:line="240" w:lineRule="auto"/>
              <w:jc w:val="both"/>
              <w:rPr>
                <w:rFonts w:ascii="Times New Roman" w:eastAsia="Times New Roman" w:hAnsi="Times New Roman" w:cs="Times New Roman"/>
                <w:sz w:val="18"/>
                <w:szCs w:val="18"/>
              </w:rPr>
            </w:pPr>
            <w:r>
              <w:rPr>
                <w:rFonts w:ascii="Times New Roman" w:hAnsi="Times New Roman"/>
                <w:sz w:val="18"/>
              </w:rPr>
              <w:t>During the period January–December 2024, within the framework of the “Capacity Building for Air Pollution Control in Kosovo” project supported by JICA, five (5) officials of KEPA were trained in monitoring, assessment, verification, and reporting of emissions from large combustion plants, and four (4) trainings and workshops were held. Seven (7) officials from KEPA and MESPI participated in a study visit to Japan, where, among other topics, pollution sources from industry and other sectors were addressed. # officials from KEPA participated in the air emissions conference under CLRTAP, which was held in Brussels.</w:t>
            </w:r>
          </w:p>
          <w:p w14:paraId="643D3686" w14:textId="0AD49D2D" w:rsidR="00571EAF" w:rsidRPr="00764826" w:rsidRDefault="00B26E71" w:rsidP="000D0440">
            <w:pPr>
              <w:spacing w:after="0" w:line="240" w:lineRule="auto"/>
              <w:jc w:val="both"/>
              <w:rPr>
                <w:rFonts w:ascii="Times New Roman" w:eastAsia="Times New Roman" w:hAnsi="Times New Roman" w:cs="Times New Roman"/>
                <w:sz w:val="18"/>
                <w:szCs w:val="18"/>
              </w:rPr>
            </w:pPr>
            <w:r>
              <w:rPr>
                <w:rFonts w:ascii="Times New Roman" w:hAnsi="Times New Roman"/>
                <w:sz w:val="18"/>
              </w:rPr>
              <w:t>Data on emissions from large combustion plants have been reported to the European Environment Agency within the Energy Community – Reporting on Combustion Plants obligations (https://cdr.eionet.europa.eu/xk/eu/energycommunity/envzcosca/). In addition, data on emissions from large combustion plants have also been included in air emissions inventory reporting in accordance with CLRTAP requirements (https://cdr.eionet.europa.eu/xk/un/clrtap/inventories/). Data on emissions from large combustion plants have likewise been included in the Air Quality Report 2023 and the Environment Status Report 2023.</w:t>
            </w:r>
          </w:p>
        </w:tc>
      </w:tr>
    </w:tbl>
    <w:p w14:paraId="27EEA8F6" w14:textId="77777777" w:rsidR="00682BBE" w:rsidRPr="00764826" w:rsidRDefault="00682BBE" w:rsidP="00897969">
      <w:pPr>
        <w:rPr>
          <w:rFonts w:ascii="Times New Roman" w:hAnsi="Times New Roman" w:cs="Times New Roman"/>
          <w:b/>
          <w:sz w:val="28"/>
          <w:szCs w:val="24"/>
        </w:rPr>
      </w:pPr>
    </w:p>
    <w:p w14:paraId="09D4B5D8" w14:textId="77777777" w:rsidR="00682BBE" w:rsidRDefault="00682BBE" w:rsidP="007D1D84">
      <w:pPr>
        <w:pStyle w:val="ListParagraph"/>
        <w:ind w:left="1080"/>
        <w:rPr>
          <w:rFonts w:ascii="Times New Roman" w:hAnsi="Times New Roman" w:cs="Times New Roman"/>
          <w:b/>
          <w:sz w:val="28"/>
          <w:szCs w:val="24"/>
        </w:rPr>
      </w:pPr>
      <w:bookmarkStart w:id="11" w:name="_GoBack"/>
      <w:bookmarkEnd w:id="11"/>
    </w:p>
    <w:p w14:paraId="4050D617" w14:textId="040A3A90" w:rsidR="008A12C4" w:rsidRPr="00CB7FE4" w:rsidRDefault="001D13F9" w:rsidP="001D13F9">
      <w:pPr>
        <w:pStyle w:val="ListParagraph"/>
        <w:ind w:left="1080"/>
        <w:rPr>
          <w:rFonts w:ascii="Times New Roman" w:hAnsi="Times New Roman" w:cs="Times New Roman"/>
          <w:b/>
          <w:sz w:val="28"/>
          <w:szCs w:val="28"/>
        </w:rPr>
      </w:pPr>
      <w:r>
        <w:rPr>
          <w:rFonts w:ascii="Times New Roman" w:hAnsi="Times New Roman"/>
          <w:b/>
          <w:sz w:val="28"/>
        </w:rPr>
        <w:t xml:space="preserve">                                                                     End of document</w:t>
      </w:r>
    </w:p>
    <w:sectPr w:rsidR="008A12C4" w:rsidRPr="00CB7FE4" w:rsidSect="004A694D">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BD65" w14:textId="77777777" w:rsidR="00AD7D07" w:rsidRDefault="00AD7D07" w:rsidP="00BC2B80">
      <w:pPr>
        <w:spacing w:after="0" w:line="240" w:lineRule="auto"/>
      </w:pPr>
      <w:r>
        <w:separator/>
      </w:r>
    </w:p>
  </w:endnote>
  <w:endnote w:type="continuationSeparator" w:id="0">
    <w:p w14:paraId="3825E614" w14:textId="77777777" w:rsidR="00AD7D07" w:rsidRDefault="00AD7D07" w:rsidP="00BC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920058"/>
      <w:docPartObj>
        <w:docPartGallery w:val="Page Numbers (Bottom of Page)"/>
        <w:docPartUnique/>
      </w:docPartObj>
    </w:sdtPr>
    <w:sdtEndPr>
      <w:rPr>
        <w:noProof/>
      </w:rPr>
    </w:sdtEndPr>
    <w:sdtContent>
      <w:p w14:paraId="01BA21B9" w14:textId="41F5BFDA" w:rsidR="006D6D77" w:rsidRDefault="006D6D77">
        <w:pPr>
          <w:pStyle w:val="Footer"/>
          <w:jc w:val="right"/>
        </w:pPr>
        <w:r>
          <w:fldChar w:fldCharType="begin"/>
        </w:r>
        <w:r>
          <w:instrText xml:space="preserve"> PAGE   \* MERGEFORMAT </w:instrText>
        </w:r>
        <w:r>
          <w:fldChar w:fldCharType="separate"/>
        </w:r>
        <w:r w:rsidR="00C849A7">
          <w:rPr>
            <w:noProof/>
          </w:rPr>
          <w:t>63</w:t>
        </w:r>
        <w:r>
          <w:fldChar w:fldCharType="end"/>
        </w:r>
      </w:p>
    </w:sdtContent>
  </w:sdt>
  <w:p w14:paraId="5CAC6749" w14:textId="77777777" w:rsidR="006D6D77" w:rsidRDefault="006D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75106" w14:textId="77777777" w:rsidR="00AD7D07" w:rsidRDefault="00AD7D07" w:rsidP="00BC2B80">
      <w:pPr>
        <w:spacing w:after="0" w:line="240" w:lineRule="auto"/>
      </w:pPr>
      <w:r>
        <w:separator/>
      </w:r>
    </w:p>
  </w:footnote>
  <w:footnote w:type="continuationSeparator" w:id="0">
    <w:p w14:paraId="41306F25" w14:textId="77777777" w:rsidR="00AD7D07" w:rsidRDefault="00AD7D07" w:rsidP="00BC2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2FD53EA"/>
    <w:multiLevelType w:val="multilevel"/>
    <w:tmpl w:val="F050D2C4"/>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83C63"/>
    <w:multiLevelType w:val="multilevel"/>
    <w:tmpl w:val="D408BF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884CED"/>
    <w:multiLevelType w:val="hybridMultilevel"/>
    <w:tmpl w:val="8E54A7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45F1F"/>
    <w:multiLevelType w:val="hybridMultilevel"/>
    <w:tmpl w:val="22D23D9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C5E16"/>
    <w:multiLevelType w:val="hybridMultilevel"/>
    <w:tmpl w:val="07EE982C"/>
    <w:lvl w:ilvl="0" w:tplc="62A85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A1222"/>
    <w:multiLevelType w:val="hybridMultilevel"/>
    <w:tmpl w:val="E86C2C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D0D45"/>
    <w:multiLevelType w:val="hybridMultilevel"/>
    <w:tmpl w:val="62443A7E"/>
    <w:lvl w:ilvl="0" w:tplc="6F7A21CC">
      <w:start w:val="1"/>
      <w:numFmt w:val="upperRoman"/>
      <w:lvlText w:val="%1."/>
      <w:lvlJc w:val="left"/>
      <w:pPr>
        <w:ind w:left="337" w:hanging="217"/>
      </w:pPr>
      <w:rPr>
        <w:rFonts w:ascii="Tahoma" w:eastAsia="Tahoma" w:hAnsi="Tahoma" w:cs="Tahoma" w:hint="default"/>
        <w:b/>
        <w:bCs/>
        <w:color w:val="0F3D5C"/>
        <w:spacing w:val="-1"/>
        <w:w w:val="67"/>
        <w:sz w:val="28"/>
        <w:szCs w:val="28"/>
        <w:lang w:val="sq-AL" w:eastAsia="en-US" w:bidi="ar-SA"/>
      </w:rPr>
    </w:lvl>
    <w:lvl w:ilvl="1" w:tplc="DB422210">
      <w:numFmt w:val="bullet"/>
      <w:lvlText w:val="•"/>
      <w:lvlJc w:val="left"/>
      <w:pPr>
        <w:ind w:left="573" w:hanging="341"/>
      </w:pPr>
      <w:rPr>
        <w:rFonts w:ascii="Tahoma" w:eastAsia="Tahoma" w:hAnsi="Tahoma" w:cs="Tahoma" w:hint="default"/>
        <w:b/>
        <w:bCs/>
        <w:color w:val="A49375"/>
        <w:w w:val="91"/>
        <w:sz w:val="20"/>
        <w:szCs w:val="20"/>
        <w:lang w:val="sq-AL" w:eastAsia="en-US" w:bidi="ar-SA"/>
      </w:rPr>
    </w:lvl>
    <w:lvl w:ilvl="2" w:tplc="09AA2722">
      <w:numFmt w:val="bullet"/>
      <w:lvlText w:val="•"/>
      <w:lvlJc w:val="left"/>
      <w:pPr>
        <w:ind w:left="1490" w:hanging="341"/>
      </w:pPr>
      <w:rPr>
        <w:rFonts w:hint="default"/>
        <w:lang w:val="sq-AL" w:eastAsia="en-US" w:bidi="ar-SA"/>
      </w:rPr>
    </w:lvl>
    <w:lvl w:ilvl="3" w:tplc="BFB2C2A4">
      <w:numFmt w:val="bullet"/>
      <w:lvlText w:val="•"/>
      <w:lvlJc w:val="left"/>
      <w:pPr>
        <w:ind w:left="2401" w:hanging="341"/>
      </w:pPr>
      <w:rPr>
        <w:rFonts w:hint="default"/>
        <w:lang w:val="sq-AL" w:eastAsia="en-US" w:bidi="ar-SA"/>
      </w:rPr>
    </w:lvl>
    <w:lvl w:ilvl="4" w:tplc="872C1EEE">
      <w:numFmt w:val="bullet"/>
      <w:lvlText w:val="•"/>
      <w:lvlJc w:val="left"/>
      <w:pPr>
        <w:ind w:left="3312" w:hanging="341"/>
      </w:pPr>
      <w:rPr>
        <w:rFonts w:hint="default"/>
        <w:lang w:val="sq-AL" w:eastAsia="en-US" w:bidi="ar-SA"/>
      </w:rPr>
    </w:lvl>
    <w:lvl w:ilvl="5" w:tplc="E6A273EA">
      <w:numFmt w:val="bullet"/>
      <w:lvlText w:val="•"/>
      <w:lvlJc w:val="left"/>
      <w:pPr>
        <w:ind w:left="4223" w:hanging="341"/>
      </w:pPr>
      <w:rPr>
        <w:rFonts w:hint="default"/>
        <w:lang w:val="sq-AL" w:eastAsia="en-US" w:bidi="ar-SA"/>
      </w:rPr>
    </w:lvl>
    <w:lvl w:ilvl="6" w:tplc="5DF611CA">
      <w:numFmt w:val="bullet"/>
      <w:lvlText w:val="•"/>
      <w:lvlJc w:val="left"/>
      <w:pPr>
        <w:ind w:left="5134" w:hanging="341"/>
      </w:pPr>
      <w:rPr>
        <w:rFonts w:hint="default"/>
        <w:lang w:val="sq-AL" w:eastAsia="en-US" w:bidi="ar-SA"/>
      </w:rPr>
    </w:lvl>
    <w:lvl w:ilvl="7" w:tplc="D0025A3A">
      <w:numFmt w:val="bullet"/>
      <w:lvlText w:val="•"/>
      <w:lvlJc w:val="left"/>
      <w:pPr>
        <w:ind w:left="6045" w:hanging="341"/>
      </w:pPr>
      <w:rPr>
        <w:rFonts w:hint="default"/>
        <w:lang w:val="sq-AL" w:eastAsia="en-US" w:bidi="ar-SA"/>
      </w:rPr>
    </w:lvl>
    <w:lvl w:ilvl="8" w:tplc="BB6A4888">
      <w:numFmt w:val="bullet"/>
      <w:lvlText w:val="•"/>
      <w:lvlJc w:val="left"/>
      <w:pPr>
        <w:ind w:left="6956" w:hanging="341"/>
      </w:pPr>
      <w:rPr>
        <w:rFonts w:hint="default"/>
        <w:lang w:val="sq-AL" w:eastAsia="en-US" w:bidi="ar-SA"/>
      </w:rPr>
    </w:lvl>
  </w:abstractNum>
  <w:abstractNum w:abstractNumId="7" w15:restartNumberingAfterBreak="0">
    <w:nsid w:val="3AC43F9C"/>
    <w:multiLevelType w:val="hybridMultilevel"/>
    <w:tmpl w:val="3E24519C"/>
    <w:lvl w:ilvl="0" w:tplc="9066FF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359FC"/>
    <w:multiLevelType w:val="hybridMultilevel"/>
    <w:tmpl w:val="15B41EE6"/>
    <w:lvl w:ilvl="0" w:tplc="B12C5376">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B57DA"/>
    <w:multiLevelType w:val="hybridMultilevel"/>
    <w:tmpl w:val="38AA2ABE"/>
    <w:lvl w:ilvl="0" w:tplc="9FA4F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65A62"/>
    <w:multiLevelType w:val="hybridMultilevel"/>
    <w:tmpl w:val="A4E67ACC"/>
    <w:lvl w:ilvl="0" w:tplc="B55AD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90CB0"/>
    <w:multiLevelType w:val="hybridMultilevel"/>
    <w:tmpl w:val="DEBECDB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2D3A79"/>
    <w:multiLevelType w:val="hybridMultilevel"/>
    <w:tmpl w:val="15B41EE6"/>
    <w:lvl w:ilvl="0" w:tplc="B12C5376">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847E1"/>
    <w:multiLevelType w:val="hybridMultilevel"/>
    <w:tmpl w:val="C38ED998"/>
    <w:lvl w:ilvl="0" w:tplc="339657E8">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E25A3"/>
    <w:multiLevelType w:val="multilevel"/>
    <w:tmpl w:val="3BEC3C58"/>
    <w:lvl w:ilvl="0">
      <w:start w:val="2"/>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abstractNumId w:val="10"/>
  </w:num>
  <w:num w:numId="2">
    <w:abstractNumId w:val="9"/>
  </w:num>
  <w:num w:numId="3">
    <w:abstractNumId w:val="12"/>
  </w:num>
  <w:num w:numId="4">
    <w:abstractNumId w:val="4"/>
  </w:num>
  <w:num w:numId="5">
    <w:abstractNumId w:val="7"/>
  </w:num>
  <w:num w:numId="6">
    <w:abstractNumId w:val="11"/>
  </w:num>
  <w:num w:numId="7">
    <w:abstractNumId w:val="1"/>
  </w:num>
  <w:num w:numId="8">
    <w:abstractNumId w:val="8"/>
  </w:num>
  <w:num w:numId="9">
    <w:abstractNumId w:val="6"/>
  </w:num>
  <w:num w:numId="10">
    <w:abstractNumId w:val="13"/>
  </w:num>
  <w:num w:numId="11">
    <w:abstractNumId w:val="3"/>
  </w:num>
  <w:num w:numId="12">
    <w:abstractNumId w:val="2"/>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2C"/>
    <w:rsid w:val="00001C3B"/>
    <w:rsid w:val="00002B9C"/>
    <w:rsid w:val="000066F7"/>
    <w:rsid w:val="000068B5"/>
    <w:rsid w:val="000071F2"/>
    <w:rsid w:val="0000747D"/>
    <w:rsid w:val="00007B66"/>
    <w:rsid w:val="00007C4D"/>
    <w:rsid w:val="00010087"/>
    <w:rsid w:val="00010AEF"/>
    <w:rsid w:val="00011877"/>
    <w:rsid w:val="00011EC3"/>
    <w:rsid w:val="0001234F"/>
    <w:rsid w:val="00013026"/>
    <w:rsid w:val="000133C6"/>
    <w:rsid w:val="000134C7"/>
    <w:rsid w:val="000142A9"/>
    <w:rsid w:val="00016A58"/>
    <w:rsid w:val="00016DBB"/>
    <w:rsid w:val="0001779A"/>
    <w:rsid w:val="00017A32"/>
    <w:rsid w:val="00017AD9"/>
    <w:rsid w:val="00017E01"/>
    <w:rsid w:val="00020620"/>
    <w:rsid w:val="000208EA"/>
    <w:rsid w:val="00022B0B"/>
    <w:rsid w:val="00022F7B"/>
    <w:rsid w:val="00024BFD"/>
    <w:rsid w:val="00024E65"/>
    <w:rsid w:val="00025BE5"/>
    <w:rsid w:val="00026FC5"/>
    <w:rsid w:val="00027483"/>
    <w:rsid w:val="000302E5"/>
    <w:rsid w:val="000305D6"/>
    <w:rsid w:val="00031E9F"/>
    <w:rsid w:val="00035956"/>
    <w:rsid w:val="00035C3E"/>
    <w:rsid w:val="00036DCE"/>
    <w:rsid w:val="00040276"/>
    <w:rsid w:val="00040E10"/>
    <w:rsid w:val="00041ADD"/>
    <w:rsid w:val="00042ABD"/>
    <w:rsid w:val="00045C4B"/>
    <w:rsid w:val="000506AB"/>
    <w:rsid w:val="00051E71"/>
    <w:rsid w:val="00052E01"/>
    <w:rsid w:val="000532B1"/>
    <w:rsid w:val="000541AE"/>
    <w:rsid w:val="00054751"/>
    <w:rsid w:val="000566D0"/>
    <w:rsid w:val="00057089"/>
    <w:rsid w:val="00062B41"/>
    <w:rsid w:val="00063AFF"/>
    <w:rsid w:val="00063FCB"/>
    <w:rsid w:val="00065C70"/>
    <w:rsid w:val="00066397"/>
    <w:rsid w:val="0006754C"/>
    <w:rsid w:val="00067B38"/>
    <w:rsid w:val="000709A6"/>
    <w:rsid w:val="00072162"/>
    <w:rsid w:val="00072BA3"/>
    <w:rsid w:val="00073326"/>
    <w:rsid w:val="000744DE"/>
    <w:rsid w:val="0007521C"/>
    <w:rsid w:val="000753C5"/>
    <w:rsid w:val="000757C6"/>
    <w:rsid w:val="00076085"/>
    <w:rsid w:val="00076573"/>
    <w:rsid w:val="0007674F"/>
    <w:rsid w:val="00076C48"/>
    <w:rsid w:val="00076C4F"/>
    <w:rsid w:val="00076D7A"/>
    <w:rsid w:val="00077D6F"/>
    <w:rsid w:val="00081788"/>
    <w:rsid w:val="000831E6"/>
    <w:rsid w:val="00083BCD"/>
    <w:rsid w:val="00084DC2"/>
    <w:rsid w:val="00085DD3"/>
    <w:rsid w:val="00090892"/>
    <w:rsid w:val="000909FF"/>
    <w:rsid w:val="00092747"/>
    <w:rsid w:val="0009347C"/>
    <w:rsid w:val="000937C8"/>
    <w:rsid w:val="00094026"/>
    <w:rsid w:val="00094138"/>
    <w:rsid w:val="00094B75"/>
    <w:rsid w:val="00095ECC"/>
    <w:rsid w:val="0009668B"/>
    <w:rsid w:val="000973BC"/>
    <w:rsid w:val="0009751D"/>
    <w:rsid w:val="00097B0F"/>
    <w:rsid w:val="000A3461"/>
    <w:rsid w:val="000A37B9"/>
    <w:rsid w:val="000A395E"/>
    <w:rsid w:val="000A43BE"/>
    <w:rsid w:val="000A5E3B"/>
    <w:rsid w:val="000A606A"/>
    <w:rsid w:val="000A6507"/>
    <w:rsid w:val="000B02AF"/>
    <w:rsid w:val="000B0DB7"/>
    <w:rsid w:val="000B1135"/>
    <w:rsid w:val="000B1576"/>
    <w:rsid w:val="000B1667"/>
    <w:rsid w:val="000B191A"/>
    <w:rsid w:val="000B1A3F"/>
    <w:rsid w:val="000B1D94"/>
    <w:rsid w:val="000B4A68"/>
    <w:rsid w:val="000C199E"/>
    <w:rsid w:val="000C3956"/>
    <w:rsid w:val="000C44DC"/>
    <w:rsid w:val="000C4AA7"/>
    <w:rsid w:val="000C5C7D"/>
    <w:rsid w:val="000C6420"/>
    <w:rsid w:val="000C787C"/>
    <w:rsid w:val="000D0440"/>
    <w:rsid w:val="000D2717"/>
    <w:rsid w:val="000D3AD7"/>
    <w:rsid w:val="000D6774"/>
    <w:rsid w:val="000D78E2"/>
    <w:rsid w:val="000E03EF"/>
    <w:rsid w:val="000E0459"/>
    <w:rsid w:val="000E2CE8"/>
    <w:rsid w:val="000E3FFC"/>
    <w:rsid w:val="000E4EBE"/>
    <w:rsid w:val="000F0C78"/>
    <w:rsid w:val="000F1BE5"/>
    <w:rsid w:val="000F1CBF"/>
    <w:rsid w:val="000F1EEB"/>
    <w:rsid w:val="000F34C2"/>
    <w:rsid w:val="000F4C78"/>
    <w:rsid w:val="000F5AB7"/>
    <w:rsid w:val="000F605E"/>
    <w:rsid w:val="000F72E6"/>
    <w:rsid w:val="001023D9"/>
    <w:rsid w:val="00103733"/>
    <w:rsid w:val="00103D45"/>
    <w:rsid w:val="001042F5"/>
    <w:rsid w:val="00104CEB"/>
    <w:rsid w:val="00106A7D"/>
    <w:rsid w:val="00114325"/>
    <w:rsid w:val="00116416"/>
    <w:rsid w:val="00116BB9"/>
    <w:rsid w:val="00116C57"/>
    <w:rsid w:val="00120BE3"/>
    <w:rsid w:val="001236CD"/>
    <w:rsid w:val="00123EE6"/>
    <w:rsid w:val="001260D1"/>
    <w:rsid w:val="00126C7C"/>
    <w:rsid w:val="00130011"/>
    <w:rsid w:val="0013062D"/>
    <w:rsid w:val="00132964"/>
    <w:rsid w:val="00132A55"/>
    <w:rsid w:val="00133275"/>
    <w:rsid w:val="00133640"/>
    <w:rsid w:val="00133A8D"/>
    <w:rsid w:val="001351EC"/>
    <w:rsid w:val="001352E3"/>
    <w:rsid w:val="00141288"/>
    <w:rsid w:val="00141759"/>
    <w:rsid w:val="00141F0B"/>
    <w:rsid w:val="001421D7"/>
    <w:rsid w:val="00142DFC"/>
    <w:rsid w:val="00142F4F"/>
    <w:rsid w:val="0014468A"/>
    <w:rsid w:val="00144860"/>
    <w:rsid w:val="0014539F"/>
    <w:rsid w:val="00146DCA"/>
    <w:rsid w:val="001471FB"/>
    <w:rsid w:val="00147340"/>
    <w:rsid w:val="001475CE"/>
    <w:rsid w:val="00155B93"/>
    <w:rsid w:val="00155E55"/>
    <w:rsid w:val="00156842"/>
    <w:rsid w:val="00161ACC"/>
    <w:rsid w:val="001654EC"/>
    <w:rsid w:val="00166A3E"/>
    <w:rsid w:val="001677D5"/>
    <w:rsid w:val="0016786A"/>
    <w:rsid w:val="00172D39"/>
    <w:rsid w:val="001733E2"/>
    <w:rsid w:val="001736FB"/>
    <w:rsid w:val="00173827"/>
    <w:rsid w:val="00173E64"/>
    <w:rsid w:val="0017419A"/>
    <w:rsid w:val="00176AA7"/>
    <w:rsid w:val="0018087F"/>
    <w:rsid w:val="00180A7C"/>
    <w:rsid w:val="00183A76"/>
    <w:rsid w:val="00184079"/>
    <w:rsid w:val="001844F3"/>
    <w:rsid w:val="001871F0"/>
    <w:rsid w:val="00190356"/>
    <w:rsid w:val="00191783"/>
    <w:rsid w:val="00191A13"/>
    <w:rsid w:val="00193DAF"/>
    <w:rsid w:val="00197E80"/>
    <w:rsid w:val="001A0186"/>
    <w:rsid w:val="001A0901"/>
    <w:rsid w:val="001A0C91"/>
    <w:rsid w:val="001A118E"/>
    <w:rsid w:val="001A1551"/>
    <w:rsid w:val="001A39A5"/>
    <w:rsid w:val="001A3A03"/>
    <w:rsid w:val="001A48F5"/>
    <w:rsid w:val="001A6B92"/>
    <w:rsid w:val="001A7165"/>
    <w:rsid w:val="001B0E7E"/>
    <w:rsid w:val="001B1056"/>
    <w:rsid w:val="001B19AE"/>
    <w:rsid w:val="001B2AD2"/>
    <w:rsid w:val="001B3485"/>
    <w:rsid w:val="001B3594"/>
    <w:rsid w:val="001B3F6E"/>
    <w:rsid w:val="001B573A"/>
    <w:rsid w:val="001B7470"/>
    <w:rsid w:val="001B7EDE"/>
    <w:rsid w:val="001C0D33"/>
    <w:rsid w:val="001C153A"/>
    <w:rsid w:val="001C19C7"/>
    <w:rsid w:val="001C21D7"/>
    <w:rsid w:val="001C2CEA"/>
    <w:rsid w:val="001C508B"/>
    <w:rsid w:val="001C533F"/>
    <w:rsid w:val="001C6A25"/>
    <w:rsid w:val="001C7F2C"/>
    <w:rsid w:val="001D0266"/>
    <w:rsid w:val="001D0417"/>
    <w:rsid w:val="001D04A1"/>
    <w:rsid w:val="001D085D"/>
    <w:rsid w:val="001D0C20"/>
    <w:rsid w:val="001D13F9"/>
    <w:rsid w:val="001D1D81"/>
    <w:rsid w:val="001D346E"/>
    <w:rsid w:val="001D4D1A"/>
    <w:rsid w:val="001D52E7"/>
    <w:rsid w:val="001D6430"/>
    <w:rsid w:val="001E1402"/>
    <w:rsid w:val="001E2DF1"/>
    <w:rsid w:val="001E3E3F"/>
    <w:rsid w:val="001E6491"/>
    <w:rsid w:val="001E7730"/>
    <w:rsid w:val="001F181E"/>
    <w:rsid w:val="001F1BA7"/>
    <w:rsid w:val="001F2F82"/>
    <w:rsid w:val="001F3394"/>
    <w:rsid w:val="001F4B9E"/>
    <w:rsid w:val="002001C4"/>
    <w:rsid w:val="002016E8"/>
    <w:rsid w:val="00201F09"/>
    <w:rsid w:val="0020265A"/>
    <w:rsid w:val="002026BB"/>
    <w:rsid w:val="002026CE"/>
    <w:rsid w:val="002036D6"/>
    <w:rsid w:val="0020511F"/>
    <w:rsid w:val="00205EC8"/>
    <w:rsid w:val="002064C6"/>
    <w:rsid w:val="00207235"/>
    <w:rsid w:val="002072C8"/>
    <w:rsid w:val="0020786C"/>
    <w:rsid w:val="00207987"/>
    <w:rsid w:val="00207C47"/>
    <w:rsid w:val="00210DC5"/>
    <w:rsid w:val="00210EC7"/>
    <w:rsid w:val="00211290"/>
    <w:rsid w:val="00211B54"/>
    <w:rsid w:val="00211FE3"/>
    <w:rsid w:val="002131E0"/>
    <w:rsid w:val="00213F32"/>
    <w:rsid w:val="00215057"/>
    <w:rsid w:val="00216F91"/>
    <w:rsid w:val="00221A73"/>
    <w:rsid w:val="00222276"/>
    <w:rsid w:val="00223184"/>
    <w:rsid w:val="0022494B"/>
    <w:rsid w:val="00225C96"/>
    <w:rsid w:val="00226149"/>
    <w:rsid w:val="00227FF6"/>
    <w:rsid w:val="002311AB"/>
    <w:rsid w:val="00232345"/>
    <w:rsid w:val="00232720"/>
    <w:rsid w:val="002337CD"/>
    <w:rsid w:val="00233C6F"/>
    <w:rsid w:val="00233FAA"/>
    <w:rsid w:val="0023414D"/>
    <w:rsid w:val="00237C02"/>
    <w:rsid w:val="0024042E"/>
    <w:rsid w:val="00240684"/>
    <w:rsid w:val="00241017"/>
    <w:rsid w:val="00241C2C"/>
    <w:rsid w:val="00242669"/>
    <w:rsid w:val="00242889"/>
    <w:rsid w:val="00243347"/>
    <w:rsid w:val="0024335D"/>
    <w:rsid w:val="0024416C"/>
    <w:rsid w:val="00244B0D"/>
    <w:rsid w:val="00245070"/>
    <w:rsid w:val="00245D5A"/>
    <w:rsid w:val="0024740A"/>
    <w:rsid w:val="00251138"/>
    <w:rsid w:val="00252CC3"/>
    <w:rsid w:val="00253F20"/>
    <w:rsid w:val="00255280"/>
    <w:rsid w:val="00255CBC"/>
    <w:rsid w:val="00256530"/>
    <w:rsid w:val="00256D27"/>
    <w:rsid w:val="00257065"/>
    <w:rsid w:val="00257CD4"/>
    <w:rsid w:val="00261E62"/>
    <w:rsid w:val="00264B7D"/>
    <w:rsid w:val="002668B9"/>
    <w:rsid w:val="00266AC9"/>
    <w:rsid w:val="00267EC1"/>
    <w:rsid w:val="00272EA7"/>
    <w:rsid w:val="00273B6B"/>
    <w:rsid w:val="00275454"/>
    <w:rsid w:val="00275722"/>
    <w:rsid w:val="002771CA"/>
    <w:rsid w:val="00282D5B"/>
    <w:rsid w:val="00283125"/>
    <w:rsid w:val="0028482B"/>
    <w:rsid w:val="00284D9F"/>
    <w:rsid w:val="0028604A"/>
    <w:rsid w:val="002876B5"/>
    <w:rsid w:val="002907C6"/>
    <w:rsid w:val="002924C6"/>
    <w:rsid w:val="00292A73"/>
    <w:rsid w:val="0029505C"/>
    <w:rsid w:val="002966E2"/>
    <w:rsid w:val="002A09FE"/>
    <w:rsid w:val="002A0B21"/>
    <w:rsid w:val="002A20B0"/>
    <w:rsid w:val="002A318B"/>
    <w:rsid w:val="002A38A5"/>
    <w:rsid w:val="002A4455"/>
    <w:rsid w:val="002A718C"/>
    <w:rsid w:val="002A7790"/>
    <w:rsid w:val="002B00ED"/>
    <w:rsid w:val="002B3D4F"/>
    <w:rsid w:val="002B4966"/>
    <w:rsid w:val="002B73DF"/>
    <w:rsid w:val="002B78A6"/>
    <w:rsid w:val="002C30CD"/>
    <w:rsid w:val="002C3657"/>
    <w:rsid w:val="002C36A0"/>
    <w:rsid w:val="002C757F"/>
    <w:rsid w:val="002C7F3E"/>
    <w:rsid w:val="002D00AD"/>
    <w:rsid w:val="002D0334"/>
    <w:rsid w:val="002D0901"/>
    <w:rsid w:val="002D0A97"/>
    <w:rsid w:val="002D27D0"/>
    <w:rsid w:val="002D3757"/>
    <w:rsid w:val="002D592E"/>
    <w:rsid w:val="002D66C0"/>
    <w:rsid w:val="002E0614"/>
    <w:rsid w:val="002E2B4C"/>
    <w:rsid w:val="002E393B"/>
    <w:rsid w:val="002E398F"/>
    <w:rsid w:val="002E456D"/>
    <w:rsid w:val="002E5FA9"/>
    <w:rsid w:val="002E6022"/>
    <w:rsid w:val="002E71D3"/>
    <w:rsid w:val="002E72A1"/>
    <w:rsid w:val="002E72D0"/>
    <w:rsid w:val="002F21B9"/>
    <w:rsid w:val="002F230E"/>
    <w:rsid w:val="002F29FE"/>
    <w:rsid w:val="002F32C9"/>
    <w:rsid w:val="002F735A"/>
    <w:rsid w:val="00300EC8"/>
    <w:rsid w:val="00301444"/>
    <w:rsid w:val="00301CC4"/>
    <w:rsid w:val="00302788"/>
    <w:rsid w:val="00302C84"/>
    <w:rsid w:val="00302DCF"/>
    <w:rsid w:val="00302FFA"/>
    <w:rsid w:val="00304180"/>
    <w:rsid w:val="0030457C"/>
    <w:rsid w:val="003048BF"/>
    <w:rsid w:val="00304902"/>
    <w:rsid w:val="0030666D"/>
    <w:rsid w:val="00307755"/>
    <w:rsid w:val="003104D8"/>
    <w:rsid w:val="0031151C"/>
    <w:rsid w:val="00313657"/>
    <w:rsid w:val="003159C3"/>
    <w:rsid w:val="00316676"/>
    <w:rsid w:val="00322520"/>
    <w:rsid w:val="00322AE6"/>
    <w:rsid w:val="00324A96"/>
    <w:rsid w:val="00325FFB"/>
    <w:rsid w:val="00327DB7"/>
    <w:rsid w:val="003317A5"/>
    <w:rsid w:val="00331994"/>
    <w:rsid w:val="00331C82"/>
    <w:rsid w:val="00332BDF"/>
    <w:rsid w:val="003341F3"/>
    <w:rsid w:val="00334895"/>
    <w:rsid w:val="00337A75"/>
    <w:rsid w:val="00340C68"/>
    <w:rsid w:val="00342456"/>
    <w:rsid w:val="00347DDE"/>
    <w:rsid w:val="00347F00"/>
    <w:rsid w:val="0035139F"/>
    <w:rsid w:val="00352D98"/>
    <w:rsid w:val="00353740"/>
    <w:rsid w:val="003541B3"/>
    <w:rsid w:val="003541EB"/>
    <w:rsid w:val="003548B4"/>
    <w:rsid w:val="00354F70"/>
    <w:rsid w:val="003561B4"/>
    <w:rsid w:val="003566DA"/>
    <w:rsid w:val="0035715C"/>
    <w:rsid w:val="0036076A"/>
    <w:rsid w:val="00361ECE"/>
    <w:rsid w:val="0036400C"/>
    <w:rsid w:val="003642F5"/>
    <w:rsid w:val="00364620"/>
    <w:rsid w:val="003729F4"/>
    <w:rsid w:val="00372ED2"/>
    <w:rsid w:val="003768F1"/>
    <w:rsid w:val="00380108"/>
    <w:rsid w:val="00380F5C"/>
    <w:rsid w:val="00382CE0"/>
    <w:rsid w:val="00382F45"/>
    <w:rsid w:val="0038336B"/>
    <w:rsid w:val="00383D6D"/>
    <w:rsid w:val="00384056"/>
    <w:rsid w:val="00386DCD"/>
    <w:rsid w:val="0039183D"/>
    <w:rsid w:val="003961E7"/>
    <w:rsid w:val="0039701E"/>
    <w:rsid w:val="003A0F89"/>
    <w:rsid w:val="003A24E3"/>
    <w:rsid w:val="003A462A"/>
    <w:rsid w:val="003A5306"/>
    <w:rsid w:val="003A5911"/>
    <w:rsid w:val="003A5AFE"/>
    <w:rsid w:val="003B0A2E"/>
    <w:rsid w:val="003B1EA8"/>
    <w:rsid w:val="003B2249"/>
    <w:rsid w:val="003B2E96"/>
    <w:rsid w:val="003B5B08"/>
    <w:rsid w:val="003B6BD7"/>
    <w:rsid w:val="003B6E5E"/>
    <w:rsid w:val="003C02BC"/>
    <w:rsid w:val="003C0529"/>
    <w:rsid w:val="003C1C46"/>
    <w:rsid w:val="003C2094"/>
    <w:rsid w:val="003C224F"/>
    <w:rsid w:val="003C32ED"/>
    <w:rsid w:val="003C4050"/>
    <w:rsid w:val="003C4D47"/>
    <w:rsid w:val="003C5492"/>
    <w:rsid w:val="003C6C09"/>
    <w:rsid w:val="003C7770"/>
    <w:rsid w:val="003D0357"/>
    <w:rsid w:val="003D0B6D"/>
    <w:rsid w:val="003D1813"/>
    <w:rsid w:val="003D1C33"/>
    <w:rsid w:val="003D2D01"/>
    <w:rsid w:val="003D45C5"/>
    <w:rsid w:val="003D507D"/>
    <w:rsid w:val="003D5323"/>
    <w:rsid w:val="003D55C1"/>
    <w:rsid w:val="003D5746"/>
    <w:rsid w:val="003D5DDF"/>
    <w:rsid w:val="003D61E4"/>
    <w:rsid w:val="003D7ED9"/>
    <w:rsid w:val="003E0424"/>
    <w:rsid w:val="003E1D2C"/>
    <w:rsid w:val="003E226B"/>
    <w:rsid w:val="003E2299"/>
    <w:rsid w:val="003E5066"/>
    <w:rsid w:val="003E59A7"/>
    <w:rsid w:val="003F1D99"/>
    <w:rsid w:val="003F27EC"/>
    <w:rsid w:val="003F289B"/>
    <w:rsid w:val="003F388E"/>
    <w:rsid w:val="003F390A"/>
    <w:rsid w:val="003F48C3"/>
    <w:rsid w:val="003F504A"/>
    <w:rsid w:val="003F64F9"/>
    <w:rsid w:val="003F6806"/>
    <w:rsid w:val="003F77FF"/>
    <w:rsid w:val="004007AC"/>
    <w:rsid w:val="00400AA0"/>
    <w:rsid w:val="0040103D"/>
    <w:rsid w:val="00402D13"/>
    <w:rsid w:val="00405811"/>
    <w:rsid w:val="00405F56"/>
    <w:rsid w:val="00406132"/>
    <w:rsid w:val="00406A7B"/>
    <w:rsid w:val="00410B25"/>
    <w:rsid w:val="0041213B"/>
    <w:rsid w:val="00413C30"/>
    <w:rsid w:val="00413E98"/>
    <w:rsid w:val="00415492"/>
    <w:rsid w:val="00415D6E"/>
    <w:rsid w:val="00416D16"/>
    <w:rsid w:val="004170F7"/>
    <w:rsid w:val="00417B58"/>
    <w:rsid w:val="00417D2C"/>
    <w:rsid w:val="00417D7D"/>
    <w:rsid w:val="00421035"/>
    <w:rsid w:val="0042201F"/>
    <w:rsid w:val="0042283C"/>
    <w:rsid w:val="0042495A"/>
    <w:rsid w:val="004249A6"/>
    <w:rsid w:val="00426A33"/>
    <w:rsid w:val="004311F1"/>
    <w:rsid w:val="00431E24"/>
    <w:rsid w:val="00432E2E"/>
    <w:rsid w:val="0043319B"/>
    <w:rsid w:val="004341ED"/>
    <w:rsid w:val="0043436D"/>
    <w:rsid w:val="00434C94"/>
    <w:rsid w:val="00434FA1"/>
    <w:rsid w:val="00435165"/>
    <w:rsid w:val="0043534C"/>
    <w:rsid w:val="004354E5"/>
    <w:rsid w:val="004357FF"/>
    <w:rsid w:val="00435B0A"/>
    <w:rsid w:val="00442203"/>
    <w:rsid w:val="00442BF4"/>
    <w:rsid w:val="00443590"/>
    <w:rsid w:val="00444986"/>
    <w:rsid w:val="00444FFD"/>
    <w:rsid w:val="004512AB"/>
    <w:rsid w:val="0045151F"/>
    <w:rsid w:val="00453ABB"/>
    <w:rsid w:val="00454346"/>
    <w:rsid w:val="004572EF"/>
    <w:rsid w:val="004576FA"/>
    <w:rsid w:val="004609C2"/>
    <w:rsid w:val="004616FF"/>
    <w:rsid w:val="00462552"/>
    <w:rsid w:val="0046283B"/>
    <w:rsid w:val="00462942"/>
    <w:rsid w:val="00462E2A"/>
    <w:rsid w:val="00465DCC"/>
    <w:rsid w:val="004708F0"/>
    <w:rsid w:val="00471EB7"/>
    <w:rsid w:val="00473CAC"/>
    <w:rsid w:val="00473FEF"/>
    <w:rsid w:val="00476FBC"/>
    <w:rsid w:val="00477C49"/>
    <w:rsid w:val="00480FC8"/>
    <w:rsid w:val="00484177"/>
    <w:rsid w:val="004870DE"/>
    <w:rsid w:val="00493F91"/>
    <w:rsid w:val="00495E97"/>
    <w:rsid w:val="00497AC9"/>
    <w:rsid w:val="004A1C7B"/>
    <w:rsid w:val="004A4099"/>
    <w:rsid w:val="004A4349"/>
    <w:rsid w:val="004A56AD"/>
    <w:rsid w:val="004A5EF7"/>
    <w:rsid w:val="004A694D"/>
    <w:rsid w:val="004A7C51"/>
    <w:rsid w:val="004B1710"/>
    <w:rsid w:val="004B3807"/>
    <w:rsid w:val="004B6E42"/>
    <w:rsid w:val="004C02CB"/>
    <w:rsid w:val="004C1346"/>
    <w:rsid w:val="004C21AF"/>
    <w:rsid w:val="004C4154"/>
    <w:rsid w:val="004C5BCC"/>
    <w:rsid w:val="004D02DB"/>
    <w:rsid w:val="004D0D66"/>
    <w:rsid w:val="004D16FE"/>
    <w:rsid w:val="004D1775"/>
    <w:rsid w:val="004D1E88"/>
    <w:rsid w:val="004D208F"/>
    <w:rsid w:val="004D427C"/>
    <w:rsid w:val="004D52FC"/>
    <w:rsid w:val="004D7222"/>
    <w:rsid w:val="004D72C5"/>
    <w:rsid w:val="004E0237"/>
    <w:rsid w:val="004E0928"/>
    <w:rsid w:val="004E09F7"/>
    <w:rsid w:val="004E1E64"/>
    <w:rsid w:val="004E2ADE"/>
    <w:rsid w:val="004F0419"/>
    <w:rsid w:val="004F2C96"/>
    <w:rsid w:val="004F301E"/>
    <w:rsid w:val="0050450F"/>
    <w:rsid w:val="00507672"/>
    <w:rsid w:val="00507BD2"/>
    <w:rsid w:val="005111B3"/>
    <w:rsid w:val="005111E8"/>
    <w:rsid w:val="005114B8"/>
    <w:rsid w:val="00512D67"/>
    <w:rsid w:val="0051318E"/>
    <w:rsid w:val="005137CF"/>
    <w:rsid w:val="00514BBE"/>
    <w:rsid w:val="00514C84"/>
    <w:rsid w:val="00516403"/>
    <w:rsid w:val="00521C34"/>
    <w:rsid w:val="00522C6D"/>
    <w:rsid w:val="0052319A"/>
    <w:rsid w:val="00523D2C"/>
    <w:rsid w:val="00523DC1"/>
    <w:rsid w:val="00524375"/>
    <w:rsid w:val="005243C5"/>
    <w:rsid w:val="005250E0"/>
    <w:rsid w:val="005252A3"/>
    <w:rsid w:val="00525435"/>
    <w:rsid w:val="0052554D"/>
    <w:rsid w:val="00525C15"/>
    <w:rsid w:val="0053158B"/>
    <w:rsid w:val="0053325E"/>
    <w:rsid w:val="0053498A"/>
    <w:rsid w:val="00534F00"/>
    <w:rsid w:val="0053577C"/>
    <w:rsid w:val="00535812"/>
    <w:rsid w:val="00536C46"/>
    <w:rsid w:val="00537A99"/>
    <w:rsid w:val="00537C4B"/>
    <w:rsid w:val="00544FC2"/>
    <w:rsid w:val="0054620F"/>
    <w:rsid w:val="00546944"/>
    <w:rsid w:val="00552F32"/>
    <w:rsid w:val="00553478"/>
    <w:rsid w:val="0055506E"/>
    <w:rsid w:val="005553CD"/>
    <w:rsid w:val="00555E18"/>
    <w:rsid w:val="0055784D"/>
    <w:rsid w:val="005607C8"/>
    <w:rsid w:val="0056082C"/>
    <w:rsid w:val="00561083"/>
    <w:rsid w:val="0056146D"/>
    <w:rsid w:val="00561B19"/>
    <w:rsid w:val="00562EEF"/>
    <w:rsid w:val="00563C72"/>
    <w:rsid w:val="00564028"/>
    <w:rsid w:val="0056643B"/>
    <w:rsid w:val="00570DB1"/>
    <w:rsid w:val="00570FE8"/>
    <w:rsid w:val="0057152D"/>
    <w:rsid w:val="00571DE6"/>
    <w:rsid w:val="00571EAF"/>
    <w:rsid w:val="00572A50"/>
    <w:rsid w:val="00573767"/>
    <w:rsid w:val="00573D46"/>
    <w:rsid w:val="00575134"/>
    <w:rsid w:val="00575F7F"/>
    <w:rsid w:val="0057651F"/>
    <w:rsid w:val="00576759"/>
    <w:rsid w:val="00576917"/>
    <w:rsid w:val="00576991"/>
    <w:rsid w:val="00576A80"/>
    <w:rsid w:val="0057752B"/>
    <w:rsid w:val="0058048B"/>
    <w:rsid w:val="005810EF"/>
    <w:rsid w:val="0058236D"/>
    <w:rsid w:val="00584AB1"/>
    <w:rsid w:val="00585A46"/>
    <w:rsid w:val="00590AD4"/>
    <w:rsid w:val="0059109A"/>
    <w:rsid w:val="0059147E"/>
    <w:rsid w:val="00592045"/>
    <w:rsid w:val="005947A9"/>
    <w:rsid w:val="0059521E"/>
    <w:rsid w:val="00597678"/>
    <w:rsid w:val="00597DB6"/>
    <w:rsid w:val="005A0B1D"/>
    <w:rsid w:val="005A192B"/>
    <w:rsid w:val="005A34CC"/>
    <w:rsid w:val="005A3A42"/>
    <w:rsid w:val="005A50E3"/>
    <w:rsid w:val="005A5188"/>
    <w:rsid w:val="005A5BA4"/>
    <w:rsid w:val="005A7E1E"/>
    <w:rsid w:val="005B2B6E"/>
    <w:rsid w:val="005B528F"/>
    <w:rsid w:val="005B57A1"/>
    <w:rsid w:val="005B5896"/>
    <w:rsid w:val="005B715C"/>
    <w:rsid w:val="005C008F"/>
    <w:rsid w:val="005C0657"/>
    <w:rsid w:val="005C094E"/>
    <w:rsid w:val="005C1474"/>
    <w:rsid w:val="005C14B5"/>
    <w:rsid w:val="005C317F"/>
    <w:rsid w:val="005C3957"/>
    <w:rsid w:val="005C3C50"/>
    <w:rsid w:val="005C5611"/>
    <w:rsid w:val="005C5F17"/>
    <w:rsid w:val="005C6040"/>
    <w:rsid w:val="005D0C7F"/>
    <w:rsid w:val="005D480C"/>
    <w:rsid w:val="005D4C11"/>
    <w:rsid w:val="005D6B3A"/>
    <w:rsid w:val="005D6DB8"/>
    <w:rsid w:val="005D7851"/>
    <w:rsid w:val="005E187F"/>
    <w:rsid w:val="005E20EB"/>
    <w:rsid w:val="005E3009"/>
    <w:rsid w:val="005E482C"/>
    <w:rsid w:val="005E51B8"/>
    <w:rsid w:val="005E6FF2"/>
    <w:rsid w:val="005F0147"/>
    <w:rsid w:val="005F11D5"/>
    <w:rsid w:val="005F1FC1"/>
    <w:rsid w:val="005F2590"/>
    <w:rsid w:val="005F26CD"/>
    <w:rsid w:val="005F2F16"/>
    <w:rsid w:val="005F4766"/>
    <w:rsid w:val="005F4908"/>
    <w:rsid w:val="005F4E82"/>
    <w:rsid w:val="005F4FFA"/>
    <w:rsid w:val="005F5D0C"/>
    <w:rsid w:val="005F6A98"/>
    <w:rsid w:val="00600EF5"/>
    <w:rsid w:val="00602C0F"/>
    <w:rsid w:val="00605367"/>
    <w:rsid w:val="00606492"/>
    <w:rsid w:val="0060733A"/>
    <w:rsid w:val="006101F1"/>
    <w:rsid w:val="00610992"/>
    <w:rsid w:val="0061217E"/>
    <w:rsid w:val="0061262E"/>
    <w:rsid w:val="006148C7"/>
    <w:rsid w:val="00614B09"/>
    <w:rsid w:val="00614DE5"/>
    <w:rsid w:val="00615B6E"/>
    <w:rsid w:val="00615C35"/>
    <w:rsid w:val="00616409"/>
    <w:rsid w:val="006168D5"/>
    <w:rsid w:val="00620F28"/>
    <w:rsid w:val="00621751"/>
    <w:rsid w:val="00622AD4"/>
    <w:rsid w:val="00626F66"/>
    <w:rsid w:val="006272EA"/>
    <w:rsid w:val="00633C3C"/>
    <w:rsid w:val="00634535"/>
    <w:rsid w:val="0063533A"/>
    <w:rsid w:val="00635604"/>
    <w:rsid w:val="00636FA2"/>
    <w:rsid w:val="0063722D"/>
    <w:rsid w:val="00637236"/>
    <w:rsid w:val="0064005C"/>
    <w:rsid w:val="00640264"/>
    <w:rsid w:val="00641C65"/>
    <w:rsid w:val="006420E0"/>
    <w:rsid w:val="006422D0"/>
    <w:rsid w:val="0064290C"/>
    <w:rsid w:val="006430B7"/>
    <w:rsid w:val="00644B0A"/>
    <w:rsid w:val="00646E38"/>
    <w:rsid w:val="0065019A"/>
    <w:rsid w:val="00652B04"/>
    <w:rsid w:val="006543EA"/>
    <w:rsid w:val="00654D78"/>
    <w:rsid w:val="006602BA"/>
    <w:rsid w:val="00662287"/>
    <w:rsid w:val="00663153"/>
    <w:rsid w:val="0066319E"/>
    <w:rsid w:val="00664AA7"/>
    <w:rsid w:val="0066617B"/>
    <w:rsid w:val="0066702B"/>
    <w:rsid w:val="006719D3"/>
    <w:rsid w:val="0067360F"/>
    <w:rsid w:val="0067437D"/>
    <w:rsid w:val="00674509"/>
    <w:rsid w:val="006805DA"/>
    <w:rsid w:val="00681B57"/>
    <w:rsid w:val="0068297C"/>
    <w:rsid w:val="00682BBE"/>
    <w:rsid w:val="0068305D"/>
    <w:rsid w:val="00683CE3"/>
    <w:rsid w:val="006841B5"/>
    <w:rsid w:val="00684CE9"/>
    <w:rsid w:val="006855E8"/>
    <w:rsid w:val="0068603B"/>
    <w:rsid w:val="0068733B"/>
    <w:rsid w:val="006877DA"/>
    <w:rsid w:val="00687EE4"/>
    <w:rsid w:val="006906EE"/>
    <w:rsid w:val="0069520C"/>
    <w:rsid w:val="00695E01"/>
    <w:rsid w:val="00696880"/>
    <w:rsid w:val="00696AE6"/>
    <w:rsid w:val="006972C0"/>
    <w:rsid w:val="0069747F"/>
    <w:rsid w:val="00697A9C"/>
    <w:rsid w:val="006A0020"/>
    <w:rsid w:val="006A00DC"/>
    <w:rsid w:val="006A42DF"/>
    <w:rsid w:val="006A6954"/>
    <w:rsid w:val="006A6FC0"/>
    <w:rsid w:val="006A706A"/>
    <w:rsid w:val="006B33B6"/>
    <w:rsid w:val="006B35B9"/>
    <w:rsid w:val="006B3789"/>
    <w:rsid w:val="006B6484"/>
    <w:rsid w:val="006B79C3"/>
    <w:rsid w:val="006B7A01"/>
    <w:rsid w:val="006C1591"/>
    <w:rsid w:val="006C2AC0"/>
    <w:rsid w:val="006C3FAE"/>
    <w:rsid w:val="006C4DC8"/>
    <w:rsid w:val="006C647E"/>
    <w:rsid w:val="006C6ABB"/>
    <w:rsid w:val="006C6D82"/>
    <w:rsid w:val="006C76C6"/>
    <w:rsid w:val="006D246D"/>
    <w:rsid w:val="006D2971"/>
    <w:rsid w:val="006D6B8F"/>
    <w:rsid w:val="006D6C13"/>
    <w:rsid w:val="006D6D77"/>
    <w:rsid w:val="006D77E4"/>
    <w:rsid w:val="006D7D04"/>
    <w:rsid w:val="006E079E"/>
    <w:rsid w:val="006E12FB"/>
    <w:rsid w:val="006E3EE8"/>
    <w:rsid w:val="006E4650"/>
    <w:rsid w:val="006E4C71"/>
    <w:rsid w:val="006E52A3"/>
    <w:rsid w:val="006E5CE6"/>
    <w:rsid w:val="006F2ABF"/>
    <w:rsid w:val="006F30AD"/>
    <w:rsid w:val="006F6EDE"/>
    <w:rsid w:val="006F71DE"/>
    <w:rsid w:val="006F7682"/>
    <w:rsid w:val="006F7A29"/>
    <w:rsid w:val="00700E58"/>
    <w:rsid w:val="00701DBA"/>
    <w:rsid w:val="00702E6A"/>
    <w:rsid w:val="00704F73"/>
    <w:rsid w:val="0070613D"/>
    <w:rsid w:val="00707118"/>
    <w:rsid w:val="00710ADC"/>
    <w:rsid w:val="007123AC"/>
    <w:rsid w:val="00714512"/>
    <w:rsid w:val="00714C78"/>
    <w:rsid w:val="00715D91"/>
    <w:rsid w:val="007166E3"/>
    <w:rsid w:val="007171D9"/>
    <w:rsid w:val="00720707"/>
    <w:rsid w:val="00721585"/>
    <w:rsid w:val="00721BCE"/>
    <w:rsid w:val="00721F48"/>
    <w:rsid w:val="00721FBE"/>
    <w:rsid w:val="00723DB4"/>
    <w:rsid w:val="00724CD5"/>
    <w:rsid w:val="0072667A"/>
    <w:rsid w:val="00726BE9"/>
    <w:rsid w:val="007275CD"/>
    <w:rsid w:val="007306E8"/>
    <w:rsid w:val="00730F53"/>
    <w:rsid w:val="007311F1"/>
    <w:rsid w:val="00731B78"/>
    <w:rsid w:val="00732E27"/>
    <w:rsid w:val="00733C60"/>
    <w:rsid w:val="007407CA"/>
    <w:rsid w:val="00741528"/>
    <w:rsid w:val="007418EF"/>
    <w:rsid w:val="00745984"/>
    <w:rsid w:val="007461C7"/>
    <w:rsid w:val="00746CA5"/>
    <w:rsid w:val="00747E9C"/>
    <w:rsid w:val="00750034"/>
    <w:rsid w:val="00751E82"/>
    <w:rsid w:val="00752646"/>
    <w:rsid w:val="00752965"/>
    <w:rsid w:val="00752B0B"/>
    <w:rsid w:val="007538E6"/>
    <w:rsid w:val="00754ABD"/>
    <w:rsid w:val="0075535B"/>
    <w:rsid w:val="00755921"/>
    <w:rsid w:val="00755FFE"/>
    <w:rsid w:val="007565DD"/>
    <w:rsid w:val="007578A9"/>
    <w:rsid w:val="00760803"/>
    <w:rsid w:val="00760B43"/>
    <w:rsid w:val="00762A1E"/>
    <w:rsid w:val="00762B9E"/>
    <w:rsid w:val="0076437C"/>
    <w:rsid w:val="00764826"/>
    <w:rsid w:val="00767103"/>
    <w:rsid w:val="00771508"/>
    <w:rsid w:val="007729E0"/>
    <w:rsid w:val="00772C80"/>
    <w:rsid w:val="00772F2E"/>
    <w:rsid w:val="007741C9"/>
    <w:rsid w:val="00775957"/>
    <w:rsid w:val="00775F1C"/>
    <w:rsid w:val="00775FEB"/>
    <w:rsid w:val="00776647"/>
    <w:rsid w:val="00776E8E"/>
    <w:rsid w:val="00780051"/>
    <w:rsid w:val="007804D1"/>
    <w:rsid w:val="00781827"/>
    <w:rsid w:val="00781A13"/>
    <w:rsid w:val="007833F1"/>
    <w:rsid w:val="007837E9"/>
    <w:rsid w:val="00784D04"/>
    <w:rsid w:val="00786284"/>
    <w:rsid w:val="00787207"/>
    <w:rsid w:val="00787891"/>
    <w:rsid w:val="00787D7A"/>
    <w:rsid w:val="00791CA6"/>
    <w:rsid w:val="00793035"/>
    <w:rsid w:val="0079330E"/>
    <w:rsid w:val="00793BEB"/>
    <w:rsid w:val="00794AAF"/>
    <w:rsid w:val="00794FAD"/>
    <w:rsid w:val="00795932"/>
    <w:rsid w:val="007A321C"/>
    <w:rsid w:val="007A363D"/>
    <w:rsid w:val="007A419C"/>
    <w:rsid w:val="007B07E8"/>
    <w:rsid w:val="007B0E44"/>
    <w:rsid w:val="007B2344"/>
    <w:rsid w:val="007B3F5F"/>
    <w:rsid w:val="007B66E3"/>
    <w:rsid w:val="007C19AD"/>
    <w:rsid w:val="007C528C"/>
    <w:rsid w:val="007C6388"/>
    <w:rsid w:val="007D1274"/>
    <w:rsid w:val="007D1D47"/>
    <w:rsid w:val="007D1D84"/>
    <w:rsid w:val="007D2136"/>
    <w:rsid w:val="007D2B52"/>
    <w:rsid w:val="007D31D6"/>
    <w:rsid w:val="007D36D1"/>
    <w:rsid w:val="007D56BD"/>
    <w:rsid w:val="007E048B"/>
    <w:rsid w:val="007E07FB"/>
    <w:rsid w:val="007E0E87"/>
    <w:rsid w:val="007E279B"/>
    <w:rsid w:val="007E2E5E"/>
    <w:rsid w:val="007E5013"/>
    <w:rsid w:val="007E69A1"/>
    <w:rsid w:val="007E776C"/>
    <w:rsid w:val="007F07A3"/>
    <w:rsid w:val="007F45BB"/>
    <w:rsid w:val="007F5E11"/>
    <w:rsid w:val="007F5E1B"/>
    <w:rsid w:val="007F6855"/>
    <w:rsid w:val="00800D9A"/>
    <w:rsid w:val="008010D7"/>
    <w:rsid w:val="00804A0D"/>
    <w:rsid w:val="00811370"/>
    <w:rsid w:val="00811652"/>
    <w:rsid w:val="008116E8"/>
    <w:rsid w:val="008142C6"/>
    <w:rsid w:val="0081461E"/>
    <w:rsid w:val="008155F8"/>
    <w:rsid w:val="00816B48"/>
    <w:rsid w:val="00816EAF"/>
    <w:rsid w:val="00817019"/>
    <w:rsid w:val="0081779B"/>
    <w:rsid w:val="00820762"/>
    <w:rsid w:val="00820BC9"/>
    <w:rsid w:val="00823A3F"/>
    <w:rsid w:val="00824574"/>
    <w:rsid w:val="0082546F"/>
    <w:rsid w:val="00825A5D"/>
    <w:rsid w:val="00831B77"/>
    <w:rsid w:val="0083200D"/>
    <w:rsid w:val="00832146"/>
    <w:rsid w:val="0083279C"/>
    <w:rsid w:val="008331BC"/>
    <w:rsid w:val="00833733"/>
    <w:rsid w:val="00834585"/>
    <w:rsid w:val="00834996"/>
    <w:rsid w:val="00835485"/>
    <w:rsid w:val="00835F50"/>
    <w:rsid w:val="0083637F"/>
    <w:rsid w:val="008364C9"/>
    <w:rsid w:val="00836C3D"/>
    <w:rsid w:val="00836D8C"/>
    <w:rsid w:val="008412E5"/>
    <w:rsid w:val="00841C5F"/>
    <w:rsid w:val="00842471"/>
    <w:rsid w:val="0084396D"/>
    <w:rsid w:val="008449CD"/>
    <w:rsid w:val="008465A7"/>
    <w:rsid w:val="008465D8"/>
    <w:rsid w:val="008536D3"/>
    <w:rsid w:val="00853E91"/>
    <w:rsid w:val="00853FF7"/>
    <w:rsid w:val="0085421D"/>
    <w:rsid w:val="008556AD"/>
    <w:rsid w:val="00856638"/>
    <w:rsid w:val="00856877"/>
    <w:rsid w:val="00857BCF"/>
    <w:rsid w:val="0086165A"/>
    <w:rsid w:val="00861A0F"/>
    <w:rsid w:val="00861D31"/>
    <w:rsid w:val="0086219E"/>
    <w:rsid w:val="008630C0"/>
    <w:rsid w:val="00863836"/>
    <w:rsid w:val="00863D7E"/>
    <w:rsid w:val="008654BF"/>
    <w:rsid w:val="008663F5"/>
    <w:rsid w:val="008677B7"/>
    <w:rsid w:val="00870066"/>
    <w:rsid w:val="008718BA"/>
    <w:rsid w:val="0087224C"/>
    <w:rsid w:val="00872742"/>
    <w:rsid w:val="008727EC"/>
    <w:rsid w:val="00872E54"/>
    <w:rsid w:val="008730F0"/>
    <w:rsid w:val="008738C5"/>
    <w:rsid w:val="00874844"/>
    <w:rsid w:val="00876530"/>
    <w:rsid w:val="008772ED"/>
    <w:rsid w:val="00880225"/>
    <w:rsid w:val="00882384"/>
    <w:rsid w:val="0088341D"/>
    <w:rsid w:val="008835BC"/>
    <w:rsid w:val="008839D0"/>
    <w:rsid w:val="00884C7D"/>
    <w:rsid w:val="00886426"/>
    <w:rsid w:val="00886635"/>
    <w:rsid w:val="00886BB1"/>
    <w:rsid w:val="008912E5"/>
    <w:rsid w:val="008935FE"/>
    <w:rsid w:val="008939CC"/>
    <w:rsid w:val="00893CA1"/>
    <w:rsid w:val="00893CA5"/>
    <w:rsid w:val="00894821"/>
    <w:rsid w:val="008958CC"/>
    <w:rsid w:val="008972D9"/>
    <w:rsid w:val="00897371"/>
    <w:rsid w:val="00897793"/>
    <w:rsid w:val="00897969"/>
    <w:rsid w:val="008A0F19"/>
    <w:rsid w:val="008A12C4"/>
    <w:rsid w:val="008A42E6"/>
    <w:rsid w:val="008A4679"/>
    <w:rsid w:val="008A4C62"/>
    <w:rsid w:val="008A5ABB"/>
    <w:rsid w:val="008A6779"/>
    <w:rsid w:val="008A6DB1"/>
    <w:rsid w:val="008B06AE"/>
    <w:rsid w:val="008B13E7"/>
    <w:rsid w:val="008B1E87"/>
    <w:rsid w:val="008B28B3"/>
    <w:rsid w:val="008B2B4F"/>
    <w:rsid w:val="008B3A2D"/>
    <w:rsid w:val="008B3CFD"/>
    <w:rsid w:val="008B4B61"/>
    <w:rsid w:val="008B678B"/>
    <w:rsid w:val="008C27D7"/>
    <w:rsid w:val="008C3E2F"/>
    <w:rsid w:val="008C6728"/>
    <w:rsid w:val="008C69CB"/>
    <w:rsid w:val="008D0192"/>
    <w:rsid w:val="008D0C63"/>
    <w:rsid w:val="008D127F"/>
    <w:rsid w:val="008D1736"/>
    <w:rsid w:val="008D1FA9"/>
    <w:rsid w:val="008D3B6B"/>
    <w:rsid w:val="008D3F67"/>
    <w:rsid w:val="008D4DAA"/>
    <w:rsid w:val="008E0554"/>
    <w:rsid w:val="008E0E35"/>
    <w:rsid w:val="008E0EE1"/>
    <w:rsid w:val="008E2703"/>
    <w:rsid w:val="008E781F"/>
    <w:rsid w:val="008E7C79"/>
    <w:rsid w:val="008E7D64"/>
    <w:rsid w:val="008F01E9"/>
    <w:rsid w:val="008F0467"/>
    <w:rsid w:val="008F0EFB"/>
    <w:rsid w:val="008F153E"/>
    <w:rsid w:val="008F2F6A"/>
    <w:rsid w:val="008F4E22"/>
    <w:rsid w:val="008F77C8"/>
    <w:rsid w:val="00901979"/>
    <w:rsid w:val="00903545"/>
    <w:rsid w:val="00907F36"/>
    <w:rsid w:val="00910351"/>
    <w:rsid w:val="0091307B"/>
    <w:rsid w:val="00913E55"/>
    <w:rsid w:val="00914E04"/>
    <w:rsid w:val="0091605B"/>
    <w:rsid w:val="0091629D"/>
    <w:rsid w:val="00916887"/>
    <w:rsid w:val="00917220"/>
    <w:rsid w:val="00917CB3"/>
    <w:rsid w:val="00920091"/>
    <w:rsid w:val="00922AF2"/>
    <w:rsid w:val="00922CA9"/>
    <w:rsid w:val="00923492"/>
    <w:rsid w:val="00924358"/>
    <w:rsid w:val="009258CE"/>
    <w:rsid w:val="00926A17"/>
    <w:rsid w:val="00926C0C"/>
    <w:rsid w:val="00926F90"/>
    <w:rsid w:val="00927294"/>
    <w:rsid w:val="00931649"/>
    <w:rsid w:val="00933A8A"/>
    <w:rsid w:val="00934076"/>
    <w:rsid w:val="00934E69"/>
    <w:rsid w:val="00935EDF"/>
    <w:rsid w:val="00936359"/>
    <w:rsid w:val="00937116"/>
    <w:rsid w:val="00937391"/>
    <w:rsid w:val="00937B03"/>
    <w:rsid w:val="00937C7B"/>
    <w:rsid w:val="00937CB8"/>
    <w:rsid w:val="00940FAE"/>
    <w:rsid w:val="00942875"/>
    <w:rsid w:val="00944124"/>
    <w:rsid w:val="00945735"/>
    <w:rsid w:val="009479DE"/>
    <w:rsid w:val="009513D1"/>
    <w:rsid w:val="009539D0"/>
    <w:rsid w:val="00954854"/>
    <w:rsid w:val="00955674"/>
    <w:rsid w:val="0095799D"/>
    <w:rsid w:val="009600A8"/>
    <w:rsid w:val="00960FA7"/>
    <w:rsid w:val="00961231"/>
    <w:rsid w:val="009626DA"/>
    <w:rsid w:val="00962833"/>
    <w:rsid w:val="00962B47"/>
    <w:rsid w:val="00964D15"/>
    <w:rsid w:val="00965BC5"/>
    <w:rsid w:val="00965EDF"/>
    <w:rsid w:val="00966F5A"/>
    <w:rsid w:val="0097027E"/>
    <w:rsid w:val="0097040F"/>
    <w:rsid w:val="0097152F"/>
    <w:rsid w:val="00973224"/>
    <w:rsid w:val="00974FAC"/>
    <w:rsid w:val="00975861"/>
    <w:rsid w:val="0097704F"/>
    <w:rsid w:val="009771A9"/>
    <w:rsid w:val="00980131"/>
    <w:rsid w:val="009806E0"/>
    <w:rsid w:val="009842EA"/>
    <w:rsid w:val="00985C2A"/>
    <w:rsid w:val="00986315"/>
    <w:rsid w:val="00990BEE"/>
    <w:rsid w:val="00991512"/>
    <w:rsid w:val="00992CD8"/>
    <w:rsid w:val="00993B85"/>
    <w:rsid w:val="0099443F"/>
    <w:rsid w:val="00994C8F"/>
    <w:rsid w:val="0099694E"/>
    <w:rsid w:val="00997EFA"/>
    <w:rsid w:val="009A0CBC"/>
    <w:rsid w:val="009A1DF8"/>
    <w:rsid w:val="009A22C8"/>
    <w:rsid w:val="009A2D26"/>
    <w:rsid w:val="009A5FC3"/>
    <w:rsid w:val="009A7BAB"/>
    <w:rsid w:val="009A7D69"/>
    <w:rsid w:val="009B040D"/>
    <w:rsid w:val="009B06C2"/>
    <w:rsid w:val="009B16DF"/>
    <w:rsid w:val="009B1E6E"/>
    <w:rsid w:val="009B5BE3"/>
    <w:rsid w:val="009B709F"/>
    <w:rsid w:val="009B716D"/>
    <w:rsid w:val="009C0245"/>
    <w:rsid w:val="009C0CB7"/>
    <w:rsid w:val="009C154D"/>
    <w:rsid w:val="009C15B5"/>
    <w:rsid w:val="009C31BC"/>
    <w:rsid w:val="009C4DE0"/>
    <w:rsid w:val="009C5D0C"/>
    <w:rsid w:val="009C65D4"/>
    <w:rsid w:val="009C690D"/>
    <w:rsid w:val="009C7847"/>
    <w:rsid w:val="009C7D73"/>
    <w:rsid w:val="009D131E"/>
    <w:rsid w:val="009D16CD"/>
    <w:rsid w:val="009D1BC0"/>
    <w:rsid w:val="009D4713"/>
    <w:rsid w:val="009D4F38"/>
    <w:rsid w:val="009D661E"/>
    <w:rsid w:val="009E3BD1"/>
    <w:rsid w:val="009E4CF2"/>
    <w:rsid w:val="009E60A2"/>
    <w:rsid w:val="009E616C"/>
    <w:rsid w:val="009E6FE0"/>
    <w:rsid w:val="009E778B"/>
    <w:rsid w:val="009E7A7C"/>
    <w:rsid w:val="009E7CFF"/>
    <w:rsid w:val="009F26CD"/>
    <w:rsid w:val="009F56EB"/>
    <w:rsid w:val="009F69FE"/>
    <w:rsid w:val="009F79BA"/>
    <w:rsid w:val="009F7D7C"/>
    <w:rsid w:val="00A0053E"/>
    <w:rsid w:val="00A0235C"/>
    <w:rsid w:val="00A02B98"/>
    <w:rsid w:val="00A032E7"/>
    <w:rsid w:val="00A044EC"/>
    <w:rsid w:val="00A0529F"/>
    <w:rsid w:val="00A052C0"/>
    <w:rsid w:val="00A055DB"/>
    <w:rsid w:val="00A06414"/>
    <w:rsid w:val="00A06644"/>
    <w:rsid w:val="00A06EEE"/>
    <w:rsid w:val="00A07947"/>
    <w:rsid w:val="00A0796C"/>
    <w:rsid w:val="00A07EDA"/>
    <w:rsid w:val="00A1336F"/>
    <w:rsid w:val="00A13F06"/>
    <w:rsid w:val="00A154BC"/>
    <w:rsid w:val="00A174A0"/>
    <w:rsid w:val="00A202F4"/>
    <w:rsid w:val="00A21020"/>
    <w:rsid w:val="00A23648"/>
    <w:rsid w:val="00A240BC"/>
    <w:rsid w:val="00A25CE5"/>
    <w:rsid w:val="00A25DE9"/>
    <w:rsid w:val="00A266DF"/>
    <w:rsid w:val="00A315AD"/>
    <w:rsid w:val="00A326F0"/>
    <w:rsid w:val="00A32A6C"/>
    <w:rsid w:val="00A330C7"/>
    <w:rsid w:val="00A332BF"/>
    <w:rsid w:val="00A347F4"/>
    <w:rsid w:val="00A357D1"/>
    <w:rsid w:val="00A36C41"/>
    <w:rsid w:val="00A36C9A"/>
    <w:rsid w:val="00A36EF5"/>
    <w:rsid w:val="00A412E1"/>
    <w:rsid w:val="00A41AE6"/>
    <w:rsid w:val="00A421C5"/>
    <w:rsid w:val="00A42362"/>
    <w:rsid w:val="00A424D5"/>
    <w:rsid w:val="00A424D8"/>
    <w:rsid w:val="00A4289A"/>
    <w:rsid w:val="00A46B34"/>
    <w:rsid w:val="00A47C0A"/>
    <w:rsid w:val="00A47F99"/>
    <w:rsid w:val="00A51877"/>
    <w:rsid w:val="00A53BB3"/>
    <w:rsid w:val="00A54386"/>
    <w:rsid w:val="00A550FE"/>
    <w:rsid w:val="00A56D20"/>
    <w:rsid w:val="00A5774C"/>
    <w:rsid w:val="00A6017D"/>
    <w:rsid w:val="00A61744"/>
    <w:rsid w:val="00A61B70"/>
    <w:rsid w:val="00A62FE6"/>
    <w:rsid w:val="00A640BB"/>
    <w:rsid w:val="00A646DF"/>
    <w:rsid w:val="00A66058"/>
    <w:rsid w:val="00A6632F"/>
    <w:rsid w:val="00A711C2"/>
    <w:rsid w:val="00A72289"/>
    <w:rsid w:val="00A741CA"/>
    <w:rsid w:val="00A74337"/>
    <w:rsid w:val="00A74AA9"/>
    <w:rsid w:val="00A750DF"/>
    <w:rsid w:val="00A768D9"/>
    <w:rsid w:val="00A800E0"/>
    <w:rsid w:val="00A80234"/>
    <w:rsid w:val="00A80F20"/>
    <w:rsid w:val="00A824B4"/>
    <w:rsid w:val="00A82739"/>
    <w:rsid w:val="00A87BA9"/>
    <w:rsid w:val="00A87DB6"/>
    <w:rsid w:val="00A90FBF"/>
    <w:rsid w:val="00A9108A"/>
    <w:rsid w:val="00A91BDC"/>
    <w:rsid w:val="00A93576"/>
    <w:rsid w:val="00A944E6"/>
    <w:rsid w:val="00A96FAE"/>
    <w:rsid w:val="00AA1419"/>
    <w:rsid w:val="00AA2497"/>
    <w:rsid w:val="00AA3292"/>
    <w:rsid w:val="00AA348C"/>
    <w:rsid w:val="00AA3B94"/>
    <w:rsid w:val="00AA4D23"/>
    <w:rsid w:val="00AA511E"/>
    <w:rsid w:val="00AA60B5"/>
    <w:rsid w:val="00AA75C3"/>
    <w:rsid w:val="00AA777F"/>
    <w:rsid w:val="00AA7BFF"/>
    <w:rsid w:val="00AB0D2B"/>
    <w:rsid w:val="00AB1098"/>
    <w:rsid w:val="00AB1478"/>
    <w:rsid w:val="00AB1DDA"/>
    <w:rsid w:val="00AB30E6"/>
    <w:rsid w:val="00AB473D"/>
    <w:rsid w:val="00AB5653"/>
    <w:rsid w:val="00AB5902"/>
    <w:rsid w:val="00AB6A85"/>
    <w:rsid w:val="00AB73B3"/>
    <w:rsid w:val="00AC0341"/>
    <w:rsid w:val="00AC10DE"/>
    <w:rsid w:val="00AC13CC"/>
    <w:rsid w:val="00AC179E"/>
    <w:rsid w:val="00AC193B"/>
    <w:rsid w:val="00AC1AD8"/>
    <w:rsid w:val="00AC263A"/>
    <w:rsid w:val="00AC2906"/>
    <w:rsid w:val="00AC404A"/>
    <w:rsid w:val="00AC4058"/>
    <w:rsid w:val="00AC41E5"/>
    <w:rsid w:val="00AC4643"/>
    <w:rsid w:val="00AC4D5C"/>
    <w:rsid w:val="00AC512F"/>
    <w:rsid w:val="00AC79FA"/>
    <w:rsid w:val="00AD03FF"/>
    <w:rsid w:val="00AD23AD"/>
    <w:rsid w:val="00AD3D66"/>
    <w:rsid w:val="00AD4343"/>
    <w:rsid w:val="00AD53B6"/>
    <w:rsid w:val="00AD5BC6"/>
    <w:rsid w:val="00AD678C"/>
    <w:rsid w:val="00AD7D07"/>
    <w:rsid w:val="00AE0394"/>
    <w:rsid w:val="00AE1944"/>
    <w:rsid w:val="00AE2E70"/>
    <w:rsid w:val="00AE526B"/>
    <w:rsid w:val="00AE7DEE"/>
    <w:rsid w:val="00AF009D"/>
    <w:rsid w:val="00AF0B8F"/>
    <w:rsid w:val="00AF2E19"/>
    <w:rsid w:val="00AF4248"/>
    <w:rsid w:val="00AF4DAA"/>
    <w:rsid w:val="00B0007F"/>
    <w:rsid w:val="00B02979"/>
    <w:rsid w:val="00B0397A"/>
    <w:rsid w:val="00B05FDB"/>
    <w:rsid w:val="00B07115"/>
    <w:rsid w:val="00B07C02"/>
    <w:rsid w:val="00B100BE"/>
    <w:rsid w:val="00B1052C"/>
    <w:rsid w:val="00B10991"/>
    <w:rsid w:val="00B11C1F"/>
    <w:rsid w:val="00B13B5D"/>
    <w:rsid w:val="00B16787"/>
    <w:rsid w:val="00B175C3"/>
    <w:rsid w:val="00B2068C"/>
    <w:rsid w:val="00B219DB"/>
    <w:rsid w:val="00B22C07"/>
    <w:rsid w:val="00B23741"/>
    <w:rsid w:val="00B2397D"/>
    <w:rsid w:val="00B2622E"/>
    <w:rsid w:val="00B26574"/>
    <w:rsid w:val="00B26E71"/>
    <w:rsid w:val="00B2747C"/>
    <w:rsid w:val="00B30375"/>
    <w:rsid w:val="00B3119C"/>
    <w:rsid w:val="00B314CB"/>
    <w:rsid w:val="00B31FA1"/>
    <w:rsid w:val="00B35C64"/>
    <w:rsid w:val="00B36062"/>
    <w:rsid w:val="00B36B4C"/>
    <w:rsid w:val="00B37C95"/>
    <w:rsid w:val="00B40C8B"/>
    <w:rsid w:val="00B4128E"/>
    <w:rsid w:val="00B41397"/>
    <w:rsid w:val="00B4208C"/>
    <w:rsid w:val="00B43384"/>
    <w:rsid w:val="00B440D4"/>
    <w:rsid w:val="00B44325"/>
    <w:rsid w:val="00B475E4"/>
    <w:rsid w:val="00B47B47"/>
    <w:rsid w:val="00B47FB2"/>
    <w:rsid w:val="00B507E4"/>
    <w:rsid w:val="00B50B1F"/>
    <w:rsid w:val="00B52DCB"/>
    <w:rsid w:val="00B5650E"/>
    <w:rsid w:val="00B57721"/>
    <w:rsid w:val="00B5778F"/>
    <w:rsid w:val="00B619B4"/>
    <w:rsid w:val="00B61B53"/>
    <w:rsid w:val="00B61ED2"/>
    <w:rsid w:val="00B6446C"/>
    <w:rsid w:val="00B648CA"/>
    <w:rsid w:val="00B65910"/>
    <w:rsid w:val="00B67CF1"/>
    <w:rsid w:val="00B718FD"/>
    <w:rsid w:val="00B71B02"/>
    <w:rsid w:val="00B724D2"/>
    <w:rsid w:val="00B7411B"/>
    <w:rsid w:val="00B74531"/>
    <w:rsid w:val="00B756AD"/>
    <w:rsid w:val="00B75D58"/>
    <w:rsid w:val="00B76699"/>
    <w:rsid w:val="00B816F9"/>
    <w:rsid w:val="00B8209E"/>
    <w:rsid w:val="00B82BE8"/>
    <w:rsid w:val="00B849AB"/>
    <w:rsid w:val="00B84A42"/>
    <w:rsid w:val="00B85391"/>
    <w:rsid w:val="00B85AB2"/>
    <w:rsid w:val="00B87704"/>
    <w:rsid w:val="00B915F6"/>
    <w:rsid w:val="00B91B49"/>
    <w:rsid w:val="00B92738"/>
    <w:rsid w:val="00B92E14"/>
    <w:rsid w:val="00B93233"/>
    <w:rsid w:val="00B93294"/>
    <w:rsid w:val="00B93504"/>
    <w:rsid w:val="00B940B6"/>
    <w:rsid w:val="00B94B47"/>
    <w:rsid w:val="00B94D05"/>
    <w:rsid w:val="00B96AFE"/>
    <w:rsid w:val="00B974DA"/>
    <w:rsid w:val="00BA0566"/>
    <w:rsid w:val="00BA089F"/>
    <w:rsid w:val="00BA1067"/>
    <w:rsid w:val="00BA113D"/>
    <w:rsid w:val="00BA2C72"/>
    <w:rsid w:val="00BA37FC"/>
    <w:rsid w:val="00BA3EEB"/>
    <w:rsid w:val="00BA4615"/>
    <w:rsid w:val="00BA4CCF"/>
    <w:rsid w:val="00BA4E98"/>
    <w:rsid w:val="00BA4EAC"/>
    <w:rsid w:val="00BA5665"/>
    <w:rsid w:val="00BA5E89"/>
    <w:rsid w:val="00BA7C5B"/>
    <w:rsid w:val="00BA7DC0"/>
    <w:rsid w:val="00BB5980"/>
    <w:rsid w:val="00BB5E00"/>
    <w:rsid w:val="00BB636F"/>
    <w:rsid w:val="00BB65E8"/>
    <w:rsid w:val="00BC0FEA"/>
    <w:rsid w:val="00BC270C"/>
    <w:rsid w:val="00BC2B80"/>
    <w:rsid w:val="00BC4447"/>
    <w:rsid w:val="00BC6A8E"/>
    <w:rsid w:val="00BC6B6E"/>
    <w:rsid w:val="00BC7D76"/>
    <w:rsid w:val="00BC7E3E"/>
    <w:rsid w:val="00BD0259"/>
    <w:rsid w:val="00BD0CEC"/>
    <w:rsid w:val="00BD0F42"/>
    <w:rsid w:val="00BD2241"/>
    <w:rsid w:val="00BD47C9"/>
    <w:rsid w:val="00BD5EB7"/>
    <w:rsid w:val="00BD675F"/>
    <w:rsid w:val="00BE341F"/>
    <w:rsid w:val="00BE34B0"/>
    <w:rsid w:val="00BE3922"/>
    <w:rsid w:val="00BE3924"/>
    <w:rsid w:val="00BE46DC"/>
    <w:rsid w:val="00BE4C88"/>
    <w:rsid w:val="00BE576B"/>
    <w:rsid w:val="00BE7F12"/>
    <w:rsid w:val="00BF149B"/>
    <w:rsid w:val="00BF294B"/>
    <w:rsid w:val="00BF330E"/>
    <w:rsid w:val="00BF3690"/>
    <w:rsid w:val="00BF56CA"/>
    <w:rsid w:val="00BF70E5"/>
    <w:rsid w:val="00C014F5"/>
    <w:rsid w:val="00C10AC9"/>
    <w:rsid w:val="00C10DB1"/>
    <w:rsid w:val="00C10E2E"/>
    <w:rsid w:val="00C1239F"/>
    <w:rsid w:val="00C137F7"/>
    <w:rsid w:val="00C14974"/>
    <w:rsid w:val="00C164F2"/>
    <w:rsid w:val="00C17BB7"/>
    <w:rsid w:val="00C20566"/>
    <w:rsid w:val="00C21F09"/>
    <w:rsid w:val="00C2639C"/>
    <w:rsid w:val="00C26DEC"/>
    <w:rsid w:val="00C30783"/>
    <w:rsid w:val="00C311E0"/>
    <w:rsid w:val="00C32FFE"/>
    <w:rsid w:val="00C33537"/>
    <w:rsid w:val="00C348C8"/>
    <w:rsid w:val="00C3646E"/>
    <w:rsid w:val="00C37714"/>
    <w:rsid w:val="00C37B8B"/>
    <w:rsid w:val="00C402B3"/>
    <w:rsid w:val="00C40A0B"/>
    <w:rsid w:val="00C4170E"/>
    <w:rsid w:val="00C431A6"/>
    <w:rsid w:val="00C43A7C"/>
    <w:rsid w:val="00C43E16"/>
    <w:rsid w:val="00C43F93"/>
    <w:rsid w:val="00C44D25"/>
    <w:rsid w:val="00C471D7"/>
    <w:rsid w:val="00C516C7"/>
    <w:rsid w:val="00C543AE"/>
    <w:rsid w:val="00C56020"/>
    <w:rsid w:val="00C57811"/>
    <w:rsid w:val="00C6150C"/>
    <w:rsid w:val="00C653C6"/>
    <w:rsid w:val="00C663A0"/>
    <w:rsid w:val="00C678D2"/>
    <w:rsid w:val="00C70873"/>
    <w:rsid w:val="00C70AA5"/>
    <w:rsid w:val="00C75122"/>
    <w:rsid w:val="00C80656"/>
    <w:rsid w:val="00C810EF"/>
    <w:rsid w:val="00C82E8D"/>
    <w:rsid w:val="00C8319D"/>
    <w:rsid w:val="00C83635"/>
    <w:rsid w:val="00C84742"/>
    <w:rsid w:val="00C849A7"/>
    <w:rsid w:val="00C85452"/>
    <w:rsid w:val="00C85827"/>
    <w:rsid w:val="00C865A6"/>
    <w:rsid w:val="00C86BA6"/>
    <w:rsid w:val="00C907A3"/>
    <w:rsid w:val="00C91D28"/>
    <w:rsid w:val="00C91F83"/>
    <w:rsid w:val="00C92683"/>
    <w:rsid w:val="00C92D4F"/>
    <w:rsid w:val="00C93CDE"/>
    <w:rsid w:val="00C93E1E"/>
    <w:rsid w:val="00C94CCB"/>
    <w:rsid w:val="00C94EED"/>
    <w:rsid w:val="00C9500A"/>
    <w:rsid w:val="00C96F6A"/>
    <w:rsid w:val="00C97B95"/>
    <w:rsid w:val="00C97CB9"/>
    <w:rsid w:val="00CA0839"/>
    <w:rsid w:val="00CA0961"/>
    <w:rsid w:val="00CA0E02"/>
    <w:rsid w:val="00CA32DB"/>
    <w:rsid w:val="00CA358F"/>
    <w:rsid w:val="00CA42E8"/>
    <w:rsid w:val="00CA7C9D"/>
    <w:rsid w:val="00CB3917"/>
    <w:rsid w:val="00CB78E1"/>
    <w:rsid w:val="00CB7FE4"/>
    <w:rsid w:val="00CC0D24"/>
    <w:rsid w:val="00CC0D32"/>
    <w:rsid w:val="00CC23CD"/>
    <w:rsid w:val="00CC2ADA"/>
    <w:rsid w:val="00CC391C"/>
    <w:rsid w:val="00CD04A9"/>
    <w:rsid w:val="00CD05A9"/>
    <w:rsid w:val="00CD1964"/>
    <w:rsid w:val="00CD2089"/>
    <w:rsid w:val="00CD69CE"/>
    <w:rsid w:val="00CD7FE7"/>
    <w:rsid w:val="00CE2772"/>
    <w:rsid w:val="00CE2AA6"/>
    <w:rsid w:val="00CE4F3A"/>
    <w:rsid w:val="00CE5664"/>
    <w:rsid w:val="00CE7A4F"/>
    <w:rsid w:val="00CF07CB"/>
    <w:rsid w:val="00CF0D2E"/>
    <w:rsid w:val="00CF2633"/>
    <w:rsid w:val="00CF2B59"/>
    <w:rsid w:val="00CF3866"/>
    <w:rsid w:val="00CF5708"/>
    <w:rsid w:val="00CF6072"/>
    <w:rsid w:val="00CF645F"/>
    <w:rsid w:val="00D00226"/>
    <w:rsid w:val="00D0116E"/>
    <w:rsid w:val="00D011E4"/>
    <w:rsid w:val="00D01355"/>
    <w:rsid w:val="00D01427"/>
    <w:rsid w:val="00D026F9"/>
    <w:rsid w:val="00D0327D"/>
    <w:rsid w:val="00D05BD3"/>
    <w:rsid w:val="00D05FBF"/>
    <w:rsid w:val="00D108FF"/>
    <w:rsid w:val="00D10F3A"/>
    <w:rsid w:val="00D114EE"/>
    <w:rsid w:val="00D12EDE"/>
    <w:rsid w:val="00D13796"/>
    <w:rsid w:val="00D13F2C"/>
    <w:rsid w:val="00D15FBE"/>
    <w:rsid w:val="00D2025C"/>
    <w:rsid w:val="00D20A9C"/>
    <w:rsid w:val="00D22D7C"/>
    <w:rsid w:val="00D23316"/>
    <w:rsid w:val="00D235CE"/>
    <w:rsid w:val="00D238AE"/>
    <w:rsid w:val="00D2446F"/>
    <w:rsid w:val="00D252D5"/>
    <w:rsid w:val="00D254E5"/>
    <w:rsid w:val="00D26091"/>
    <w:rsid w:val="00D26CA0"/>
    <w:rsid w:val="00D3263D"/>
    <w:rsid w:val="00D33513"/>
    <w:rsid w:val="00D33737"/>
    <w:rsid w:val="00D36410"/>
    <w:rsid w:val="00D3775C"/>
    <w:rsid w:val="00D40B7A"/>
    <w:rsid w:val="00D412E8"/>
    <w:rsid w:val="00D44B94"/>
    <w:rsid w:val="00D44E21"/>
    <w:rsid w:val="00D46629"/>
    <w:rsid w:val="00D4720F"/>
    <w:rsid w:val="00D5023B"/>
    <w:rsid w:val="00D50F57"/>
    <w:rsid w:val="00D51C8D"/>
    <w:rsid w:val="00D51DC9"/>
    <w:rsid w:val="00D5270C"/>
    <w:rsid w:val="00D5569E"/>
    <w:rsid w:val="00D57119"/>
    <w:rsid w:val="00D643A2"/>
    <w:rsid w:val="00D64CF3"/>
    <w:rsid w:val="00D65011"/>
    <w:rsid w:val="00D652DB"/>
    <w:rsid w:val="00D66CB9"/>
    <w:rsid w:val="00D66ED6"/>
    <w:rsid w:val="00D67422"/>
    <w:rsid w:val="00D7040C"/>
    <w:rsid w:val="00D71B54"/>
    <w:rsid w:val="00D72564"/>
    <w:rsid w:val="00D745BC"/>
    <w:rsid w:val="00D75912"/>
    <w:rsid w:val="00D7604C"/>
    <w:rsid w:val="00D77A50"/>
    <w:rsid w:val="00D80B0B"/>
    <w:rsid w:val="00D81E17"/>
    <w:rsid w:val="00D8452B"/>
    <w:rsid w:val="00D85552"/>
    <w:rsid w:val="00D85F52"/>
    <w:rsid w:val="00D86455"/>
    <w:rsid w:val="00D86EC8"/>
    <w:rsid w:val="00D874A5"/>
    <w:rsid w:val="00D903C0"/>
    <w:rsid w:val="00D908D5"/>
    <w:rsid w:val="00D9142E"/>
    <w:rsid w:val="00D91AB6"/>
    <w:rsid w:val="00D91D21"/>
    <w:rsid w:val="00D92902"/>
    <w:rsid w:val="00D938ED"/>
    <w:rsid w:val="00D94C33"/>
    <w:rsid w:val="00D952A4"/>
    <w:rsid w:val="00D95583"/>
    <w:rsid w:val="00D95BC0"/>
    <w:rsid w:val="00D97347"/>
    <w:rsid w:val="00DA1047"/>
    <w:rsid w:val="00DA1A31"/>
    <w:rsid w:val="00DA1AC6"/>
    <w:rsid w:val="00DA208F"/>
    <w:rsid w:val="00DA2BB9"/>
    <w:rsid w:val="00DA344E"/>
    <w:rsid w:val="00DA4558"/>
    <w:rsid w:val="00DA467E"/>
    <w:rsid w:val="00DA47F9"/>
    <w:rsid w:val="00DA6221"/>
    <w:rsid w:val="00DA6761"/>
    <w:rsid w:val="00DA7373"/>
    <w:rsid w:val="00DB1294"/>
    <w:rsid w:val="00DB19EB"/>
    <w:rsid w:val="00DB3018"/>
    <w:rsid w:val="00DB3283"/>
    <w:rsid w:val="00DB598B"/>
    <w:rsid w:val="00DB5F1A"/>
    <w:rsid w:val="00DB72F5"/>
    <w:rsid w:val="00DB760F"/>
    <w:rsid w:val="00DC30CB"/>
    <w:rsid w:val="00DC3B28"/>
    <w:rsid w:val="00DC6B22"/>
    <w:rsid w:val="00DC6DCD"/>
    <w:rsid w:val="00DC7AF9"/>
    <w:rsid w:val="00DD1E72"/>
    <w:rsid w:val="00DD298F"/>
    <w:rsid w:val="00DD4765"/>
    <w:rsid w:val="00DD5AAF"/>
    <w:rsid w:val="00DD5BC1"/>
    <w:rsid w:val="00DD5FFF"/>
    <w:rsid w:val="00DD6AE6"/>
    <w:rsid w:val="00DD6B39"/>
    <w:rsid w:val="00DD70C3"/>
    <w:rsid w:val="00DE05D4"/>
    <w:rsid w:val="00DE0857"/>
    <w:rsid w:val="00DE0EFA"/>
    <w:rsid w:val="00DE15E3"/>
    <w:rsid w:val="00DE3801"/>
    <w:rsid w:val="00DE4535"/>
    <w:rsid w:val="00DE7479"/>
    <w:rsid w:val="00DE7AF1"/>
    <w:rsid w:val="00DF0592"/>
    <w:rsid w:val="00DF2583"/>
    <w:rsid w:val="00DF45B0"/>
    <w:rsid w:val="00DF4606"/>
    <w:rsid w:val="00DF6CAB"/>
    <w:rsid w:val="00DF7B52"/>
    <w:rsid w:val="00E02314"/>
    <w:rsid w:val="00E02739"/>
    <w:rsid w:val="00E02C0E"/>
    <w:rsid w:val="00E0559D"/>
    <w:rsid w:val="00E079AD"/>
    <w:rsid w:val="00E07D05"/>
    <w:rsid w:val="00E07D7A"/>
    <w:rsid w:val="00E07E0C"/>
    <w:rsid w:val="00E12D10"/>
    <w:rsid w:val="00E13F2E"/>
    <w:rsid w:val="00E14FB6"/>
    <w:rsid w:val="00E2078C"/>
    <w:rsid w:val="00E20A91"/>
    <w:rsid w:val="00E21057"/>
    <w:rsid w:val="00E21348"/>
    <w:rsid w:val="00E225F7"/>
    <w:rsid w:val="00E22AA1"/>
    <w:rsid w:val="00E22D1B"/>
    <w:rsid w:val="00E234A7"/>
    <w:rsid w:val="00E23A81"/>
    <w:rsid w:val="00E244E4"/>
    <w:rsid w:val="00E24BA1"/>
    <w:rsid w:val="00E24DA9"/>
    <w:rsid w:val="00E2511A"/>
    <w:rsid w:val="00E259FB"/>
    <w:rsid w:val="00E25A75"/>
    <w:rsid w:val="00E304B9"/>
    <w:rsid w:val="00E330AD"/>
    <w:rsid w:val="00E33A85"/>
    <w:rsid w:val="00E35F20"/>
    <w:rsid w:val="00E42AA6"/>
    <w:rsid w:val="00E4355C"/>
    <w:rsid w:val="00E441E0"/>
    <w:rsid w:val="00E44AEB"/>
    <w:rsid w:val="00E45505"/>
    <w:rsid w:val="00E46B9B"/>
    <w:rsid w:val="00E46D31"/>
    <w:rsid w:val="00E5027B"/>
    <w:rsid w:val="00E509C6"/>
    <w:rsid w:val="00E5190E"/>
    <w:rsid w:val="00E5270D"/>
    <w:rsid w:val="00E55640"/>
    <w:rsid w:val="00E57D5E"/>
    <w:rsid w:val="00E60DAC"/>
    <w:rsid w:val="00E61906"/>
    <w:rsid w:val="00E61DC3"/>
    <w:rsid w:val="00E625F4"/>
    <w:rsid w:val="00E62BED"/>
    <w:rsid w:val="00E64557"/>
    <w:rsid w:val="00E66186"/>
    <w:rsid w:val="00E700F3"/>
    <w:rsid w:val="00E70261"/>
    <w:rsid w:val="00E7171D"/>
    <w:rsid w:val="00E71AEF"/>
    <w:rsid w:val="00E71F22"/>
    <w:rsid w:val="00E72020"/>
    <w:rsid w:val="00E722A0"/>
    <w:rsid w:val="00E72E0C"/>
    <w:rsid w:val="00E749F9"/>
    <w:rsid w:val="00E80A34"/>
    <w:rsid w:val="00E81C1A"/>
    <w:rsid w:val="00E81F68"/>
    <w:rsid w:val="00E82C23"/>
    <w:rsid w:val="00E83B76"/>
    <w:rsid w:val="00E84452"/>
    <w:rsid w:val="00E84DCC"/>
    <w:rsid w:val="00E853BE"/>
    <w:rsid w:val="00E86032"/>
    <w:rsid w:val="00E865CC"/>
    <w:rsid w:val="00E86E19"/>
    <w:rsid w:val="00E90712"/>
    <w:rsid w:val="00E936E0"/>
    <w:rsid w:val="00E93B53"/>
    <w:rsid w:val="00E97555"/>
    <w:rsid w:val="00EA00D6"/>
    <w:rsid w:val="00EA45C0"/>
    <w:rsid w:val="00EA7126"/>
    <w:rsid w:val="00EB0ABD"/>
    <w:rsid w:val="00EB261F"/>
    <w:rsid w:val="00EB3316"/>
    <w:rsid w:val="00EB4266"/>
    <w:rsid w:val="00EB4CE6"/>
    <w:rsid w:val="00EB60E9"/>
    <w:rsid w:val="00EB788E"/>
    <w:rsid w:val="00EC0283"/>
    <w:rsid w:val="00EC04DE"/>
    <w:rsid w:val="00EC3169"/>
    <w:rsid w:val="00EC447D"/>
    <w:rsid w:val="00EC4A0E"/>
    <w:rsid w:val="00EC4F8B"/>
    <w:rsid w:val="00EC5743"/>
    <w:rsid w:val="00EC6C2F"/>
    <w:rsid w:val="00EC7F4A"/>
    <w:rsid w:val="00ED1555"/>
    <w:rsid w:val="00ED19CA"/>
    <w:rsid w:val="00ED1B10"/>
    <w:rsid w:val="00ED2C9A"/>
    <w:rsid w:val="00ED31A6"/>
    <w:rsid w:val="00ED3E78"/>
    <w:rsid w:val="00ED3FC1"/>
    <w:rsid w:val="00ED4097"/>
    <w:rsid w:val="00ED5957"/>
    <w:rsid w:val="00ED6691"/>
    <w:rsid w:val="00ED684D"/>
    <w:rsid w:val="00ED7511"/>
    <w:rsid w:val="00ED77EF"/>
    <w:rsid w:val="00ED7E70"/>
    <w:rsid w:val="00EE16BB"/>
    <w:rsid w:val="00EE183A"/>
    <w:rsid w:val="00EE1F79"/>
    <w:rsid w:val="00EE3010"/>
    <w:rsid w:val="00EE391C"/>
    <w:rsid w:val="00EE430C"/>
    <w:rsid w:val="00EE4EEC"/>
    <w:rsid w:val="00EE623C"/>
    <w:rsid w:val="00EE7139"/>
    <w:rsid w:val="00EF2926"/>
    <w:rsid w:val="00EF5544"/>
    <w:rsid w:val="00F00744"/>
    <w:rsid w:val="00F010C2"/>
    <w:rsid w:val="00F0590B"/>
    <w:rsid w:val="00F0699C"/>
    <w:rsid w:val="00F10FCC"/>
    <w:rsid w:val="00F11AEC"/>
    <w:rsid w:val="00F127A1"/>
    <w:rsid w:val="00F12D45"/>
    <w:rsid w:val="00F13E8D"/>
    <w:rsid w:val="00F16B07"/>
    <w:rsid w:val="00F16DCD"/>
    <w:rsid w:val="00F20E3D"/>
    <w:rsid w:val="00F24DD4"/>
    <w:rsid w:val="00F24DEA"/>
    <w:rsid w:val="00F2629C"/>
    <w:rsid w:val="00F262B4"/>
    <w:rsid w:val="00F26A69"/>
    <w:rsid w:val="00F2736D"/>
    <w:rsid w:val="00F27491"/>
    <w:rsid w:val="00F306C1"/>
    <w:rsid w:val="00F30F00"/>
    <w:rsid w:val="00F3289E"/>
    <w:rsid w:val="00F33EED"/>
    <w:rsid w:val="00F33F12"/>
    <w:rsid w:val="00F34A8A"/>
    <w:rsid w:val="00F35CFC"/>
    <w:rsid w:val="00F3681B"/>
    <w:rsid w:val="00F36E7C"/>
    <w:rsid w:val="00F378A9"/>
    <w:rsid w:val="00F40476"/>
    <w:rsid w:val="00F40C54"/>
    <w:rsid w:val="00F41758"/>
    <w:rsid w:val="00F42A44"/>
    <w:rsid w:val="00F45304"/>
    <w:rsid w:val="00F457BF"/>
    <w:rsid w:val="00F45B34"/>
    <w:rsid w:val="00F45D12"/>
    <w:rsid w:val="00F45DF4"/>
    <w:rsid w:val="00F473D3"/>
    <w:rsid w:val="00F47C4D"/>
    <w:rsid w:val="00F505EC"/>
    <w:rsid w:val="00F517BB"/>
    <w:rsid w:val="00F53087"/>
    <w:rsid w:val="00F56FE4"/>
    <w:rsid w:val="00F60F2E"/>
    <w:rsid w:val="00F63AF4"/>
    <w:rsid w:val="00F63E00"/>
    <w:rsid w:val="00F63F08"/>
    <w:rsid w:val="00F661F2"/>
    <w:rsid w:val="00F70816"/>
    <w:rsid w:val="00F737F0"/>
    <w:rsid w:val="00F73B8C"/>
    <w:rsid w:val="00F73DD4"/>
    <w:rsid w:val="00F744DB"/>
    <w:rsid w:val="00F74C2E"/>
    <w:rsid w:val="00F753BE"/>
    <w:rsid w:val="00F7630B"/>
    <w:rsid w:val="00F8088A"/>
    <w:rsid w:val="00F81860"/>
    <w:rsid w:val="00F819A6"/>
    <w:rsid w:val="00F824F1"/>
    <w:rsid w:val="00F834C8"/>
    <w:rsid w:val="00F84115"/>
    <w:rsid w:val="00F8440A"/>
    <w:rsid w:val="00F84584"/>
    <w:rsid w:val="00F85AA3"/>
    <w:rsid w:val="00F869EB"/>
    <w:rsid w:val="00F875E6"/>
    <w:rsid w:val="00F91259"/>
    <w:rsid w:val="00F9446D"/>
    <w:rsid w:val="00F94EDC"/>
    <w:rsid w:val="00F9547B"/>
    <w:rsid w:val="00F96912"/>
    <w:rsid w:val="00FA188E"/>
    <w:rsid w:val="00FA19FC"/>
    <w:rsid w:val="00FA1A89"/>
    <w:rsid w:val="00FA2E93"/>
    <w:rsid w:val="00FA43C0"/>
    <w:rsid w:val="00FA4AA2"/>
    <w:rsid w:val="00FA63BA"/>
    <w:rsid w:val="00FA6A13"/>
    <w:rsid w:val="00FA70C8"/>
    <w:rsid w:val="00FA77EE"/>
    <w:rsid w:val="00FA7F24"/>
    <w:rsid w:val="00FB083B"/>
    <w:rsid w:val="00FB18A6"/>
    <w:rsid w:val="00FB2F14"/>
    <w:rsid w:val="00FB70F0"/>
    <w:rsid w:val="00FB7171"/>
    <w:rsid w:val="00FB72D7"/>
    <w:rsid w:val="00FC1CD4"/>
    <w:rsid w:val="00FC2C68"/>
    <w:rsid w:val="00FC346A"/>
    <w:rsid w:val="00FC3715"/>
    <w:rsid w:val="00FC41EC"/>
    <w:rsid w:val="00FC5DE6"/>
    <w:rsid w:val="00FC7A45"/>
    <w:rsid w:val="00FC7C02"/>
    <w:rsid w:val="00FD0FFC"/>
    <w:rsid w:val="00FD360B"/>
    <w:rsid w:val="00FD441C"/>
    <w:rsid w:val="00FD688C"/>
    <w:rsid w:val="00FD6DF4"/>
    <w:rsid w:val="00FD7174"/>
    <w:rsid w:val="00FD7431"/>
    <w:rsid w:val="00FE086E"/>
    <w:rsid w:val="00FE26CD"/>
    <w:rsid w:val="00FE361E"/>
    <w:rsid w:val="00FE5445"/>
    <w:rsid w:val="00FE5FF2"/>
    <w:rsid w:val="00FE772B"/>
    <w:rsid w:val="00FE7D91"/>
    <w:rsid w:val="00FF05F7"/>
    <w:rsid w:val="00FF1D23"/>
    <w:rsid w:val="00FF48A2"/>
    <w:rsid w:val="00FF5FFB"/>
    <w:rsid w:val="00FF65BB"/>
    <w:rsid w:val="00FF6AF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CCBAD"/>
  <w15:chartTrackingRefBased/>
  <w15:docId w15:val="{CD1993D1-70F2-4B6D-864A-7BD70D88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AA3"/>
  </w:style>
  <w:style w:type="paragraph" w:styleId="Heading1">
    <w:name w:val="heading 1"/>
    <w:basedOn w:val="Normal"/>
    <w:next w:val="Normal"/>
    <w:link w:val="Heading1Char"/>
    <w:uiPriority w:val="9"/>
    <w:qFormat/>
    <w:rsid w:val="001B19AE"/>
    <w:pPr>
      <w:keepNext/>
      <w:keepLines/>
      <w:numPr>
        <w:numId w:val="7"/>
      </w:numPr>
      <w:spacing w:before="360" w:after="120" w:line="240" w:lineRule="auto"/>
      <w:jc w:val="center"/>
      <w:outlineLvl w:val="0"/>
    </w:pPr>
    <w:rPr>
      <w:rFonts w:ascii="Times New Roman" w:eastAsia="Times New Roman" w:hAnsi="Times New Roman" w:cs="Times New Roman"/>
      <w:b/>
      <w:sz w:val="28"/>
      <w:szCs w:val="32"/>
      <w:lang w:eastAsia="sq-AL"/>
    </w:rPr>
  </w:style>
  <w:style w:type="paragraph" w:styleId="Heading2">
    <w:name w:val="heading 2"/>
    <w:basedOn w:val="Normal"/>
    <w:next w:val="Normal"/>
    <w:link w:val="Heading2Char"/>
    <w:uiPriority w:val="9"/>
    <w:unhideWhenUsed/>
    <w:qFormat/>
    <w:rsid w:val="001B19AE"/>
    <w:pPr>
      <w:keepNext/>
      <w:keepLines/>
      <w:numPr>
        <w:ilvl w:val="1"/>
        <w:numId w:val="7"/>
      </w:numPr>
      <w:spacing w:before="160" w:after="120" w:line="240" w:lineRule="auto"/>
      <w:outlineLvl w:val="1"/>
    </w:pPr>
    <w:rPr>
      <w:rFonts w:ascii="Times New Roman" w:eastAsia="Times New Roman" w:hAnsi="Times New Roman" w:cs="Times New Roman"/>
      <w:b/>
      <w:sz w:val="24"/>
      <w:szCs w:val="26"/>
      <w:lang w:eastAsia="sq-AL"/>
    </w:rPr>
  </w:style>
  <w:style w:type="paragraph" w:styleId="Heading3">
    <w:name w:val="heading 3"/>
    <w:basedOn w:val="Normal"/>
    <w:next w:val="Normal"/>
    <w:link w:val="Heading3Char"/>
    <w:uiPriority w:val="9"/>
    <w:unhideWhenUsed/>
    <w:qFormat/>
    <w:rsid w:val="0031151C"/>
    <w:pPr>
      <w:keepNext/>
      <w:keepLines/>
      <w:numPr>
        <w:ilvl w:val="2"/>
        <w:numId w:val="7"/>
      </w:numPr>
      <w:spacing w:before="40" w:after="0" w:line="240" w:lineRule="auto"/>
      <w:outlineLvl w:val="2"/>
    </w:pPr>
    <w:rPr>
      <w:rFonts w:ascii="Calibri Light" w:eastAsia="Times New Roman" w:hAnsi="Calibri Light" w:cs="Times New Roman"/>
      <w:color w:val="1F3763"/>
      <w:sz w:val="20"/>
      <w:szCs w:val="20"/>
      <w:lang w:eastAsia="sq-AL"/>
    </w:rPr>
  </w:style>
  <w:style w:type="paragraph" w:styleId="Heading4">
    <w:name w:val="heading 4"/>
    <w:basedOn w:val="Normal"/>
    <w:next w:val="Normal"/>
    <w:link w:val="Heading4Char"/>
    <w:uiPriority w:val="9"/>
    <w:semiHidden/>
    <w:unhideWhenUsed/>
    <w:qFormat/>
    <w:rsid w:val="0031151C"/>
    <w:pPr>
      <w:keepNext/>
      <w:keepLines/>
      <w:numPr>
        <w:ilvl w:val="3"/>
        <w:numId w:val="7"/>
      </w:numPr>
      <w:spacing w:before="40" w:after="0" w:line="240" w:lineRule="auto"/>
      <w:outlineLvl w:val="3"/>
    </w:pPr>
    <w:rPr>
      <w:rFonts w:ascii="Calibri Light" w:eastAsia="Times New Roman" w:hAnsi="Calibri Light" w:cs="Times New Roman"/>
      <w:i/>
      <w:iCs/>
      <w:color w:val="2F5496"/>
      <w:sz w:val="20"/>
      <w:szCs w:val="20"/>
      <w:lang w:eastAsia="sq-AL"/>
    </w:rPr>
  </w:style>
  <w:style w:type="paragraph" w:styleId="Heading5">
    <w:name w:val="heading 5"/>
    <w:basedOn w:val="Normal"/>
    <w:next w:val="Normal"/>
    <w:link w:val="Heading5Char"/>
    <w:uiPriority w:val="9"/>
    <w:semiHidden/>
    <w:unhideWhenUsed/>
    <w:qFormat/>
    <w:rsid w:val="0031151C"/>
    <w:pPr>
      <w:keepNext/>
      <w:keepLines/>
      <w:numPr>
        <w:ilvl w:val="4"/>
        <w:numId w:val="7"/>
      </w:numPr>
      <w:spacing w:before="40" w:after="0" w:line="240" w:lineRule="auto"/>
      <w:outlineLvl w:val="4"/>
    </w:pPr>
    <w:rPr>
      <w:rFonts w:ascii="Calibri Light" w:eastAsia="Times New Roman" w:hAnsi="Calibri Light" w:cs="Times New Roman"/>
      <w:color w:val="2F5496"/>
      <w:sz w:val="20"/>
      <w:szCs w:val="20"/>
      <w:lang w:eastAsia="sq-AL"/>
    </w:rPr>
  </w:style>
  <w:style w:type="paragraph" w:styleId="Heading6">
    <w:name w:val="heading 6"/>
    <w:basedOn w:val="Normal"/>
    <w:next w:val="Normal"/>
    <w:link w:val="Heading6Char"/>
    <w:uiPriority w:val="9"/>
    <w:semiHidden/>
    <w:unhideWhenUsed/>
    <w:qFormat/>
    <w:rsid w:val="0031151C"/>
    <w:pPr>
      <w:keepNext/>
      <w:keepLines/>
      <w:numPr>
        <w:ilvl w:val="5"/>
        <w:numId w:val="7"/>
      </w:numPr>
      <w:spacing w:before="40" w:after="0" w:line="240" w:lineRule="auto"/>
      <w:outlineLvl w:val="5"/>
    </w:pPr>
    <w:rPr>
      <w:rFonts w:ascii="Calibri Light" w:eastAsia="Times New Roman" w:hAnsi="Calibri Light" w:cs="Times New Roman"/>
      <w:color w:val="1F3763"/>
      <w:sz w:val="20"/>
      <w:szCs w:val="20"/>
      <w:lang w:eastAsia="sq-AL"/>
    </w:rPr>
  </w:style>
  <w:style w:type="paragraph" w:styleId="Heading7">
    <w:name w:val="heading 7"/>
    <w:basedOn w:val="Normal"/>
    <w:next w:val="Normal"/>
    <w:link w:val="Heading7Char"/>
    <w:uiPriority w:val="9"/>
    <w:semiHidden/>
    <w:unhideWhenUsed/>
    <w:qFormat/>
    <w:rsid w:val="0031151C"/>
    <w:pPr>
      <w:keepNext/>
      <w:keepLines/>
      <w:numPr>
        <w:ilvl w:val="6"/>
        <w:numId w:val="7"/>
      </w:numPr>
      <w:spacing w:before="40" w:after="0" w:line="240" w:lineRule="auto"/>
      <w:outlineLvl w:val="6"/>
    </w:pPr>
    <w:rPr>
      <w:rFonts w:ascii="Calibri Light" w:eastAsia="Times New Roman" w:hAnsi="Calibri Light" w:cs="Times New Roman"/>
      <w:i/>
      <w:iCs/>
      <w:color w:val="1F3763"/>
      <w:sz w:val="20"/>
      <w:szCs w:val="20"/>
      <w:lang w:eastAsia="sq-AL"/>
    </w:rPr>
  </w:style>
  <w:style w:type="paragraph" w:styleId="Heading8">
    <w:name w:val="heading 8"/>
    <w:basedOn w:val="Normal"/>
    <w:next w:val="Normal"/>
    <w:link w:val="Heading8Char"/>
    <w:uiPriority w:val="9"/>
    <w:semiHidden/>
    <w:unhideWhenUsed/>
    <w:qFormat/>
    <w:rsid w:val="0031151C"/>
    <w:pPr>
      <w:keepNext/>
      <w:keepLines/>
      <w:numPr>
        <w:ilvl w:val="7"/>
        <w:numId w:val="7"/>
      </w:numPr>
      <w:spacing w:before="40" w:after="0" w:line="240" w:lineRule="auto"/>
      <w:outlineLvl w:val="7"/>
    </w:pPr>
    <w:rPr>
      <w:rFonts w:ascii="Calibri Light" w:eastAsia="Times New Roman" w:hAnsi="Calibri Light" w:cs="Times New Roman"/>
      <w:color w:val="272727"/>
      <w:sz w:val="21"/>
      <w:szCs w:val="21"/>
      <w:lang w:eastAsia="sq-AL"/>
    </w:rPr>
  </w:style>
  <w:style w:type="paragraph" w:styleId="Heading9">
    <w:name w:val="heading 9"/>
    <w:basedOn w:val="Normal"/>
    <w:next w:val="Normal"/>
    <w:link w:val="Heading9Char"/>
    <w:uiPriority w:val="9"/>
    <w:semiHidden/>
    <w:unhideWhenUsed/>
    <w:qFormat/>
    <w:rsid w:val="0031151C"/>
    <w:pPr>
      <w:keepNext/>
      <w:keepLines/>
      <w:numPr>
        <w:ilvl w:val="8"/>
        <w:numId w:val="7"/>
      </w:numPr>
      <w:spacing w:before="40" w:after="0" w:line="240" w:lineRule="auto"/>
      <w:outlineLvl w:val="8"/>
    </w:pPr>
    <w:rPr>
      <w:rFonts w:ascii="Calibri Light" w:eastAsia="Times New Roman" w:hAnsi="Calibri Light" w:cs="Times New Roman"/>
      <w:i/>
      <w:iCs/>
      <w:color w:val="272727"/>
      <w:sz w:val="21"/>
      <w:szCs w:val="21"/>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5AA3"/>
    <w:pPr>
      <w:pageBreakBefore/>
      <w:numPr>
        <w:ilvl w:val="1"/>
      </w:numPr>
      <w:outlineLvl w:val="0"/>
    </w:pPr>
    <w:rPr>
      <w:rFonts w:asciiTheme="majorHAnsi" w:eastAsiaTheme="minorEastAsia" w:hAnsiTheme="majorHAnsi"/>
      <w:bCs/>
      <w:color w:val="5A5A5A" w:themeColor="text1" w:themeTint="A5"/>
      <w:spacing w:val="15"/>
    </w:rPr>
  </w:style>
  <w:style w:type="character" w:customStyle="1" w:styleId="SubtitleChar">
    <w:name w:val="Subtitle Char"/>
    <w:basedOn w:val="DefaultParagraphFont"/>
    <w:link w:val="Subtitle"/>
    <w:uiPriority w:val="11"/>
    <w:rsid w:val="00F85AA3"/>
    <w:rPr>
      <w:rFonts w:asciiTheme="majorHAnsi" w:eastAsiaTheme="minorEastAsia" w:hAnsiTheme="majorHAnsi"/>
      <w:bCs/>
      <w:color w:val="5A5A5A" w:themeColor="text1" w:themeTint="A5"/>
      <w:spacing w:val="15"/>
      <w:lang w:val="en-US"/>
    </w:rPr>
  </w:style>
  <w:style w:type="paragraph" w:styleId="ListParagraph">
    <w:name w:val="List Paragraph"/>
    <w:aliases w:val="List Paragraph (numbered (a)),Normal 1,List Paragraph 1,Akapit z listą BS,Bullets"/>
    <w:basedOn w:val="Normal"/>
    <w:link w:val="ListParagraphChar"/>
    <w:uiPriority w:val="1"/>
    <w:qFormat/>
    <w:rsid w:val="00C83635"/>
    <w:pPr>
      <w:ind w:left="720"/>
      <w:contextualSpacing/>
    </w:pPr>
  </w:style>
  <w:style w:type="character" w:customStyle="1" w:styleId="ListParagraphChar">
    <w:name w:val="List Paragraph Char"/>
    <w:aliases w:val="List Paragraph (numbered (a)) Char,Normal 1 Char,List Paragraph 1 Char,Akapit z listą BS Char,Bullets Char"/>
    <w:link w:val="ListParagraph"/>
    <w:uiPriority w:val="34"/>
    <w:rsid w:val="0031151C"/>
    <w:rPr>
      <w:lang w:val="en-US"/>
    </w:rPr>
  </w:style>
  <w:style w:type="character" w:customStyle="1" w:styleId="Heading1Char">
    <w:name w:val="Heading 1 Char"/>
    <w:basedOn w:val="DefaultParagraphFont"/>
    <w:link w:val="Heading1"/>
    <w:uiPriority w:val="9"/>
    <w:rsid w:val="001B19AE"/>
    <w:rPr>
      <w:rFonts w:ascii="Times New Roman" w:eastAsia="Times New Roman" w:hAnsi="Times New Roman" w:cs="Times New Roman"/>
      <w:b/>
      <w:sz w:val="28"/>
      <w:szCs w:val="32"/>
      <w:lang w:val="en-US" w:eastAsia="sq-AL"/>
    </w:rPr>
  </w:style>
  <w:style w:type="character" w:customStyle="1" w:styleId="Heading2Char">
    <w:name w:val="Heading 2 Char"/>
    <w:basedOn w:val="DefaultParagraphFont"/>
    <w:link w:val="Heading2"/>
    <w:uiPriority w:val="9"/>
    <w:rsid w:val="001B19AE"/>
    <w:rPr>
      <w:rFonts w:ascii="Times New Roman" w:eastAsia="Times New Roman" w:hAnsi="Times New Roman" w:cs="Times New Roman"/>
      <w:b/>
      <w:sz w:val="24"/>
      <w:szCs w:val="26"/>
      <w:lang w:val="en-US" w:eastAsia="sq-AL"/>
    </w:rPr>
  </w:style>
  <w:style w:type="character" w:customStyle="1" w:styleId="Heading3Char">
    <w:name w:val="Heading 3 Char"/>
    <w:basedOn w:val="DefaultParagraphFont"/>
    <w:link w:val="Heading3"/>
    <w:uiPriority w:val="9"/>
    <w:rsid w:val="0031151C"/>
    <w:rPr>
      <w:rFonts w:ascii="Calibri Light" w:eastAsia="Times New Roman" w:hAnsi="Calibri Light" w:cs="Times New Roman"/>
      <w:color w:val="1F3763"/>
      <w:sz w:val="20"/>
      <w:szCs w:val="20"/>
      <w:lang w:val="en-US" w:eastAsia="sq-AL"/>
    </w:rPr>
  </w:style>
  <w:style w:type="character" w:customStyle="1" w:styleId="Heading4Char">
    <w:name w:val="Heading 4 Char"/>
    <w:basedOn w:val="DefaultParagraphFont"/>
    <w:link w:val="Heading4"/>
    <w:uiPriority w:val="9"/>
    <w:semiHidden/>
    <w:rsid w:val="0031151C"/>
    <w:rPr>
      <w:rFonts w:ascii="Calibri Light" w:eastAsia="Times New Roman" w:hAnsi="Calibri Light" w:cs="Times New Roman"/>
      <w:i/>
      <w:iCs/>
      <w:color w:val="2F5496"/>
      <w:sz w:val="20"/>
      <w:szCs w:val="20"/>
      <w:lang w:val="en-US" w:eastAsia="sq-AL"/>
    </w:rPr>
  </w:style>
  <w:style w:type="character" w:customStyle="1" w:styleId="Heading5Char">
    <w:name w:val="Heading 5 Char"/>
    <w:basedOn w:val="DefaultParagraphFont"/>
    <w:link w:val="Heading5"/>
    <w:uiPriority w:val="9"/>
    <w:semiHidden/>
    <w:rsid w:val="0031151C"/>
    <w:rPr>
      <w:rFonts w:ascii="Calibri Light" w:eastAsia="Times New Roman" w:hAnsi="Calibri Light" w:cs="Times New Roman"/>
      <w:color w:val="2F5496"/>
      <w:sz w:val="20"/>
      <w:szCs w:val="20"/>
      <w:lang w:val="en-US" w:eastAsia="sq-AL"/>
    </w:rPr>
  </w:style>
  <w:style w:type="character" w:customStyle="1" w:styleId="Heading6Char">
    <w:name w:val="Heading 6 Char"/>
    <w:basedOn w:val="DefaultParagraphFont"/>
    <w:link w:val="Heading6"/>
    <w:uiPriority w:val="9"/>
    <w:semiHidden/>
    <w:rsid w:val="0031151C"/>
    <w:rPr>
      <w:rFonts w:ascii="Calibri Light" w:eastAsia="Times New Roman" w:hAnsi="Calibri Light" w:cs="Times New Roman"/>
      <w:color w:val="1F3763"/>
      <w:sz w:val="20"/>
      <w:szCs w:val="20"/>
      <w:lang w:val="en-US" w:eastAsia="sq-AL"/>
    </w:rPr>
  </w:style>
  <w:style w:type="character" w:customStyle="1" w:styleId="Heading7Char">
    <w:name w:val="Heading 7 Char"/>
    <w:basedOn w:val="DefaultParagraphFont"/>
    <w:link w:val="Heading7"/>
    <w:uiPriority w:val="9"/>
    <w:semiHidden/>
    <w:rsid w:val="0031151C"/>
    <w:rPr>
      <w:rFonts w:ascii="Calibri Light" w:eastAsia="Times New Roman" w:hAnsi="Calibri Light" w:cs="Times New Roman"/>
      <w:i/>
      <w:iCs/>
      <w:color w:val="1F3763"/>
      <w:sz w:val="20"/>
      <w:szCs w:val="20"/>
      <w:lang w:val="en-US" w:eastAsia="sq-AL"/>
    </w:rPr>
  </w:style>
  <w:style w:type="character" w:customStyle="1" w:styleId="Heading8Char">
    <w:name w:val="Heading 8 Char"/>
    <w:basedOn w:val="DefaultParagraphFont"/>
    <w:link w:val="Heading8"/>
    <w:uiPriority w:val="9"/>
    <w:semiHidden/>
    <w:rsid w:val="0031151C"/>
    <w:rPr>
      <w:rFonts w:ascii="Calibri Light" w:eastAsia="Times New Roman" w:hAnsi="Calibri Light" w:cs="Times New Roman"/>
      <w:color w:val="272727"/>
      <w:sz w:val="21"/>
      <w:szCs w:val="21"/>
      <w:lang w:val="en-US" w:eastAsia="sq-AL"/>
    </w:rPr>
  </w:style>
  <w:style w:type="character" w:customStyle="1" w:styleId="Heading9Char">
    <w:name w:val="Heading 9 Char"/>
    <w:basedOn w:val="DefaultParagraphFont"/>
    <w:link w:val="Heading9"/>
    <w:uiPriority w:val="9"/>
    <w:semiHidden/>
    <w:rsid w:val="0031151C"/>
    <w:rPr>
      <w:rFonts w:ascii="Calibri Light" w:eastAsia="Times New Roman" w:hAnsi="Calibri Light" w:cs="Times New Roman"/>
      <w:i/>
      <w:iCs/>
      <w:color w:val="272727"/>
      <w:sz w:val="21"/>
      <w:szCs w:val="21"/>
      <w:lang w:val="en-US" w:eastAsia="sq-AL"/>
    </w:rPr>
  </w:style>
  <w:style w:type="paragraph" w:styleId="BalloonText">
    <w:name w:val="Balloon Text"/>
    <w:basedOn w:val="Normal"/>
    <w:link w:val="BalloonTextChar"/>
    <w:uiPriority w:val="99"/>
    <w:semiHidden/>
    <w:unhideWhenUsed/>
    <w:rsid w:val="006F3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0AD"/>
    <w:rPr>
      <w:rFonts w:ascii="Segoe UI" w:hAnsi="Segoe UI" w:cs="Segoe UI"/>
      <w:sz w:val="18"/>
      <w:szCs w:val="18"/>
      <w:lang w:val="en-US"/>
    </w:rPr>
  </w:style>
  <w:style w:type="character" w:styleId="Emphasis">
    <w:name w:val="Emphasis"/>
    <w:basedOn w:val="DefaultParagraphFont"/>
    <w:uiPriority w:val="20"/>
    <w:qFormat/>
    <w:rsid w:val="00776647"/>
    <w:rPr>
      <w:i/>
      <w:iCs/>
    </w:rPr>
  </w:style>
  <w:style w:type="paragraph" w:styleId="Header">
    <w:name w:val="header"/>
    <w:basedOn w:val="Normal"/>
    <w:link w:val="HeaderChar"/>
    <w:uiPriority w:val="99"/>
    <w:unhideWhenUsed/>
    <w:rsid w:val="00BC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80"/>
    <w:rPr>
      <w:lang w:val="en-US"/>
    </w:rPr>
  </w:style>
  <w:style w:type="paragraph" w:styleId="Footer">
    <w:name w:val="footer"/>
    <w:basedOn w:val="Normal"/>
    <w:link w:val="FooterChar"/>
    <w:uiPriority w:val="99"/>
    <w:unhideWhenUsed/>
    <w:rsid w:val="00BC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80"/>
    <w:rPr>
      <w:lang w:val="en-US"/>
    </w:rPr>
  </w:style>
  <w:style w:type="paragraph" w:styleId="TOCHeading">
    <w:name w:val="TOC Heading"/>
    <w:basedOn w:val="Heading1"/>
    <w:next w:val="Normal"/>
    <w:uiPriority w:val="39"/>
    <w:unhideWhenUsed/>
    <w:qFormat/>
    <w:rsid w:val="00615B6E"/>
    <w:pPr>
      <w:numPr>
        <w:numId w:val="0"/>
      </w:numPr>
      <w:spacing w:line="259" w:lineRule="auto"/>
      <w:outlineLvl w:val="9"/>
    </w:pPr>
    <w:rPr>
      <w:rFonts w:asciiTheme="majorHAnsi" w:eastAsiaTheme="majorEastAsia" w:hAnsiTheme="majorHAnsi" w:cstheme="majorBidi"/>
      <w:color w:val="2E74B5" w:themeColor="accent1" w:themeShade="BF"/>
      <w:lang w:eastAsia="en-US"/>
    </w:rPr>
  </w:style>
  <w:style w:type="paragraph" w:styleId="TOC1">
    <w:name w:val="toc 1"/>
    <w:basedOn w:val="Normal"/>
    <w:next w:val="Normal"/>
    <w:autoRedefine/>
    <w:uiPriority w:val="39"/>
    <w:unhideWhenUsed/>
    <w:rsid w:val="00615B6E"/>
    <w:pPr>
      <w:spacing w:after="100"/>
    </w:pPr>
  </w:style>
  <w:style w:type="character" w:styleId="Hyperlink">
    <w:name w:val="Hyperlink"/>
    <w:basedOn w:val="DefaultParagraphFont"/>
    <w:uiPriority w:val="99"/>
    <w:unhideWhenUsed/>
    <w:rsid w:val="00615B6E"/>
    <w:rPr>
      <w:color w:val="0563C1" w:themeColor="hyperlink"/>
      <w:u w:val="single"/>
    </w:rPr>
  </w:style>
  <w:style w:type="paragraph" w:styleId="BodyText">
    <w:name w:val="Body Text"/>
    <w:basedOn w:val="Normal"/>
    <w:link w:val="BodyTextChar"/>
    <w:uiPriority w:val="1"/>
    <w:qFormat/>
    <w:rsid w:val="00F13E8D"/>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F13E8D"/>
    <w:rPr>
      <w:rFonts w:ascii="Tahoma" w:eastAsia="Tahoma" w:hAnsi="Tahoma" w:cs="Tahoma"/>
      <w:sz w:val="20"/>
      <w:szCs w:val="20"/>
      <w:lang w:val="en-US"/>
    </w:rPr>
  </w:style>
  <w:style w:type="paragraph" w:styleId="TOC2">
    <w:name w:val="toc 2"/>
    <w:basedOn w:val="Normal"/>
    <w:next w:val="Normal"/>
    <w:autoRedefine/>
    <w:uiPriority w:val="39"/>
    <w:unhideWhenUsed/>
    <w:rsid w:val="00C43A7C"/>
    <w:pPr>
      <w:tabs>
        <w:tab w:val="left" w:pos="660"/>
        <w:tab w:val="right" w:leader="dot" w:pos="9350"/>
      </w:tabs>
      <w:spacing w:after="100"/>
      <w:ind w:left="220"/>
    </w:pPr>
  </w:style>
  <w:style w:type="character" w:styleId="CommentReference">
    <w:name w:val="annotation reference"/>
    <w:basedOn w:val="DefaultParagraphFont"/>
    <w:uiPriority w:val="99"/>
    <w:semiHidden/>
    <w:unhideWhenUsed/>
    <w:rsid w:val="00E60DAC"/>
    <w:rPr>
      <w:sz w:val="16"/>
      <w:szCs w:val="16"/>
    </w:rPr>
  </w:style>
  <w:style w:type="paragraph" w:styleId="CommentText">
    <w:name w:val="annotation text"/>
    <w:basedOn w:val="Normal"/>
    <w:link w:val="CommentTextChar"/>
    <w:uiPriority w:val="99"/>
    <w:semiHidden/>
    <w:unhideWhenUsed/>
    <w:rsid w:val="00E60DAC"/>
    <w:pPr>
      <w:spacing w:line="240" w:lineRule="auto"/>
    </w:pPr>
    <w:rPr>
      <w:sz w:val="20"/>
      <w:szCs w:val="20"/>
    </w:rPr>
  </w:style>
  <w:style w:type="character" w:customStyle="1" w:styleId="CommentTextChar">
    <w:name w:val="Comment Text Char"/>
    <w:basedOn w:val="DefaultParagraphFont"/>
    <w:link w:val="CommentText"/>
    <w:uiPriority w:val="99"/>
    <w:semiHidden/>
    <w:rsid w:val="00E60DAC"/>
    <w:rPr>
      <w:sz w:val="20"/>
      <w:szCs w:val="20"/>
      <w:lang w:val="en-US"/>
    </w:rPr>
  </w:style>
  <w:style w:type="paragraph" w:styleId="CommentSubject">
    <w:name w:val="annotation subject"/>
    <w:basedOn w:val="CommentText"/>
    <w:next w:val="CommentText"/>
    <w:link w:val="CommentSubjectChar"/>
    <w:uiPriority w:val="99"/>
    <w:semiHidden/>
    <w:unhideWhenUsed/>
    <w:rsid w:val="00E60DAC"/>
    <w:rPr>
      <w:b/>
      <w:bCs/>
    </w:rPr>
  </w:style>
  <w:style w:type="character" w:customStyle="1" w:styleId="CommentSubjectChar">
    <w:name w:val="Comment Subject Char"/>
    <w:basedOn w:val="CommentTextChar"/>
    <w:link w:val="CommentSubject"/>
    <w:uiPriority w:val="99"/>
    <w:semiHidden/>
    <w:rsid w:val="00E60DAC"/>
    <w:rPr>
      <w:b/>
      <w:bCs/>
      <w:sz w:val="20"/>
      <w:szCs w:val="20"/>
      <w:lang w:val="en-US"/>
    </w:rPr>
  </w:style>
  <w:style w:type="paragraph" w:styleId="NoSpacing">
    <w:name w:val="No Spacing"/>
    <w:uiPriority w:val="1"/>
    <w:qFormat/>
    <w:rsid w:val="00944124"/>
    <w:pPr>
      <w:spacing w:after="0" w:line="240" w:lineRule="auto"/>
    </w:pPr>
  </w:style>
  <w:style w:type="paragraph" w:styleId="NormalWeb">
    <w:name w:val="Normal (Web)"/>
    <w:basedOn w:val="Normal"/>
    <w:uiPriority w:val="99"/>
    <w:unhideWhenUsed/>
    <w:rsid w:val="0090197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B1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E87"/>
    <w:rPr>
      <w:sz w:val="20"/>
      <w:szCs w:val="20"/>
      <w:lang w:val="en-US"/>
    </w:rPr>
  </w:style>
  <w:style w:type="character" w:styleId="FootnoteReference">
    <w:name w:val="footnote reference"/>
    <w:basedOn w:val="DefaultParagraphFont"/>
    <w:uiPriority w:val="99"/>
    <w:semiHidden/>
    <w:unhideWhenUsed/>
    <w:rsid w:val="008B1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0257">
      <w:bodyDiv w:val="1"/>
      <w:marLeft w:val="0"/>
      <w:marRight w:val="0"/>
      <w:marTop w:val="0"/>
      <w:marBottom w:val="0"/>
      <w:divBdr>
        <w:top w:val="none" w:sz="0" w:space="0" w:color="auto"/>
        <w:left w:val="none" w:sz="0" w:space="0" w:color="auto"/>
        <w:bottom w:val="none" w:sz="0" w:space="0" w:color="auto"/>
        <w:right w:val="none" w:sz="0" w:space="0" w:color="auto"/>
      </w:divBdr>
    </w:div>
    <w:div w:id="173153266">
      <w:bodyDiv w:val="1"/>
      <w:marLeft w:val="0"/>
      <w:marRight w:val="0"/>
      <w:marTop w:val="0"/>
      <w:marBottom w:val="0"/>
      <w:divBdr>
        <w:top w:val="none" w:sz="0" w:space="0" w:color="auto"/>
        <w:left w:val="none" w:sz="0" w:space="0" w:color="auto"/>
        <w:bottom w:val="none" w:sz="0" w:space="0" w:color="auto"/>
        <w:right w:val="none" w:sz="0" w:space="0" w:color="auto"/>
      </w:divBdr>
    </w:div>
    <w:div w:id="207880848">
      <w:bodyDiv w:val="1"/>
      <w:marLeft w:val="0"/>
      <w:marRight w:val="0"/>
      <w:marTop w:val="0"/>
      <w:marBottom w:val="0"/>
      <w:divBdr>
        <w:top w:val="none" w:sz="0" w:space="0" w:color="auto"/>
        <w:left w:val="none" w:sz="0" w:space="0" w:color="auto"/>
        <w:bottom w:val="none" w:sz="0" w:space="0" w:color="auto"/>
        <w:right w:val="none" w:sz="0" w:space="0" w:color="auto"/>
      </w:divBdr>
    </w:div>
    <w:div w:id="262961301">
      <w:bodyDiv w:val="1"/>
      <w:marLeft w:val="0"/>
      <w:marRight w:val="0"/>
      <w:marTop w:val="0"/>
      <w:marBottom w:val="0"/>
      <w:divBdr>
        <w:top w:val="none" w:sz="0" w:space="0" w:color="auto"/>
        <w:left w:val="none" w:sz="0" w:space="0" w:color="auto"/>
        <w:bottom w:val="none" w:sz="0" w:space="0" w:color="auto"/>
        <w:right w:val="none" w:sz="0" w:space="0" w:color="auto"/>
      </w:divBdr>
    </w:div>
    <w:div w:id="291402120">
      <w:bodyDiv w:val="1"/>
      <w:marLeft w:val="0"/>
      <w:marRight w:val="0"/>
      <w:marTop w:val="0"/>
      <w:marBottom w:val="0"/>
      <w:divBdr>
        <w:top w:val="none" w:sz="0" w:space="0" w:color="auto"/>
        <w:left w:val="none" w:sz="0" w:space="0" w:color="auto"/>
        <w:bottom w:val="none" w:sz="0" w:space="0" w:color="auto"/>
        <w:right w:val="none" w:sz="0" w:space="0" w:color="auto"/>
      </w:divBdr>
    </w:div>
    <w:div w:id="353380736">
      <w:bodyDiv w:val="1"/>
      <w:marLeft w:val="0"/>
      <w:marRight w:val="0"/>
      <w:marTop w:val="0"/>
      <w:marBottom w:val="0"/>
      <w:divBdr>
        <w:top w:val="none" w:sz="0" w:space="0" w:color="auto"/>
        <w:left w:val="none" w:sz="0" w:space="0" w:color="auto"/>
        <w:bottom w:val="none" w:sz="0" w:space="0" w:color="auto"/>
        <w:right w:val="none" w:sz="0" w:space="0" w:color="auto"/>
      </w:divBdr>
    </w:div>
    <w:div w:id="418451365">
      <w:bodyDiv w:val="1"/>
      <w:marLeft w:val="0"/>
      <w:marRight w:val="0"/>
      <w:marTop w:val="0"/>
      <w:marBottom w:val="0"/>
      <w:divBdr>
        <w:top w:val="none" w:sz="0" w:space="0" w:color="auto"/>
        <w:left w:val="none" w:sz="0" w:space="0" w:color="auto"/>
        <w:bottom w:val="none" w:sz="0" w:space="0" w:color="auto"/>
        <w:right w:val="none" w:sz="0" w:space="0" w:color="auto"/>
      </w:divBdr>
    </w:div>
    <w:div w:id="460459054">
      <w:bodyDiv w:val="1"/>
      <w:marLeft w:val="0"/>
      <w:marRight w:val="0"/>
      <w:marTop w:val="0"/>
      <w:marBottom w:val="0"/>
      <w:divBdr>
        <w:top w:val="none" w:sz="0" w:space="0" w:color="auto"/>
        <w:left w:val="none" w:sz="0" w:space="0" w:color="auto"/>
        <w:bottom w:val="none" w:sz="0" w:space="0" w:color="auto"/>
        <w:right w:val="none" w:sz="0" w:space="0" w:color="auto"/>
      </w:divBdr>
    </w:div>
    <w:div w:id="483668872">
      <w:bodyDiv w:val="1"/>
      <w:marLeft w:val="0"/>
      <w:marRight w:val="0"/>
      <w:marTop w:val="0"/>
      <w:marBottom w:val="0"/>
      <w:divBdr>
        <w:top w:val="none" w:sz="0" w:space="0" w:color="auto"/>
        <w:left w:val="none" w:sz="0" w:space="0" w:color="auto"/>
        <w:bottom w:val="none" w:sz="0" w:space="0" w:color="auto"/>
        <w:right w:val="none" w:sz="0" w:space="0" w:color="auto"/>
      </w:divBdr>
    </w:div>
    <w:div w:id="529689006">
      <w:bodyDiv w:val="1"/>
      <w:marLeft w:val="0"/>
      <w:marRight w:val="0"/>
      <w:marTop w:val="0"/>
      <w:marBottom w:val="0"/>
      <w:divBdr>
        <w:top w:val="none" w:sz="0" w:space="0" w:color="auto"/>
        <w:left w:val="none" w:sz="0" w:space="0" w:color="auto"/>
        <w:bottom w:val="none" w:sz="0" w:space="0" w:color="auto"/>
        <w:right w:val="none" w:sz="0" w:space="0" w:color="auto"/>
      </w:divBdr>
    </w:div>
    <w:div w:id="568081200">
      <w:bodyDiv w:val="1"/>
      <w:marLeft w:val="0"/>
      <w:marRight w:val="0"/>
      <w:marTop w:val="0"/>
      <w:marBottom w:val="0"/>
      <w:divBdr>
        <w:top w:val="none" w:sz="0" w:space="0" w:color="auto"/>
        <w:left w:val="none" w:sz="0" w:space="0" w:color="auto"/>
        <w:bottom w:val="none" w:sz="0" w:space="0" w:color="auto"/>
        <w:right w:val="none" w:sz="0" w:space="0" w:color="auto"/>
      </w:divBdr>
    </w:div>
    <w:div w:id="576860519">
      <w:bodyDiv w:val="1"/>
      <w:marLeft w:val="0"/>
      <w:marRight w:val="0"/>
      <w:marTop w:val="0"/>
      <w:marBottom w:val="0"/>
      <w:divBdr>
        <w:top w:val="none" w:sz="0" w:space="0" w:color="auto"/>
        <w:left w:val="none" w:sz="0" w:space="0" w:color="auto"/>
        <w:bottom w:val="none" w:sz="0" w:space="0" w:color="auto"/>
        <w:right w:val="none" w:sz="0" w:space="0" w:color="auto"/>
      </w:divBdr>
    </w:div>
    <w:div w:id="693188339">
      <w:bodyDiv w:val="1"/>
      <w:marLeft w:val="0"/>
      <w:marRight w:val="0"/>
      <w:marTop w:val="0"/>
      <w:marBottom w:val="0"/>
      <w:divBdr>
        <w:top w:val="none" w:sz="0" w:space="0" w:color="auto"/>
        <w:left w:val="none" w:sz="0" w:space="0" w:color="auto"/>
        <w:bottom w:val="none" w:sz="0" w:space="0" w:color="auto"/>
        <w:right w:val="none" w:sz="0" w:space="0" w:color="auto"/>
      </w:divBdr>
    </w:div>
    <w:div w:id="802311665">
      <w:bodyDiv w:val="1"/>
      <w:marLeft w:val="0"/>
      <w:marRight w:val="0"/>
      <w:marTop w:val="0"/>
      <w:marBottom w:val="0"/>
      <w:divBdr>
        <w:top w:val="none" w:sz="0" w:space="0" w:color="auto"/>
        <w:left w:val="none" w:sz="0" w:space="0" w:color="auto"/>
        <w:bottom w:val="none" w:sz="0" w:space="0" w:color="auto"/>
        <w:right w:val="none" w:sz="0" w:space="0" w:color="auto"/>
      </w:divBdr>
    </w:div>
    <w:div w:id="967666353">
      <w:bodyDiv w:val="1"/>
      <w:marLeft w:val="0"/>
      <w:marRight w:val="0"/>
      <w:marTop w:val="0"/>
      <w:marBottom w:val="0"/>
      <w:divBdr>
        <w:top w:val="none" w:sz="0" w:space="0" w:color="auto"/>
        <w:left w:val="none" w:sz="0" w:space="0" w:color="auto"/>
        <w:bottom w:val="none" w:sz="0" w:space="0" w:color="auto"/>
        <w:right w:val="none" w:sz="0" w:space="0" w:color="auto"/>
      </w:divBdr>
    </w:div>
    <w:div w:id="968323025">
      <w:bodyDiv w:val="1"/>
      <w:marLeft w:val="0"/>
      <w:marRight w:val="0"/>
      <w:marTop w:val="0"/>
      <w:marBottom w:val="0"/>
      <w:divBdr>
        <w:top w:val="none" w:sz="0" w:space="0" w:color="auto"/>
        <w:left w:val="none" w:sz="0" w:space="0" w:color="auto"/>
        <w:bottom w:val="none" w:sz="0" w:space="0" w:color="auto"/>
        <w:right w:val="none" w:sz="0" w:space="0" w:color="auto"/>
      </w:divBdr>
    </w:div>
    <w:div w:id="1009336046">
      <w:bodyDiv w:val="1"/>
      <w:marLeft w:val="0"/>
      <w:marRight w:val="0"/>
      <w:marTop w:val="0"/>
      <w:marBottom w:val="0"/>
      <w:divBdr>
        <w:top w:val="none" w:sz="0" w:space="0" w:color="auto"/>
        <w:left w:val="none" w:sz="0" w:space="0" w:color="auto"/>
        <w:bottom w:val="none" w:sz="0" w:space="0" w:color="auto"/>
        <w:right w:val="none" w:sz="0" w:space="0" w:color="auto"/>
      </w:divBdr>
    </w:div>
    <w:div w:id="1080518903">
      <w:bodyDiv w:val="1"/>
      <w:marLeft w:val="0"/>
      <w:marRight w:val="0"/>
      <w:marTop w:val="0"/>
      <w:marBottom w:val="0"/>
      <w:divBdr>
        <w:top w:val="none" w:sz="0" w:space="0" w:color="auto"/>
        <w:left w:val="none" w:sz="0" w:space="0" w:color="auto"/>
        <w:bottom w:val="none" w:sz="0" w:space="0" w:color="auto"/>
        <w:right w:val="none" w:sz="0" w:space="0" w:color="auto"/>
      </w:divBdr>
    </w:div>
    <w:div w:id="1109621228">
      <w:bodyDiv w:val="1"/>
      <w:marLeft w:val="0"/>
      <w:marRight w:val="0"/>
      <w:marTop w:val="0"/>
      <w:marBottom w:val="0"/>
      <w:divBdr>
        <w:top w:val="none" w:sz="0" w:space="0" w:color="auto"/>
        <w:left w:val="none" w:sz="0" w:space="0" w:color="auto"/>
        <w:bottom w:val="none" w:sz="0" w:space="0" w:color="auto"/>
        <w:right w:val="none" w:sz="0" w:space="0" w:color="auto"/>
      </w:divBdr>
    </w:div>
    <w:div w:id="1123622196">
      <w:bodyDiv w:val="1"/>
      <w:marLeft w:val="0"/>
      <w:marRight w:val="0"/>
      <w:marTop w:val="0"/>
      <w:marBottom w:val="0"/>
      <w:divBdr>
        <w:top w:val="none" w:sz="0" w:space="0" w:color="auto"/>
        <w:left w:val="none" w:sz="0" w:space="0" w:color="auto"/>
        <w:bottom w:val="none" w:sz="0" w:space="0" w:color="auto"/>
        <w:right w:val="none" w:sz="0" w:space="0" w:color="auto"/>
      </w:divBdr>
    </w:div>
    <w:div w:id="1204445540">
      <w:bodyDiv w:val="1"/>
      <w:marLeft w:val="0"/>
      <w:marRight w:val="0"/>
      <w:marTop w:val="0"/>
      <w:marBottom w:val="0"/>
      <w:divBdr>
        <w:top w:val="none" w:sz="0" w:space="0" w:color="auto"/>
        <w:left w:val="none" w:sz="0" w:space="0" w:color="auto"/>
        <w:bottom w:val="none" w:sz="0" w:space="0" w:color="auto"/>
        <w:right w:val="none" w:sz="0" w:space="0" w:color="auto"/>
      </w:divBdr>
    </w:div>
    <w:div w:id="1233738050">
      <w:bodyDiv w:val="1"/>
      <w:marLeft w:val="0"/>
      <w:marRight w:val="0"/>
      <w:marTop w:val="0"/>
      <w:marBottom w:val="0"/>
      <w:divBdr>
        <w:top w:val="none" w:sz="0" w:space="0" w:color="auto"/>
        <w:left w:val="none" w:sz="0" w:space="0" w:color="auto"/>
        <w:bottom w:val="none" w:sz="0" w:space="0" w:color="auto"/>
        <w:right w:val="none" w:sz="0" w:space="0" w:color="auto"/>
      </w:divBdr>
    </w:div>
    <w:div w:id="1352222170">
      <w:bodyDiv w:val="1"/>
      <w:marLeft w:val="0"/>
      <w:marRight w:val="0"/>
      <w:marTop w:val="0"/>
      <w:marBottom w:val="0"/>
      <w:divBdr>
        <w:top w:val="none" w:sz="0" w:space="0" w:color="auto"/>
        <w:left w:val="none" w:sz="0" w:space="0" w:color="auto"/>
        <w:bottom w:val="none" w:sz="0" w:space="0" w:color="auto"/>
        <w:right w:val="none" w:sz="0" w:space="0" w:color="auto"/>
      </w:divBdr>
    </w:div>
    <w:div w:id="1361009494">
      <w:bodyDiv w:val="1"/>
      <w:marLeft w:val="0"/>
      <w:marRight w:val="0"/>
      <w:marTop w:val="0"/>
      <w:marBottom w:val="0"/>
      <w:divBdr>
        <w:top w:val="none" w:sz="0" w:space="0" w:color="auto"/>
        <w:left w:val="none" w:sz="0" w:space="0" w:color="auto"/>
        <w:bottom w:val="none" w:sz="0" w:space="0" w:color="auto"/>
        <w:right w:val="none" w:sz="0" w:space="0" w:color="auto"/>
      </w:divBdr>
    </w:div>
    <w:div w:id="1363239093">
      <w:bodyDiv w:val="1"/>
      <w:marLeft w:val="0"/>
      <w:marRight w:val="0"/>
      <w:marTop w:val="0"/>
      <w:marBottom w:val="0"/>
      <w:divBdr>
        <w:top w:val="none" w:sz="0" w:space="0" w:color="auto"/>
        <w:left w:val="none" w:sz="0" w:space="0" w:color="auto"/>
        <w:bottom w:val="none" w:sz="0" w:space="0" w:color="auto"/>
        <w:right w:val="none" w:sz="0" w:space="0" w:color="auto"/>
      </w:divBdr>
    </w:div>
    <w:div w:id="1384450433">
      <w:bodyDiv w:val="1"/>
      <w:marLeft w:val="0"/>
      <w:marRight w:val="0"/>
      <w:marTop w:val="0"/>
      <w:marBottom w:val="0"/>
      <w:divBdr>
        <w:top w:val="none" w:sz="0" w:space="0" w:color="auto"/>
        <w:left w:val="none" w:sz="0" w:space="0" w:color="auto"/>
        <w:bottom w:val="none" w:sz="0" w:space="0" w:color="auto"/>
        <w:right w:val="none" w:sz="0" w:space="0" w:color="auto"/>
      </w:divBdr>
    </w:div>
    <w:div w:id="1432046070">
      <w:bodyDiv w:val="1"/>
      <w:marLeft w:val="0"/>
      <w:marRight w:val="0"/>
      <w:marTop w:val="0"/>
      <w:marBottom w:val="0"/>
      <w:divBdr>
        <w:top w:val="none" w:sz="0" w:space="0" w:color="auto"/>
        <w:left w:val="none" w:sz="0" w:space="0" w:color="auto"/>
        <w:bottom w:val="none" w:sz="0" w:space="0" w:color="auto"/>
        <w:right w:val="none" w:sz="0" w:space="0" w:color="auto"/>
      </w:divBdr>
    </w:div>
    <w:div w:id="1441988937">
      <w:bodyDiv w:val="1"/>
      <w:marLeft w:val="0"/>
      <w:marRight w:val="0"/>
      <w:marTop w:val="0"/>
      <w:marBottom w:val="0"/>
      <w:divBdr>
        <w:top w:val="none" w:sz="0" w:space="0" w:color="auto"/>
        <w:left w:val="none" w:sz="0" w:space="0" w:color="auto"/>
        <w:bottom w:val="none" w:sz="0" w:space="0" w:color="auto"/>
        <w:right w:val="none" w:sz="0" w:space="0" w:color="auto"/>
      </w:divBdr>
    </w:div>
    <w:div w:id="1456828625">
      <w:bodyDiv w:val="1"/>
      <w:marLeft w:val="0"/>
      <w:marRight w:val="0"/>
      <w:marTop w:val="0"/>
      <w:marBottom w:val="0"/>
      <w:divBdr>
        <w:top w:val="none" w:sz="0" w:space="0" w:color="auto"/>
        <w:left w:val="none" w:sz="0" w:space="0" w:color="auto"/>
        <w:bottom w:val="none" w:sz="0" w:space="0" w:color="auto"/>
        <w:right w:val="none" w:sz="0" w:space="0" w:color="auto"/>
      </w:divBdr>
    </w:div>
    <w:div w:id="1545867792">
      <w:bodyDiv w:val="1"/>
      <w:marLeft w:val="0"/>
      <w:marRight w:val="0"/>
      <w:marTop w:val="0"/>
      <w:marBottom w:val="0"/>
      <w:divBdr>
        <w:top w:val="none" w:sz="0" w:space="0" w:color="auto"/>
        <w:left w:val="none" w:sz="0" w:space="0" w:color="auto"/>
        <w:bottom w:val="none" w:sz="0" w:space="0" w:color="auto"/>
        <w:right w:val="none" w:sz="0" w:space="0" w:color="auto"/>
      </w:divBdr>
    </w:div>
    <w:div w:id="1570531337">
      <w:bodyDiv w:val="1"/>
      <w:marLeft w:val="0"/>
      <w:marRight w:val="0"/>
      <w:marTop w:val="0"/>
      <w:marBottom w:val="0"/>
      <w:divBdr>
        <w:top w:val="none" w:sz="0" w:space="0" w:color="auto"/>
        <w:left w:val="none" w:sz="0" w:space="0" w:color="auto"/>
        <w:bottom w:val="none" w:sz="0" w:space="0" w:color="auto"/>
        <w:right w:val="none" w:sz="0" w:space="0" w:color="auto"/>
      </w:divBdr>
    </w:div>
    <w:div w:id="1599213363">
      <w:bodyDiv w:val="1"/>
      <w:marLeft w:val="0"/>
      <w:marRight w:val="0"/>
      <w:marTop w:val="0"/>
      <w:marBottom w:val="0"/>
      <w:divBdr>
        <w:top w:val="none" w:sz="0" w:space="0" w:color="auto"/>
        <w:left w:val="none" w:sz="0" w:space="0" w:color="auto"/>
        <w:bottom w:val="none" w:sz="0" w:space="0" w:color="auto"/>
        <w:right w:val="none" w:sz="0" w:space="0" w:color="auto"/>
      </w:divBdr>
    </w:div>
    <w:div w:id="1667660986">
      <w:bodyDiv w:val="1"/>
      <w:marLeft w:val="0"/>
      <w:marRight w:val="0"/>
      <w:marTop w:val="0"/>
      <w:marBottom w:val="0"/>
      <w:divBdr>
        <w:top w:val="none" w:sz="0" w:space="0" w:color="auto"/>
        <w:left w:val="none" w:sz="0" w:space="0" w:color="auto"/>
        <w:bottom w:val="none" w:sz="0" w:space="0" w:color="auto"/>
        <w:right w:val="none" w:sz="0" w:space="0" w:color="auto"/>
      </w:divBdr>
    </w:div>
    <w:div w:id="1710451793">
      <w:bodyDiv w:val="1"/>
      <w:marLeft w:val="0"/>
      <w:marRight w:val="0"/>
      <w:marTop w:val="0"/>
      <w:marBottom w:val="0"/>
      <w:divBdr>
        <w:top w:val="none" w:sz="0" w:space="0" w:color="auto"/>
        <w:left w:val="none" w:sz="0" w:space="0" w:color="auto"/>
        <w:bottom w:val="none" w:sz="0" w:space="0" w:color="auto"/>
        <w:right w:val="none" w:sz="0" w:space="0" w:color="auto"/>
      </w:divBdr>
    </w:div>
    <w:div w:id="1719084249">
      <w:bodyDiv w:val="1"/>
      <w:marLeft w:val="0"/>
      <w:marRight w:val="0"/>
      <w:marTop w:val="0"/>
      <w:marBottom w:val="0"/>
      <w:divBdr>
        <w:top w:val="none" w:sz="0" w:space="0" w:color="auto"/>
        <w:left w:val="none" w:sz="0" w:space="0" w:color="auto"/>
        <w:bottom w:val="none" w:sz="0" w:space="0" w:color="auto"/>
        <w:right w:val="none" w:sz="0" w:space="0" w:color="auto"/>
      </w:divBdr>
    </w:div>
    <w:div w:id="1753238648">
      <w:bodyDiv w:val="1"/>
      <w:marLeft w:val="0"/>
      <w:marRight w:val="0"/>
      <w:marTop w:val="0"/>
      <w:marBottom w:val="0"/>
      <w:divBdr>
        <w:top w:val="none" w:sz="0" w:space="0" w:color="auto"/>
        <w:left w:val="none" w:sz="0" w:space="0" w:color="auto"/>
        <w:bottom w:val="none" w:sz="0" w:space="0" w:color="auto"/>
        <w:right w:val="none" w:sz="0" w:space="0" w:color="auto"/>
      </w:divBdr>
    </w:div>
    <w:div w:id="1770157498">
      <w:bodyDiv w:val="1"/>
      <w:marLeft w:val="0"/>
      <w:marRight w:val="0"/>
      <w:marTop w:val="0"/>
      <w:marBottom w:val="0"/>
      <w:divBdr>
        <w:top w:val="none" w:sz="0" w:space="0" w:color="auto"/>
        <w:left w:val="none" w:sz="0" w:space="0" w:color="auto"/>
        <w:bottom w:val="none" w:sz="0" w:space="0" w:color="auto"/>
        <w:right w:val="none" w:sz="0" w:space="0" w:color="auto"/>
      </w:divBdr>
    </w:div>
    <w:div w:id="1846048342">
      <w:bodyDiv w:val="1"/>
      <w:marLeft w:val="0"/>
      <w:marRight w:val="0"/>
      <w:marTop w:val="0"/>
      <w:marBottom w:val="0"/>
      <w:divBdr>
        <w:top w:val="none" w:sz="0" w:space="0" w:color="auto"/>
        <w:left w:val="none" w:sz="0" w:space="0" w:color="auto"/>
        <w:bottom w:val="none" w:sz="0" w:space="0" w:color="auto"/>
        <w:right w:val="none" w:sz="0" w:space="0" w:color="auto"/>
      </w:divBdr>
    </w:div>
    <w:div w:id="1925449543">
      <w:bodyDiv w:val="1"/>
      <w:marLeft w:val="0"/>
      <w:marRight w:val="0"/>
      <w:marTop w:val="0"/>
      <w:marBottom w:val="0"/>
      <w:divBdr>
        <w:top w:val="none" w:sz="0" w:space="0" w:color="auto"/>
        <w:left w:val="none" w:sz="0" w:space="0" w:color="auto"/>
        <w:bottom w:val="none" w:sz="0" w:space="0" w:color="auto"/>
        <w:right w:val="none" w:sz="0" w:space="0" w:color="auto"/>
      </w:divBdr>
    </w:div>
    <w:div w:id="2004576422">
      <w:bodyDiv w:val="1"/>
      <w:marLeft w:val="0"/>
      <w:marRight w:val="0"/>
      <w:marTop w:val="0"/>
      <w:marBottom w:val="0"/>
      <w:divBdr>
        <w:top w:val="none" w:sz="0" w:space="0" w:color="auto"/>
        <w:left w:val="none" w:sz="0" w:space="0" w:color="auto"/>
        <w:bottom w:val="none" w:sz="0" w:space="0" w:color="auto"/>
        <w:right w:val="none" w:sz="0" w:space="0" w:color="auto"/>
      </w:divBdr>
    </w:div>
    <w:div w:id="2033414144">
      <w:bodyDiv w:val="1"/>
      <w:marLeft w:val="0"/>
      <w:marRight w:val="0"/>
      <w:marTop w:val="0"/>
      <w:marBottom w:val="0"/>
      <w:divBdr>
        <w:top w:val="none" w:sz="0" w:space="0" w:color="auto"/>
        <w:left w:val="none" w:sz="0" w:space="0" w:color="auto"/>
        <w:bottom w:val="none" w:sz="0" w:space="0" w:color="auto"/>
        <w:right w:val="none" w:sz="0" w:space="0" w:color="auto"/>
      </w:divBdr>
    </w:div>
    <w:div w:id="21195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Percentage of implementation of objective </a:t>
            </a:r>
            <a:r>
              <a:rPr lang="en-US" sz="1200" b="1" baseline="0">
                <a:latin typeface="Times New Roman" panose="02020603050405020304" pitchFamily="18" charset="0"/>
                <a:cs typeface="Times New Roman" panose="02020603050405020304" pitchFamily="18" charset="0"/>
              </a:rPr>
              <a:t>January-December 2024</a:t>
            </a:r>
            <a:endParaRPr lang="en-US" sz="1200" b="1">
              <a:latin typeface="Times New Roman" panose="02020603050405020304" pitchFamily="18" charset="0"/>
              <a:cs typeface="Times New Roman" panose="02020603050405020304" pitchFamily="18" charset="0"/>
            </a:endParaRPr>
          </a:p>
        </c:rich>
      </c:tx>
      <c:layout>
        <c:manualLayout>
          <c:xMode val="edge"/>
          <c:yMode val="edge"/>
          <c:x val="9.6472222222222209E-2"/>
          <c:y val="3.22580645161290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2.8662254416592838E-2"/>
                  <c:y val="-3.9219588520292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FC-4036-8601-5ABB5ABAC420}"/>
                </c:ext>
              </c:extLst>
            </c:dLbl>
            <c:dLbl>
              <c:idx val="1"/>
              <c:layout>
                <c:manualLayout>
                  <c:x val="2.0845275939340248E-2"/>
                  <c:y val="-5.229278469372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FC-4036-8601-5ABB5ABAC420}"/>
                </c:ext>
              </c:extLst>
            </c:dLbl>
            <c:dLbl>
              <c:idx val="2"/>
              <c:layout>
                <c:manualLayout>
                  <c:x val="3.1267913909010368E-2"/>
                  <c:y val="-5.6650516751533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FC-4036-8601-5ABB5ABAC420}"/>
                </c:ext>
              </c:extLst>
            </c:dLbl>
            <c:dLbl>
              <c:idx val="3"/>
              <c:layout>
                <c:manualLayout>
                  <c:x val="1.8239616446922718E-2"/>
                  <c:y val="-5.229278469372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FC-4036-8601-5ABB5ABAC420}"/>
                </c:ext>
              </c:extLst>
            </c:dLbl>
            <c:dLbl>
              <c:idx val="4"/>
              <c:layout>
                <c:manualLayout>
                  <c:x val="3.3873573401427902E-2"/>
                  <c:y val="-3.0504124404672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FC-4036-8601-5ABB5ABAC4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Sheet1!$G$4:$G$8</c:f>
              <c:strCache>
                <c:ptCount val="5"/>
                <c:pt idx="0">
                  <c:v>Objective 1</c:v>
                </c:pt>
                <c:pt idx="1">
                  <c:v>Objective 2</c:v>
                </c:pt>
                <c:pt idx="2">
                  <c:v>Objective 3</c:v>
                </c:pt>
                <c:pt idx="3">
                  <c:v>Objective 4</c:v>
                </c:pt>
                <c:pt idx="4">
                  <c:v>Objective 5</c:v>
                </c:pt>
              </c:strCache>
            </c:strRef>
          </c:cat>
          <c:val>
            <c:numRef>
              <c:f>Sheet1!$H$4:$H$8</c:f>
              <c:numCache>
                <c:formatCode>0%</c:formatCode>
                <c:ptCount val="5"/>
                <c:pt idx="0">
                  <c:v>0.45100000000000001</c:v>
                </c:pt>
                <c:pt idx="1">
                  <c:v>0.42</c:v>
                </c:pt>
                <c:pt idx="2">
                  <c:v>0.59</c:v>
                </c:pt>
                <c:pt idx="3">
                  <c:v>0.47</c:v>
                </c:pt>
                <c:pt idx="4">
                  <c:v>0.91</c:v>
                </c:pt>
              </c:numCache>
            </c:numRef>
          </c:val>
          <c:extLst>
            <c:ext xmlns:c16="http://schemas.microsoft.com/office/drawing/2014/chart" uri="{C3380CC4-5D6E-409C-BE32-E72D297353CC}">
              <c16:uniqueId val="{00000005-D1FC-4036-8601-5ABB5ABAC420}"/>
            </c:ext>
          </c:extLst>
        </c:ser>
        <c:dLbls>
          <c:showLegendKey val="0"/>
          <c:showVal val="1"/>
          <c:showCatName val="0"/>
          <c:showSerName val="0"/>
          <c:showPercent val="0"/>
          <c:showBubbleSize val="0"/>
        </c:dLbls>
        <c:gapWidth val="150"/>
        <c:shape val="box"/>
        <c:axId val="512594192"/>
        <c:axId val="512592016"/>
        <c:axId val="0"/>
      </c:bar3DChart>
      <c:catAx>
        <c:axId val="51259419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592016"/>
        <c:crosses val="autoZero"/>
        <c:auto val="1"/>
        <c:lblAlgn val="ctr"/>
        <c:lblOffset val="100"/>
        <c:noMultiLvlLbl val="0"/>
      </c:catAx>
      <c:valAx>
        <c:axId val="512592016"/>
        <c:scaling>
          <c:orientation val="minMax"/>
        </c:scaling>
        <c:delete val="0"/>
        <c:axPos val="l"/>
        <c:majorGridlines>
          <c:spPr>
            <a:ln w="9525" cap="flat" cmpd="sng" algn="ctr">
              <a:solidFill>
                <a:schemeClr val="bg1">
                  <a:lumMod val="6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59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BC25-1B42-47E7-BA3D-6BB804D8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14348</Words>
  <Characters>81787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Behije Tahiri</dc:creator>
  <cp:keywords/>
  <dc:description/>
  <cp:lastModifiedBy>Elldin Berisha</cp:lastModifiedBy>
  <cp:revision>8</cp:revision>
  <cp:lastPrinted>2025-03-14T08:24:00Z</cp:lastPrinted>
  <dcterms:created xsi:type="dcterms:W3CDTF">2025-04-08T14:40:00Z</dcterms:created>
  <dcterms:modified xsi:type="dcterms:W3CDTF">2025-04-14T07:09:00Z</dcterms:modified>
</cp:coreProperties>
</file>