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5D" w:rsidRPr="00AC7872" w:rsidRDefault="00224F5D" w:rsidP="00224F5D">
      <w:pPr>
        <w:spacing w:line="276" w:lineRule="auto"/>
        <w:jc w:val="center"/>
        <w:rPr>
          <w:rFonts w:ascii="Times New Roman" w:hAnsi="Times New Roman"/>
          <w:b/>
          <w:bCs/>
        </w:rPr>
      </w:pPr>
    </w:p>
    <w:p w:rsidR="00224F5D" w:rsidRPr="00AC7872" w:rsidRDefault="00AC7872" w:rsidP="00224F5D">
      <w:pPr>
        <w:spacing w:line="276" w:lineRule="auto"/>
        <w:jc w:val="center"/>
        <w:rPr>
          <w:rFonts w:ascii="Times New Roman" w:hAnsi="Times New Roman"/>
        </w:rPr>
      </w:pPr>
      <w:r w:rsidRPr="00AC7872">
        <w:rPr>
          <w:rFonts w:ascii="Times New Roman" w:hAnsi="Times New Roman"/>
          <w:lang w:val="en-US"/>
        </w:rPr>
        <w:drawing>
          <wp:inline distT="0" distB="0" distL="0" distR="0" wp14:anchorId="048EC2A9" wp14:editId="73CE90D4">
            <wp:extent cx="8286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76300"/>
                    </a:xfrm>
                    <a:prstGeom prst="rect">
                      <a:avLst/>
                    </a:prstGeom>
                    <a:noFill/>
                    <a:ln>
                      <a:noFill/>
                    </a:ln>
                  </pic:spPr>
                </pic:pic>
              </a:graphicData>
            </a:graphic>
          </wp:inline>
        </w:drawing>
      </w:r>
    </w:p>
    <w:p w:rsidR="00224F5D" w:rsidRPr="00AC7872" w:rsidRDefault="00224F5D" w:rsidP="00224F5D">
      <w:pPr>
        <w:spacing w:line="276" w:lineRule="auto"/>
        <w:rPr>
          <w:rFonts w:ascii="Times New Roman" w:hAnsi="Times New Roman"/>
          <w:b/>
          <w:bCs/>
        </w:rPr>
      </w:pPr>
    </w:p>
    <w:p w:rsidR="00224F5D" w:rsidRPr="00AC7872" w:rsidRDefault="00224F5D" w:rsidP="00224F5D">
      <w:pPr>
        <w:spacing w:line="276" w:lineRule="auto"/>
        <w:jc w:val="center"/>
        <w:rPr>
          <w:rFonts w:ascii="Times New Roman" w:eastAsia="Batang" w:hAnsi="Times New Roman"/>
          <w:b/>
          <w:bCs/>
        </w:rPr>
      </w:pPr>
      <w:r w:rsidRPr="00AC7872">
        <w:rPr>
          <w:rFonts w:ascii="Times New Roman" w:hAnsi="Times New Roman"/>
          <w:b/>
          <w:bCs/>
        </w:rPr>
        <w:t>Republika e Kosovës</w:t>
      </w:r>
    </w:p>
    <w:p w:rsidR="00224F5D" w:rsidRPr="00AC7872" w:rsidRDefault="00224F5D" w:rsidP="00224F5D">
      <w:pPr>
        <w:spacing w:line="276" w:lineRule="auto"/>
        <w:jc w:val="center"/>
        <w:rPr>
          <w:rFonts w:ascii="Times New Roman" w:hAnsi="Times New Roman"/>
          <w:b/>
          <w:bCs/>
        </w:rPr>
      </w:pPr>
      <w:r w:rsidRPr="00AC7872">
        <w:rPr>
          <w:rFonts w:ascii="Times New Roman" w:eastAsia="Batang" w:hAnsi="Times New Roman"/>
          <w:b/>
          <w:bCs/>
        </w:rPr>
        <w:t>Republika Kosova-</w:t>
      </w:r>
      <w:r w:rsidRPr="00AC7872">
        <w:rPr>
          <w:rFonts w:ascii="Times New Roman" w:hAnsi="Times New Roman"/>
          <w:b/>
          <w:bCs/>
        </w:rPr>
        <w:t>Republic of Kosovo</w:t>
      </w:r>
    </w:p>
    <w:p w:rsidR="00224F5D" w:rsidRPr="00AC7872" w:rsidRDefault="00224F5D" w:rsidP="00224F5D">
      <w:pPr>
        <w:pStyle w:val="Title"/>
        <w:rPr>
          <w:rFonts w:ascii="Times New Roman" w:hAnsi="Times New Roman"/>
          <w:i/>
          <w:sz w:val="24"/>
          <w:szCs w:val="24"/>
          <w:lang w:val="en-US"/>
        </w:rPr>
      </w:pPr>
      <w:proofErr w:type="spellStart"/>
      <w:r w:rsidRPr="00AC7872">
        <w:rPr>
          <w:rFonts w:ascii="Times New Roman" w:hAnsi="Times New Roman"/>
          <w:i/>
          <w:sz w:val="24"/>
          <w:szCs w:val="24"/>
          <w:lang w:val="en-US"/>
        </w:rPr>
        <w:t>Qeveria</w:t>
      </w:r>
      <w:proofErr w:type="spellEnd"/>
      <w:r w:rsidRPr="00AC7872">
        <w:rPr>
          <w:rFonts w:ascii="Times New Roman" w:hAnsi="Times New Roman"/>
          <w:i/>
          <w:sz w:val="24"/>
          <w:szCs w:val="24"/>
          <w:lang w:val="en-US"/>
        </w:rPr>
        <w:t xml:space="preserve"> –</w:t>
      </w:r>
      <w:proofErr w:type="spellStart"/>
      <w:r w:rsidRPr="00AC7872">
        <w:rPr>
          <w:rFonts w:ascii="Times New Roman" w:hAnsi="Times New Roman"/>
          <w:i/>
          <w:sz w:val="24"/>
          <w:szCs w:val="24"/>
          <w:lang w:val="en-US"/>
        </w:rPr>
        <w:t>Vlada</w:t>
      </w:r>
      <w:proofErr w:type="spellEnd"/>
      <w:r w:rsidRPr="00AC7872">
        <w:rPr>
          <w:rFonts w:ascii="Times New Roman" w:hAnsi="Times New Roman"/>
          <w:i/>
          <w:sz w:val="24"/>
          <w:szCs w:val="24"/>
          <w:lang w:val="en-US"/>
        </w:rPr>
        <w:t>-Government</w:t>
      </w:r>
      <w:r w:rsidRPr="00AC7872">
        <w:rPr>
          <w:rFonts w:ascii="Times New Roman" w:hAnsi="Times New Roman"/>
          <w:i/>
          <w:iCs/>
          <w:sz w:val="24"/>
          <w:szCs w:val="24"/>
        </w:rPr>
        <w:br/>
      </w:r>
      <w:r w:rsidRPr="00AC7872">
        <w:rPr>
          <w:rFonts w:ascii="Times New Roman" w:eastAsia="Calibri" w:hAnsi="Times New Roman"/>
          <w:iCs/>
          <w:sz w:val="24"/>
          <w:szCs w:val="24"/>
        </w:rPr>
        <w:t xml:space="preserve">Ministria e Ekonomisë </w:t>
      </w:r>
    </w:p>
    <w:p w:rsidR="00224F5D" w:rsidRPr="00AC7872" w:rsidRDefault="00224F5D" w:rsidP="00224F5D">
      <w:pPr>
        <w:pBdr>
          <w:bottom w:val="single" w:sz="4" w:space="1" w:color="auto"/>
        </w:pBdr>
        <w:jc w:val="center"/>
        <w:rPr>
          <w:rFonts w:ascii="Times New Roman" w:eastAsia="Calibri" w:hAnsi="Times New Roman"/>
          <w:b/>
          <w:bCs/>
          <w:iCs/>
        </w:rPr>
      </w:pPr>
      <w:r w:rsidRPr="00AC7872">
        <w:rPr>
          <w:rFonts w:ascii="Times New Roman" w:eastAsia="Calibri" w:hAnsi="Times New Roman"/>
          <w:b/>
          <w:bCs/>
          <w:iCs/>
        </w:rPr>
        <w:t xml:space="preserve"> Ministarstvo Ekonomije/Ministry of Economy </w:t>
      </w:r>
    </w:p>
    <w:p w:rsidR="00224F5D" w:rsidRPr="00AC7872" w:rsidRDefault="00224F5D" w:rsidP="00224F5D">
      <w:pPr>
        <w:spacing w:line="276" w:lineRule="auto"/>
        <w:jc w:val="center"/>
        <w:rPr>
          <w:rFonts w:ascii="Times New Roman" w:eastAsia="Times New Roman" w:hAnsi="Times New Roman"/>
          <w:b/>
          <w:bCs/>
        </w:rPr>
      </w:pPr>
    </w:p>
    <w:p w:rsidR="00224F5D" w:rsidRPr="00AC7872" w:rsidRDefault="00224F5D" w:rsidP="00224F5D">
      <w:pPr>
        <w:spacing w:line="276" w:lineRule="auto"/>
        <w:jc w:val="center"/>
        <w:rPr>
          <w:rFonts w:ascii="Times New Roman" w:eastAsia="Times New Roman" w:hAnsi="Times New Roman"/>
          <w:b/>
          <w:bCs/>
          <w:sz w:val="28"/>
          <w:szCs w:val="28"/>
        </w:rPr>
      </w:pPr>
    </w:p>
    <w:p w:rsidR="00AC7872" w:rsidRDefault="00AC7872" w:rsidP="00224F5D">
      <w:pPr>
        <w:spacing w:line="276" w:lineRule="auto"/>
        <w:jc w:val="center"/>
        <w:rPr>
          <w:rFonts w:ascii="Times New Roman" w:eastAsia="Times New Roman" w:hAnsi="Times New Roman"/>
          <w:b/>
          <w:bCs/>
          <w:i/>
          <w:u w:val="single"/>
        </w:rPr>
      </w:pPr>
    </w:p>
    <w:p w:rsidR="00303C92" w:rsidRPr="00303C92" w:rsidRDefault="00FB0857" w:rsidP="00303C92">
      <w:pPr>
        <w:spacing w:line="276" w:lineRule="auto"/>
        <w:jc w:val="center"/>
        <w:rPr>
          <w:rFonts w:ascii="Times New Roman" w:eastAsia="Times New Roman" w:hAnsi="Times New Roman"/>
          <w:b/>
          <w:bCs/>
          <w:lang w:val="en"/>
        </w:rPr>
      </w:pPr>
      <w:r w:rsidRPr="00FB0857">
        <w:rPr>
          <w:rFonts w:ascii="Times New Roman" w:eastAsia="Times New Roman" w:hAnsi="Times New Roman"/>
          <w:b/>
          <w:bCs/>
          <w:lang w:val="en"/>
        </w:rPr>
        <w:t>POSTPONEMENT OF THE DEADLINE</w:t>
      </w:r>
      <w:r>
        <w:rPr>
          <w:rFonts w:ascii="Times New Roman" w:eastAsia="Times New Roman" w:hAnsi="Times New Roman"/>
          <w:b/>
          <w:bCs/>
          <w:lang w:val="en"/>
        </w:rPr>
        <w:t xml:space="preserve"> - </w:t>
      </w:r>
      <w:r w:rsidR="00303C92" w:rsidRPr="00303C92">
        <w:rPr>
          <w:rFonts w:ascii="Times New Roman" w:eastAsia="Times New Roman" w:hAnsi="Times New Roman"/>
          <w:b/>
          <w:bCs/>
          <w:lang w:val="en"/>
        </w:rPr>
        <w:t>PUBLIC CALL</w:t>
      </w:r>
    </w:p>
    <w:p w:rsidR="00303C92" w:rsidRPr="007430A7" w:rsidRDefault="00303C92" w:rsidP="00303C92">
      <w:pPr>
        <w:spacing w:line="276" w:lineRule="auto"/>
        <w:jc w:val="both"/>
        <w:rPr>
          <w:rFonts w:ascii="Times New Roman" w:eastAsia="Times New Roman" w:hAnsi="Times New Roman"/>
          <w:bCs/>
          <w:i/>
          <w:lang w:val="en-US"/>
        </w:rPr>
      </w:pPr>
      <w:r w:rsidRPr="007430A7">
        <w:rPr>
          <w:rFonts w:ascii="Times New Roman" w:eastAsia="Times New Roman" w:hAnsi="Times New Roman"/>
          <w:bCs/>
          <w:i/>
          <w:lang w:val="en"/>
        </w:rPr>
        <w:t>for expressions of interest to apply for the Appointment of the Conformity Assessment Body of qualified trusted service providers and qualified trusted services.</w:t>
      </w:r>
    </w:p>
    <w:p w:rsidR="00303C92" w:rsidRDefault="00303C92" w:rsidP="00AC7872">
      <w:pPr>
        <w:spacing w:line="276" w:lineRule="auto"/>
        <w:jc w:val="right"/>
        <w:rPr>
          <w:rFonts w:ascii="Times New Roman" w:eastAsia="Times New Roman" w:hAnsi="Times New Roman"/>
          <w:bCs/>
        </w:rPr>
      </w:pPr>
    </w:p>
    <w:p w:rsidR="007430A7" w:rsidRPr="007430A7" w:rsidRDefault="007430A7" w:rsidP="007430A7">
      <w:pPr>
        <w:spacing w:line="276" w:lineRule="auto"/>
        <w:jc w:val="right"/>
        <w:rPr>
          <w:rFonts w:ascii="Times New Roman" w:eastAsia="Times New Roman" w:hAnsi="Times New Roman"/>
          <w:b/>
          <w:bCs/>
          <w:i/>
          <w:u w:val="single"/>
        </w:rPr>
      </w:pPr>
      <w:r w:rsidRPr="007430A7">
        <w:rPr>
          <w:rFonts w:ascii="Times New Roman" w:eastAsia="Times New Roman" w:hAnsi="Times New Roman"/>
          <w:b/>
          <w:bCs/>
          <w:i/>
          <w:u w:val="single"/>
        </w:rPr>
        <w:t>Nr.01/2023</w:t>
      </w:r>
    </w:p>
    <w:p w:rsidR="00AC7872" w:rsidRPr="00AC7872" w:rsidRDefault="00AC7872" w:rsidP="00AC7872">
      <w:pPr>
        <w:spacing w:line="276" w:lineRule="auto"/>
        <w:jc w:val="right"/>
        <w:rPr>
          <w:rFonts w:ascii="Times New Roman" w:eastAsia="Times New Roman" w:hAnsi="Times New Roman"/>
          <w:bCs/>
        </w:rPr>
      </w:pPr>
      <w:r w:rsidRPr="00AC7872">
        <w:rPr>
          <w:rFonts w:ascii="Times New Roman" w:eastAsia="Times New Roman" w:hAnsi="Times New Roman"/>
          <w:bCs/>
        </w:rPr>
        <w:t xml:space="preserve">Prishtinë, </w:t>
      </w:r>
      <w:r w:rsidR="00C22628" w:rsidRPr="00C22628">
        <w:rPr>
          <w:rFonts w:ascii="Times New Roman" w:eastAsia="Times New Roman" w:hAnsi="Times New Roman"/>
          <w:bCs/>
        </w:rPr>
        <w:t>1</w:t>
      </w:r>
      <w:r w:rsidR="00DE156B">
        <w:rPr>
          <w:rFonts w:ascii="Times New Roman" w:eastAsia="Times New Roman" w:hAnsi="Times New Roman"/>
          <w:bCs/>
        </w:rPr>
        <w:t>9</w:t>
      </w:r>
      <w:r w:rsidRPr="00C22628">
        <w:rPr>
          <w:rFonts w:ascii="Times New Roman" w:eastAsia="Times New Roman" w:hAnsi="Times New Roman"/>
          <w:bCs/>
        </w:rPr>
        <w:t>/</w:t>
      </w:r>
      <w:r w:rsidR="006A1392" w:rsidRPr="00C22628">
        <w:rPr>
          <w:rFonts w:ascii="Times New Roman" w:eastAsia="Times New Roman" w:hAnsi="Times New Roman"/>
          <w:bCs/>
        </w:rPr>
        <w:t>0</w:t>
      </w:r>
      <w:r w:rsidR="007430A7" w:rsidRPr="00C22628">
        <w:rPr>
          <w:rFonts w:ascii="Times New Roman" w:eastAsia="Times New Roman" w:hAnsi="Times New Roman"/>
          <w:bCs/>
        </w:rPr>
        <w:t>5</w:t>
      </w:r>
      <w:r w:rsidRPr="00C22628">
        <w:rPr>
          <w:rFonts w:ascii="Times New Roman" w:eastAsia="Times New Roman" w:hAnsi="Times New Roman"/>
          <w:bCs/>
        </w:rPr>
        <w:t>/2023</w:t>
      </w:r>
    </w:p>
    <w:p w:rsidR="00224F5D" w:rsidRPr="00AC7872" w:rsidRDefault="00224F5D" w:rsidP="00224F5D">
      <w:pPr>
        <w:spacing w:line="276" w:lineRule="auto"/>
        <w:jc w:val="center"/>
        <w:rPr>
          <w:rFonts w:ascii="Times New Roman" w:eastAsia="Times New Roman" w:hAnsi="Times New Roman"/>
          <w:b/>
          <w:bCs/>
        </w:rPr>
      </w:pPr>
    </w:p>
    <w:p w:rsidR="00303C92" w:rsidRPr="007430A7" w:rsidRDefault="00303C92" w:rsidP="00224F5D">
      <w:pPr>
        <w:spacing w:line="276" w:lineRule="auto"/>
        <w:rPr>
          <w:rFonts w:ascii="Times New Roman" w:eastAsia="Times New Roman" w:hAnsi="Times New Roman"/>
          <w:bCs/>
        </w:rPr>
      </w:pPr>
      <w:r>
        <w:rPr>
          <w:rFonts w:ascii="Times New Roman" w:eastAsia="Times New Roman" w:hAnsi="Times New Roman"/>
          <w:bCs/>
          <w:lang w:val="en-GB"/>
        </w:rPr>
        <w:t>Pursuant to Article</w:t>
      </w:r>
      <w:r w:rsidRPr="00303C92">
        <w:rPr>
          <w:rFonts w:ascii="Times New Roman" w:eastAsia="Times New Roman" w:hAnsi="Times New Roman"/>
          <w:bCs/>
          <w:lang w:val="en-GB"/>
        </w:rPr>
        <w:t xml:space="preserve"> </w:t>
      </w:r>
      <w:r>
        <w:rPr>
          <w:rFonts w:ascii="Times New Roman" w:eastAsia="Times New Roman" w:hAnsi="Times New Roman"/>
          <w:bCs/>
          <w:lang w:val="en-GB"/>
        </w:rPr>
        <w:t>4</w:t>
      </w:r>
      <w:r w:rsidRPr="00303C92">
        <w:rPr>
          <w:rFonts w:ascii="Times New Roman" w:eastAsia="Times New Roman" w:hAnsi="Times New Roman"/>
          <w:bCs/>
          <w:lang w:val="en-GB"/>
        </w:rPr>
        <w:t xml:space="preserve"> paragraph </w:t>
      </w:r>
      <w:r>
        <w:rPr>
          <w:rFonts w:ascii="Times New Roman" w:eastAsia="Times New Roman" w:hAnsi="Times New Roman"/>
          <w:bCs/>
          <w:lang w:val="en-GB"/>
        </w:rPr>
        <w:t>2</w:t>
      </w:r>
      <w:r w:rsidRPr="00303C92">
        <w:rPr>
          <w:rFonts w:ascii="Times New Roman" w:eastAsia="Times New Roman" w:hAnsi="Times New Roman"/>
          <w:bCs/>
          <w:lang w:val="en-GB"/>
        </w:rPr>
        <w:t xml:space="preserve"> of </w:t>
      </w:r>
      <w:r>
        <w:rPr>
          <w:rFonts w:ascii="Times New Roman" w:eastAsia="Times New Roman" w:hAnsi="Times New Roman"/>
          <w:bCs/>
          <w:lang w:val="en-GB"/>
        </w:rPr>
        <w:t xml:space="preserve">Regulation </w:t>
      </w:r>
      <w:r w:rsidRPr="00C22628">
        <w:rPr>
          <w:rFonts w:ascii="Times New Roman" w:eastAsia="Times New Roman" w:hAnsi="Times New Roman"/>
          <w:bCs/>
        </w:rPr>
        <w:t>(ME) No. 10/2022</w:t>
      </w:r>
      <w:r w:rsidRPr="00303C92">
        <w:rPr>
          <w:rFonts w:ascii="Times New Roman" w:eastAsia="Times New Roman" w:hAnsi="Times New Roman"/>
          <w:b/>
          <w:bCs/>
        </w:rPr>
        <w:t xml:space="preserve"> </w:t>
      </w:r>
      <w:r w:rsidR="007430A7" w:rsidRPr="007430A7">
        <w:rPr>
          <w:rFonts w:ascii="Times New Roman" w:eastAsia="Times New Roman" w:hAnsi="Times New Roman"/>
          <w:bCs/>
        </w:rPr>
        <w:t>on conformity assessment of qualified trust service providers and qualified trust services as well as insurance against the risk and damages caused by the provision of qualified trust service</w:t>
      </w:r>
    </w:p>
    <w:p w:rsidR="002C0966" w:rsidRPr="00AC7872" w:rsidRDefault="002C0966" w:rsidP="00224F5D">
      <w:pPr>
        <w:spacing w:line="276" w:lineRule="auto"/>
        <w:rPr>
          <w:rFonts w:ascii="Times New Roman" w:eastAsia="Times New Roman" w:hAnsi="Times New Roman"/>
        </w:rPr>
      </w:pPr>
    </w:p>
    <w:p w:rsidR="00303C92" w:rsidRPr="00303C92" w:rsidRDefault="00303C92" w:rsidP="00303C92">
      <w:pPr>
        <w:spacing w:line="276" w:lineRule="auto"/>
        <w:jc w:val="center"/>
        <w:rPr>
          <w:rFonts w:ascii="Times New Roman" w:eastAsia="Times New Roman" w:hAnsi="Times New Roman"/>
          <w:lang w:val="en-US"/>
        </w:rPr>
      </w:pPr>
      <w:r w:rsidRPr="00303C92">
        <w:rPr>
          <w:rFonts w:ascii="Times New Roman" w:eastAsia="Times New Roman" w:hAnsi="Times New Roman"/>
          <w:lang w:val="en"/>
        </w:rPr>
        <w:t>The Ministry of Economy announces a Call for the appointment of the Conformity Assessment Body.</w:t>
      </w:r>
    </w:p>
    <w:p w:rsidR="001B6845" w:rsidRDefault="00224F5D" w:rsidP="00224F5D">
      <w:pPr>
        <w:spacing w:line="276" w:lineRule="auto"/>
        <w:jc w:val="both"/>
        <w:rPr>
          <w:rFonts w:ascii="Times New Roman" w:eastAsia="Times New Roman" w:hAnsi="Times New Roman"/>
          <w:bCs/>
          <w:lang w:val="en-GB"/>
        </w:rPr>
      </w:pPr>
      <w:r w:rsidRPr="00AC7872">
        <w:rPr>
          <w:rFonts w:ascii="Times New Roman" w:eastAsia="Times New Roman" w:hAnsi="Times New Roman"/>
          <w:bCs/>
        </w:rPr>
        <w:t xml:space="preserve"> </w:t>
      </w:r>
      <w:r w:rsidR="001B6845" w:rsidRPr="001B6845">
        <w:rPr>
          <w:rFonts w:ascii="Times New Roman" w:eastAsia="Times New Roman" w:hAnsi="Times New Roman"/>
          <w:bCs/>
          <w:lang w:val="en-US"/>
        </w:rPr>
        <w:br/>
      </w:r>
      <w:r w:rsidR="001B6845">
        <w:rPr>
          <w:rFonts w:ascii="Times New Roman" w:eastAsia="Times New Roman" w:hAnsi="Times New Roman"/>
          <w:bCs/>
          <w:lang w:val="en-GB"/>
        </w:rPr>
        <w:t xml:space="preserve">1. </w:t>
      </w:r>
      <w:r w:rsidR="001B6845" w:rsidRPr="007430A7">
        <w:rPr>
          <w:rFonts w:ascii="Times New Roman" w:eastAsia="Times New Roman" w:hAnsi="Times New Roman"/>
          <w:b/>
          <w:bCs/>
          <w:lang w:val="en-GB"/>
        </w:rPr>
        <w:t xml:space="preserve">The </w:t>
      </w:r>
      <w:r w:rsidR="007430A7">
        <w:rPr>
          <w:rFonts w:ascii="Times New Roman" w:eastAsia="Times New Roman" w:hAnsi="Times New Roman"/>
          <w:b/>
          <w:bCs/>
          <w:lang w:val="en-GB"/>
        </w:rPr>
        <w:t xml:space="preserve">required </w:t>
      </w:r>
      <w:r w:rsidR="001B6845" w:rsidRPr="007430A7">
        <w:rPr>
          <w:rFonts w:ascii="Times New Roman" w:eastAsia="Times New Roman" w:hAnsi="Times New Roman"/>
          <w:b/>
          <w:bCs/>
          <w:lang w:val="en-GB"/>
        </w:rPr>
        <w:t>document</w:t>
      </w:r>
      <w:r w:rsidR="007430A7">
        <w:rPr>
          <w:rFonts w:ascii="Times New Roman" w:eastAsia="Times New Roman" w:hAnsi="Times New Roman"/>
          <w:b/>
          <w:bCs/>
          <w:lang w:val="en-GB"/>
        </w:rPr>
        <w:t xml:space="preserve">s </w:t>
      </w:r>
      <w:r w:rsidR="001B6845" w:rsidRPr="007430A7">
        <w:rPr>
          <w:rFonts w:ascii="Times New Roman" w:eastAsia="Times New Roman" w:hAnsi="Times New Roman"/>
          <w:b/>
          <w:bCs/>
          <w:lang w:val="en-GB"/>
        </w:rPr>
        <w:t xml:space="preserve"> </w:t>
      </w:r>
      <w:r w:rsidR="001B6845" w:rsidRPr="007430A7">
        <w:rPr>
          <w:rFonts w:ascii="Times New Roman" w:eastAsia="Times New Roman" w:hAnsi="Times New Roman"/>
          <w:b/>
          <w:bCs/>
          <w:lang w:val="en"/>
        </w:rPr>
        <w:t xml:space="preserve">for </w:t>
      </w:r>
      <w:r w:rsidR="007430A7">
        <w:rPr>
          <w:rFonts w:ascii="Times New Roman" w:eastAsia="Times New Roman" w:hAnsi="Times New Roman"/>
          <w:b/>
          <w:bCs/>
          <w:lang w:val="en"/>
        </w:rPr>
        <w:t>ap</w:t>
      </w:r>
      <w:r w:rsidR="00171850">
        <w:rPr>
          <w:rFonts w:ascii="Times New Roman" w:eastAsia="Times New Roman" w:hAnsi="Times New Roman"/>
          <w:b/>
          <w:bCs/>
          <w:lang w:val="en"/>
        </w:rPr>
        <w:t>p</w:t>
      </w:r>
      <w:r w:rsidR="007430A7">
        <w:rPr>
          <w:rFonts w:ascii="Times New Roman" w:eastAsia="Times New Roman" w:hAnsi="Times New Roman"/>
          <w:b/>
          <w:bCs/>
          <w:lang w:val="en"/>
        </w:rPr>
        <w:t>lyinig:</w:t>
      </w:r>
    </w:p>
    <w:p w:rsidR="001B6845" w:rsidRDefault="001B6845" w:rsidP="00224F5D">
      <w:pPr>
        <w:spacing w:line="276" w:lineRule="auto"/>
        <w:jc w:val="both"/>
        <w:rPr>
          <w:rFonts w:ascii="Times New Roman" w:eastAsia="Times New Roman" w:hAnsi="Times New Roman"/>
          <w:bCs/>
          <w:lang w:val="en-GB"/>
        </w:rPr>
      </w:pPr>
    </w:p>
    <w:p w:rsidR="001B6845" w:rsidRPr="001B6845" w:rsidRDefault="001B6845" w:rsidP="001B6845">
      <w:pPr>
        <w:pStyle w:val="NoSpacing"/>
      </w:pPr>
      <w:r w:rsidRPr="001B6845">
        <w:t>1.1</w:t>
      </w:r>
      <w:r w:rsidRPr="007430A7">
        <w:rPr>
          <w:sz w:val="24"/>
          <w:szCs w:val="24"/>
        </w:rPr>
        <w:t>. Business Registration Certificate;</w:t>
      </w:r>
      <w:r w:rsidRPr="007430A7">
        <w:rPr>
          <w:sz w:val="24"/>
          <w:szCs w:val="24"/>
        </w:rPr>
        <w:br/>
      </w:r>
    </w:p>
    <w:p w:rsidR="00171850" w:rsidRPr="00171850" w:rsidRDefault="00171850" w:rsidP="00171850">
      <w:pPr>
        <w:tabs>
          <w:tab w:val="left" w:pos="5594"/>
        </w:tabs>
        <w:spacing w:after="240" w:line="276" w:lineRule="auto"/>
        <w:jc w:val="both"/>
      </w:pPr>
      <w:r>
        <w:rPr>
          <w:rFonts w:ascii="Times New Roman" w:eastAsia="Times New Roman" w:hAnsi="Times New Roman"/>
          <w:bCs/>
          <w:lang w:val="en-GB"/>
        </w:rPr>
        <w:t xml:space="preserve">1.2. </w:t>
      </w:r>
      <w:r w:rsidR="001B6845" w:rsidRPr="007430A7">
        <w:rPr>
          <w:rFonts w:ascii="Times New Roman" w:eastAsia="Times New Roman" w:hAnsi="Times New Roman"/>
          <w:bCs/>
          <w:lang w:val="en-GB"/>
        </w:rPr>
        <w:t xml:space="preserve">Accreditation certificate according to the EN ISO/ IEC 17065 standard and for the equipment used for testing, the EN ISO/ IEC 17025 certificate issued by </w:t>
      </w:r>
      <w:r w:rsidR="007430A7" w:rsidRPr="007430A7">
        <w:rPr>
          <w:rFonts w:ascii="Times New Roman" w:eastAsia="Times New Roman" w:hAnsi="Times New Roman"/>
          <w:bCs/>
          <w:lang w:val="en-GB"/>
        </w:rPr>
        <w:t xml:space="preserve"> Kosovo </w:t>
      </w:r>
      <w:r w:rsidR="001B6845" w:rsidRPr="007430A7">
        <w:rPr>
          <w:rFonts w:ascii="Times New Roman" w:eastAsia="Times New Roman" w:hAnsi="Times New Roman"/>
          <w:bCs/>
          <w:lang w:val="en-GB"/>
        </w:rPr>
        <w:t xml:space="preserve">Accreditation </w:t>
      </w:r>
      <w:r w:rsidR="007430A7" w:rsidRPr="007430A7">
        <w:rPr>
          <w:rFonts w:ascii="Times New Roman" w:eastAsia="Times New Roman" w:hAnsi="Times New Roman"/>
          <w:bCs/>
          <w:lang w:val="en-GB"/>
        </w:rPr>
        <w:t>Directorate</w:t>
      </w:r>
    </w:p>
    <w:p w:rsidR="00224F5D" w:rsidRPr="00AC7872" w:rsidRDefault="002C0966" w:rsidP="00171850">
      <w:pPr>
        <w:tabs>
          <w:tab w:val="left" w:pos="5594"/>
        </w:tabs>
        <w:spacing w:after="240" w:line="276" w:lineRule="auto"/>
        <w:jc w:val="both"/>
      </w:pPr>
      <w:r>
        <w:t>1.3</w:t>
      </w:r>
      <w:r w:rsidR="00171850">
        <w:t>.</w:t>
      </w:r>
      <w:r>
        <w:t xml:space="preserve"> </w:t>
      </w:r>
      <w:r w:rsidR="001B6845" w:rsidRPr="001B6845">
        <w:t>The number and name of the Law and Regulation according to which the designation is made;</w:t>
      </w:r>
    </w:p>
    <w:p w:rsidR="00224F5D" w:rsidRPr="00AC7872" w:rsidRDefault="00224F5D" w:rsidP="002C0966">
      <w:pPr>
        <w:spacing w:after="240" w:line="276" w:lineRule="auto"/>
        <w:jc w:val="both"/>
        <w:rPr>
          <w:rFonts w:ascii="Times New Roman" w:eastAsia="Times New Roman" w:hAnsi="Times New Roman"/>
          <w:bCs/>
        </w:rPr>
      </w:pPr>
      <w:r w:rsidRPr="00AC7872">
        <w:rPr>
          <w:rFonts w:ascii="Times New Roman" w:eastAsia="Times New Roman" w:hAnsi="Times New Roman"/>
          <w:bCs/>
        </w:rPr>
        <w:t>1.4.</w:t>
      </w:r>
      <w:r w:rsidR="002C0966" w:rsidRPr="002C0966">
        <w:rPr>
          <w:rFonts w:ascii="Times New Roman" w:eastAsia="Times New Roman" w:hAnsi="Times New Roman"/>
          <w:bCs/>
        </w:rPr>
        <w:tab/>
        <w:t>The scope of activities relevant to conformity assessment, the type of activities performed, the name of the module for conformity assessment;</w:t>
      </w:r>
    </w:p>
    <w:p w:rsidR="002C0966" w:rsidRDefault="002C0966" w:rsidP="00224F5D">
      <w:pPr>
        <w:spacing w:line="276" w:lineRule="auto"/>
        <w:ind w:left="270"/>
        <w:jc w:val="both"/>
        <w:rPr>
          <w:rFonts w:ascii="Times New Roman" w:eastAsia="Times New Roman" w:hAnsi="Times New Roman"/>
          <w:bCs/>
        </w:rPr>
      </w:pPr>
      <w:r>
        <w:rPr>
          <w:rFonts w:ascii="Times New Roman" w:eastAsia="Times New Roman" w:hAnsi="Times New Roman"/>
          <w:bCs/>
        </w:rPr>
        <w:lastRenderedPageBreak/>
        <w:t>1.5</w:t>
      </w:r>
      <w:r w:rsidRPr="002C0966">
        <w:rPr>
          <w:rFonts w:ascii="Times New Roman" w:eastAsia="Times New Roman" w:hAnsi="Times New Roman"/>
          <w:bCs/>
        </w:rPr>
        <w:t>.</w:t>
      </w:r>
      <w:r w:rsidRPr="002C0966">
        <w:rPr>
          <w:rFonts w:ascii="Times New Roman" w:eastAsia="Times New Roman" w:hAnsi="Times New Roman"/>
          <w:bCs/>
        </w:rPr>
        <w:tab/>
        <w:t>Data on the technical competence of employees and other persons engaged in conformity assessment activities;</w:t>
      </w:r>
    </w:p>
    <w:p w:rsidR="002C0966" w:rsidRDefault="002C0966" w:rsidP="00224F5D">
      <w:pPr>
        <w:spacing w:line="276" w:lineRule="auto"/>
        <w:ind w:left="270"/>
        <w:jc w:val="both"/>
        <w:rPr>
          <w:rFonts w:ascii="Times New Roman" w:eastAsia="Times New Roman" w:hAnsi="Times New Roman"/>
          <w:bCs/>
        </w:rPr>
      </w:pPr>
    </w:p>
    <w:p w:rsidR="002C0966" w:rsidRDefault="002C0966" w:rsidP="00224F5D">
      <w:pPr>
        <w:spacing w:line="276" w:lineRule="auto"/>
        <w:ind w:left="270"/>
        <w:jc w:val="both"/>
        <w:rPr>
          <w:rFonts w:ascii="Times New Roman" w:eastAsia="Times New Roman" w:hAnsi="Times New Roman"/>
          <w:bCs/>
          <w:lang w:val="en-GB"/>
        </w:rPr>
      </w:pPr>
      <w:r w:rsidRPr="002C0966">
        <w:rPr>
          <w:rFonts w:ascii="Times New Roman" w:eastAsia="Times New Roman" w:hAnsi="Times New Roman"/>
          <w:bCs/>
          <w:lang w:val="en-GB"/>
        </w:rPr>
        <w:t>1.6. Data on technical and procedural capacities, including equipment and the place where the conformity assessment activities shall be carried out;</w:t>
      </w:r>
    </w:p>
    <w:p w:rsidR="002C0966" w:rsidRPr="002C0966" w:rsidRDefault="002C0966" w:rsidP="002C0966">
      <w:pPr>
        <w:pStyle w:val="NoSpacing"/>
      </w:pPr>
      <w:r w:rsidRPr="002C0966">
        <w:t>1.7. Statement that it is not involved in activities that may be in conflict with the independence and impartiality of conformity assessment activities;</w:t>
      </w:r>
      <w:r w:rsidRPr="002C0966">
        <w:br/>
      </w:r>
    </w:p>
    <w:p w:rsidR="0069166F" w:rsidRPr="0069166F" w:rsidRDefault="0069166F" w:rsidP="0069166F">
      <w:pPr>
        <w:spacing w:line="276" w:lineRule="auto"/>
        <w:jc w:val="both"/>
        <w:rPr>
          <w:rFonts w:ascii="Times New Roman" w:eastAsia="Times New Roman" w:hAnsi="Times New Roman"/>
          <w:b/>
          <w:bCs/>
          <w:lang w:val="en-GB"/>
        </w:rPr>
      </w:pPr>
      <w:r w:rsidRPr="0069166F">
        <w:rPr>
          <w:rFonts w:ascii="Times New Roman" w:eastAsia="Times New Roman" w:hAnsi="Times New Roman"/>
          <w:bCs/>
          <w:lang w:val="en-GB"/>
        </w:rPr>
        <w:t>1.</w:t>
      </w:r>
      <w:r>
        <w:rPr>
          <w:rFonts w:ascii="Times New Roman" w:eastAsia="Times New Roman" w:hAnsi="Times New Roman"/>
          <w:bCs/>
          <w:lang w:val="en-GB"/>
        </w:rPr>
        <w:t>8</w:t>
      </w:r>
      <w:r w:rsidRPr="0069166F">
        <w:rPr>
          <w:rFonts w:ascii="Times New Roman" w:eastAsia="Times New Roman" w:hAnsi="Times New Roman"/>
          <w:bCs/>
          <w:lang w:val="en-GB"/>
        </w:rPr>
        <w:t>. Statement on the implementation of the ETSI EN 319 403 standard requirements;</w:t>
      </w:r>
      <w:r w:rsidRPr="0069166F">
        <w:rPr>
          <w:rFonts w:ascii="Times New Roman" w:eastAsia="Times New Roman" w:hAnsi="Times New Roman"/>
          <w:b/>
          <w:bCs/>
          <w:lang w:val="en-GB"/>
        </w:rPr>
        <w:t xml:space="preserve"> </w:t>
      </w:r>
    </w:p>
    <w:p w:rsidR="00224F5D" w:rsidRPr="00AC7872" w:rsidRDefault="00224F5D" w:rsidP="0069166F">
      <w:pPr>
        <w:spacing w:line="276" w:lineRule="auto"/>
        <w:jc w:val="both"/>
        <w:rPr>
          <w:rFonts w:ascii="Times New Roman" w:eastAsia="Times New Roman" w:hAnsi="Times New Roman"/>
          <w:b/>
          <w:bCs/>
        </w:rPr>
      </w:pPr>
    </w:p>
    <w:p w:rsidR="0069166F" w:rsidRPr="0069166F" w:rsidRDefault="0069166F" w:rsidP="00171850">
      <w:pPr>
        <w:spacing w:line="276" w:lineRule="auto"/>
        <w:jc w:val="both"/>
        <w:rPr>
          <w:rFonts w:ascii="Times New Roman" w:eastAsia="Times New Roman" w:hAnsi="Times New Roman"/>
          <w:bCs/>
          <w:lang w:val="en"/>
        </w:rPr>
      </w:pPr>
      <w:r w:rsidRPr="0069166F">
        <w:rPr>
          <w:rFonts w:ascii="Times New Roman" w:eastAsia="Times New Roman" w:hAnsi="Times New Roman"/>
          <w:bCs/>
          <w:lang w:val="en"/>
        </w:rPr>
        <w:t>1.9. Insurance policy or bank guarantee in the amount of 100,000.00 € of liability to cover the damage that may be caused;</w:t>
      </w:r>
    </w:p>
    <w:p w:rsidR="0069166F" w:rsidRPr="0069166F" w:rsidRDefault="0069166F" w:rsidP="0069166F">
      <w:pPr>
        <w:spacing w:line="276" w:lineRule="auto"/>
        <w:ind w:left="252"/>
        <w:jc w:val="both"/>
        <w:rPr>
          <w:rFonts w:ascii="Times New Roman" w:eastAsia="Times New Roman" w:hAnsi="Times New Roman"/>
          <w:bCs/>
          <w:lang w:val="en-US"/>
        </w:rPr>
      </w:pPr>
      <w:r w:rsidRPr="0069166F">
        <w:rPr>
          <w:rFonts w:ascii="Times New Roman" w:eastAsia="Times New Roman" w:hAnsi="Times New Roman"/>
          <w:bCs/>
          <w:lang w:val="en"/>
        </w:rPr>
        <w:t>(after selection by the Commission for the appointment of the Conformity Assessment Body)</w:t>
      </w:r>
    </w:p>
    <w:p w:rsidR="0069166F" w:rsidRPr="0069166F" w:rsidRDefault="0069166F" w:rsidP="0069166F">
      <w:pPr>
        <w:jc w:val="both"/>
        <w:rPr>
          <w:rFonts w:ascii="Times New Roman" w:eastAsia="Times New Roman" w:hAnsi="Times New Roman"/>
          <w:bCs/>
          <w:lang w:val="en-US"/>
        </w:rPr>
      </w:pPr>
      <w:r w:rsidRPr="0069166F">
        <w:rPr>
          <w:rFonts w:ascii="Times New Roman" w:eastAsia="Times New Roman" w:hAnsi="Times New Roman"/>
          <w:bCs/>
          <w:lang w:val="en"/>
        </w:rPr>
        <w:t>, for which it claims to be competent.</w:t>
      </w:r>
    </w:p>
    <w:p w:rsidR="0069166F" w:rsidRPr="00AC7872" w:rsidRDefault="0069166F" w:rsidP="00224F5D">
      <w:pPr>
        <w:jc w:val="both"/>
        <w:rPr>
          <w:rFonts w:ascii="Times New Roman" w:eastAsia="Times New Roman" w:hAnsi="Times New Roman"/>
          <w:bCs/>
        </w:rPr>
      </w:pPr>
    </w:p>
    <w:p w:rsidR="00171850" w:rsidRPr="00171850" w:rsidRDefault="00171850" w:rsidP="00171850">
      <w:pPr>
        <w:spacing w:line="276" w:lineRule="auto"/>
        <w:jc w:val="both"/>
        <w:rPr>
          <w:rFonts w:ascii="Times New Roman" w:eastAsia="Times New Roman" w:hAnsi="Times New Roman"/>
          <w:lang w:val="en-US"/>
        </w:rPr>
      </w:pPr>
      <w:r w:rsidRPr="00171850">
        <w:rPr>
          <w:rFonts w:ascii="Times New Roman" w:eastAsia="Times New Roman" w:hAnsi="Times New Roman"/>
          <w:lang w:val="en"/>
        </w:rPr>
        <w:t>2. The body applying for Conformity Assessment must attach to the application request all the documents in original form or in notarized copies that prove the data from the requirements according to paragraph 1 of this call</w:t>
      </w:r>
      <w:r>
        <w:rPr>
          <w:rFonts w:ascii="Times New Roman" w:eastAsia="Times New Roman" w:hAnsi="Times New Roman"/>
          <w:lang w:val="en"/>
        </w:rPr>
        <w:t xml:space="preserve">, </w:t>
      </w:r>
      <w:r w:rsidRPr="00171850">
        <w:rPr>
          <w:rFonts w:ascii="Times New Roman" w:eastAsia="Times New Roman" w:hAnsi="Times New Roman"/>
          <w:lang w:val="en"/>
        </w:rPr>
        <w:t xml:space="preserve"> for which</w:t>
      </w:r>
      <w:r w:rsidRPr="00171850">
        <w:rPr>
          <w:rFonts w:ascii="Times New Roman" w:eastAsia="Times New Roman" w:hAnsi="Times New Roman"/>
          <w:bCs/>
          <w:lang w:val="en"/>
        </w:rPr>
        <w:t xml:space="preserve"> it claims to be competent</w:t>
      </w:r>
      <w:r w:rsidRPr="00171850">
        <w:rPr>
          <w:rFonts w:ascii="Times New Roman" w:eastAsia="Times New Roman" w:hAnsi="Times New Roman"/>
          <w:lang w:val="en"/>
        </w:rPr>
        <w:t xml:space="preserve"> </w:t>
      </w:r>
      <w:r>
        <w:rPr>
          <w:rFonts w:ascii="Times New Roman" w:eastAsia="Times New Roman" w:hAnsi="Times New Roman"/>
          <w:lang w:val="en"/>
        </w:rPr>
        <w:t>.</w:t>
      </w:r>
    </w:p>
    <w:p w:rsidR="000123E9" w:rsidRPr="00AC7872" w:rsidRDefault="000123E9" w:rsidP="00224F5D">
      <w:pPr>
        <w:spacing w:line="276" w:lineRule="auto"/>
        <w:jc w:val="both"/>
        <w:rPr>
          <w:rFonts w:ascii="Times New Roman" w:eastAsia="Times New Roman" w:hAnsi="Times New Roman"/>
        </w:rPr>
      </w:pPr>
    </w:p>
    <w:p w:rsidR="0069166F" w:rsidRPr="00F513E0" w:rsidRDefault="0069166F" w:rsidP="0069166F">
      <w:pPr>
        <w:spacing w:line="276" w:lineRule="auto"/>
        <w:jc w:val="both"/>
        <w:rPr>
          <w:rFonts w:ascii="Times New Roman" w:eastAsia="Times New Roman" w:hAnsi="Times New Roman"/>
          <w:lang w:val="en"/>
        </w:rPr>
      </w:pPr>
      <w:r w:rsidRPr="00F513E0">
        <w:rPr>
          <w:rFonts w:ascii="Times New Roman" w:eastAsia="Times New Roman" w:hAnsi="Times New Roman"/>
          <w:lang w:val="en"/>
        </w:rPr>
        <w:t xml:space="preserve">3. </w:t>
      </w:r>
      <w:r w:rsidR="00171850" w:rsidRPr="00F513E0">
        <w:rPr>
          <w:rFonts w:ascii="Times New Roman" w:eastAsia="Times New Roman" w:hAnsi="Times New Roman"/>
          <w:lang w:val="en"/>
        </w:rPr>
        <w:t xml:space="preserve">Conformity assessment Body </w:t>
      </w:r>
      <w:r w:rsidR="00171850">
        <w:rPr>
          <w:rFonts w:ascii="Times New Roman" w:eastAsia="Times New Roman" w:hAnsi="Times New Roman"/>
          <w:lang w:val="en"/>
        </w:rPr>
        <w:t>d</w:t>
      </w:r>
      <w:r w:rsidR="00171850" w:rsidRPr="00F513E0">
        <w:rPr>
          <w:rFonts w:ascii="Times New Roman" w:eastAsia="Times New Roman" w:hAnsi="Times New Roman"/>
          <w:lang w:val="en"/>
        </w:rPr>
        <w:t xml:space="preserve">uties </w:t>
      </w:r>
      <w:r w:rsidRPr="00F513E0">
        <w:rPr>
          <w:rFonts w:ascii="Times New Roman" w:eastAsia="Times New Roman" w:hAnsi="Times New Roman"/>
          <w:lang w:val="en"/>
        </w:rPr>
        <w:t>and</w:t>
      </w:r>
      <w:r w:rsidR="008C2E0D" w:rsidRPr="00F513E0">
        <w:rPr>
          <w:rFonts w:ascii="Times New Roman" w:eastAsia="Times New Roman" w:hAnsi="Times New Roman"/>
          <w:lang w:val="en"/>
        </w:rPr>
        <w:t xml:space="preserve"> </w:t>
      </w:r>
      <w:r w:rsidR="00171850">
        <w:rPr>
          <w:rFonts w:ascii="Times New Roman" w:eastAsia="Times New Roman" w:hAnsi="Times New Roman"/>
          <w:lang w:val="en"/>
        </w:rPr>
        <w:t>o</w:t>
      </w:r>
      <w:r w:rsidR="00171850" w:rsidRPr="00F513E0">
        <w:rPr>
          <w:rFonts w:ascii="Times New Roman" w:eastAsia="Times New Roman" w:hAnsi="Times New Roman"/>
          <w:lang w:val="en"/>
        </w:rPr>
        <w:t xml:space="preserve">bligations </w:t>
      </w:r>
      <w:r w:rsidRPr="00F513E0">
        <w:rPr>
          <w:rFonts w:ascii="Times New Roman" w:eastAsia="Times New Roman" w:hAnsi="Times New Roman"/>
          <w:lang w:val="en"/>
        </w:rPr>
        <w:t>are defined in Article 9</w:t>
      </w:r>
      <w:r w:rsidR="00D31A6A">
        <w:rPr>
          <w:rFonts w:ascii="Times New Roman" w:eastAsia="Times New Roman" w:hAnsi="Times New Roman"/>
          <w:lang w:val="en"/>
        </w:rPr>
        <w:t xml:space="preserve"> of the Regulation </w:t>
      </w:r>
      <w:r w:rsidRPr="00F513E0">
        <w:rPr>
          <w:rFonts w:ascii="Times New Roman" w:eastAsia="Times New Roman" w:hAnsi="Times New Roman"/>
          <w:lang w:val="en"/>
        </w:rPr>
        <w:t xml:space="preserve"> </w:t>
      </w:r>
      <w:r w:rsidR="008C2E0D" w:rsidRPr="00F513E0">
        <w:rPr>
          <w:rFonts w:ascii="Times New Roman" w:eastAsia="Times New Roman" w:hAnsi="Times New Roman"/>
          <w:bCs/>
        </w:rPr>
        <w:t xml:space="preserve">(ME) No. 10/2022 on conformity assessment of qualified trust service providers and qualified trust services as well as insurance against the risk and damages caused by the provision of qualified trust services, </w:t>
      </w:r>
      <w:r w:rsidRPr="00F513E0">
        <w:rPr>
          <w:rFonts w:ascii="Times New Roman" w:eastAsia="Times New Roman" w:hAnsi="Times New Roman"/>
          <w:lang w:val="en"/>
        </w:rPr>
        <w:t>according to the following link: https:// gzk.rks-gov.net/ActDetail.aspx?ActID=51618</w:t>
      </w:r>
    </w:p>
    <w:p w:rsidR="00171850" w:rsidRDefault="00171850" w:rsidP="00171850">
      <w:pPr>
        <w:spacing w:line="276" w:lineRule="auto"/>
        <w:jc w:val="both"/>
        <w:rPr>
          <w:rFonts w:ascii="Times New Roman" w:eastAsia="Times New Roman" w:hAnsi="Times New Roman"/>
          <w:lang w:val="en"/>
        </w:rPr>
      </w:pPr>
    </w:p>
    <w:p w:rsidR="0069166F" w:rsidRPr="0069166F" w:rsidRDefault="0069166F" w:rsidP="0069166F">
      <w:pPr>
        <w:spacing w:line="276" w:lineRule="auto"/>
        <w:jc w:val="both"/>
        <w:rPr>
          <w:rFonts w:ascii="Times New Roman" w:eastAsia="Times New Roman" w:hAnsi="Times New Roman"/>
          <w:lang w:val="en-US"/>
        </w:rPr>
      </w:pPr>
    </w:p>
    <w:p w:rsidR="008C2E0D" w:rsidRPr="008C2E0D" w:rsidRDefault="008C2E0D" w:rsidP="008C2E0D">
      <w:pPr>
        <w:rPr>
          <w:rFonts w:ascii="Times New Roman" w:hAnsi="Times New Roman"/>
          <w:lang w:val="en-US"/>
        </w:rPr>
      </w:pPr>
      <w:r w:rsidRPr="008C2E0D">
        <w:rPr>
          <w:rFonts w:ascii="Times New Roman" w:hAnsi="Times New Roman"/>
          <w:lang w:val="en"/>
        </w:rPr>
        <w:t xml:space="preserve">4. </w:t>
      </w:r>
      <w:r>
        <w:rPr>
          <w:rFonts w:ascii="Times New Roman" w:hAnsi="Times New Roman"/>
          <w:lang w:val="en"/>
        </w:rPr>
        <w:t>T</w:t>
      </w:r>
      <w:r w:rsidRPr="008C2E0D">
        <w:rPr>
          <w:rFonts w:ascii="Times New Roman" w:hAnsi="Times New Roman"/>
          <w:lang w:val="en"/>
        </w:rPr>
        <w:t xml:space="preserve">he right </w:t>
      </w:r>
      <w:r w:rsidR="00C43F61">
        <w:rPr>
          <w:rFonts w:ascii="Times New Roman" w:hAnsi="Times New Roman"/>
          <w:lang w:val="en"/>
        </w:rPr>
        <w:t xml:space="preserve">for </w:t>
      </w:r>
      <w:r w:rsidRPr="008C2E0D">
        <w:rPr>
          <w:rFonts w:ascii="Times New Roman" w:hAnsi="Times New Roman"/>
          <w:lang w:val="en"/>
        </w:rPr>
        <w:t xml:space="preserve"> appl</w:t>
      </w:r>
      <w:r w:rsidR="00C43F61">
        <w:rPr>
          <w:rFonts w:ascii="Times New Roman" w:hAnsi="Times New Roman"/>
          <w:lang w:val="en"/>
        </w:rPr>
        <w:t xml:space="preserve">ication </w:t>
      </w:r>
      <w:r w:rsidRPr="008C2E0D">
        <w:rPr>
          <w:rFonts w:ascii="Times New Roman" w:hAnsi="Times New Roman"/>
          <w:lang w:val="en"/>
        </w:rPr>
        <w:t xml:space="preserve"> have </w:t>
      </w:r>
      <w:r>
        <w:rPr>
          <w:rFonts w:ascii="Times New Roman" w:hAnsi="Times New Roman"/>
          <w:lang w:val="en"/>
        </w:rPr>
        <w:t>:</w:t>
      </w:r>
    </w:p>
    <w:p w:rsidR="008C2E0D" w:rsidRPr="008C2E0D" w:rsidRDefault="008C2E0D" w:rsidP="008C2E0D">
      <w:pPr>
        <w:rPr>
          <w:rFonts w:ascii="Times New Roman" w:hAnsi="Times New Roman"/>
          <w:lang w:val="en"/>
        </w:rPr>
      </w:pPr>
    </w:p>
    <w:p w:rsidR="008C2E0D" w:rsidRPr="008C2E0D" w:rsidRDefault="008C2E0D" w:rsidP="008C2E0D">
      <w:pPr>
        <w:rPr>
          <w:rFonts w:ascii="Times New Roman" w:hAnsi="Times New Roman"/>
          <w:i/>
          <w:lang w:val="en"/>
        </w:rPr>
      </w:pPr>
      <w:r w:rsidRPr="008C2E0D">
        <w:rPr>
          <w:rFonts w:ascii="Times New Roman" w:hAnsi="Times New Roman"/>
          <w:i/>
          <w:lang w:val="en"/>
        </w:rPr>
        <w:t>4.1 Conformity Assessment Bodies that have been accredited by the Kosovo Accreditation Directorate, and</w:t>
      </w:r>
    </w:p>
    <w:p w:rsidR="00171850" w:rsidRPr="00171850" w:rsidRDefault="00171850" w:rsidP="00171850">
      <w:pPr>
        <w:rPr>
          <w:rFonts w:ascii="Times New Roman" w:hAnsi="Times New Roman"/>
          <w:i/>
          <w:lang w:val="en"/>
        </w:rPr>
      </w:pPr>
      <w:r w:rsidRPr="00171850">
        <w:rPr>
          <w:rFonts w:ascii="Times New Roman" w:hAnsi="Times New Roman"/>
          <w:i/>
          <w:lang w:val="en"/>
        </w:rPr>
        <w:t xml:space="preserve">4.2 Foreign bodies for Conformity Assessment from EU member countries for which verification by the </w:t>
      </w:r>
      <w:r>
        <w:rPr>
          <w:rFonts w:ascii="Times New Roman" w:hAnsi="Times New Roman"/>
          <w:i/>
          <w:lang w:val="en"/>
        </w:rPr>
        <w:t xml:space="preserve">Kosovo </w:t>
      </w:r>
      <w:r w:rsidRPr="00171850">
        <w:rPr>
          <w:rFonts w:ascii="Times New Roman" w:hAnsi="Times New Roman"/>
          <w:i/>
          <w:lang w:val="en"/>
        </w:rPr>
        <w:t>Accreditation Directorate has been carried out in advance.</w:t>
      </w:r>
    </w:p>
    <w:p w:rsidR="00171850" w:rsidRPr="00171850" w:rsidRDefault="00171850" w:rsidP="00171850">
      <w:pPr>
        <w:rPr>
          <w:rFonts w:ascii="Times New Roman" w:hAnsi="Times New Roman"/>
          <w:i/>
          <w:lang w:val="en-US"/>
        </w:rPr>
      </w:pPr>
      <w:r w:rsidRPr="00171850">
        <w:rPr>
          <w:rFonts w:ascii="Times New Roman" w:hAnsi="Times New Roman"/>
          <w:i/>
          <w:lang w:val="en"/>
        </w:rPr>
        <w:t xml:space="preserve">4.3 Foreign bodies for Conformity Assessment from non-EU countries, if Kosovo has mutual agreements for the recognition of qualified trusted services and which are verified by the </w:t>
      </w:r>
      <w:r w:rsidR="00C43F61">
        <w:rPr>
          <w:rFonts w:ascii="Times New Roman" w:hAnsi="Times New Roman"/>
          <w:i/>
          <w:lang w:val="en"/>
        </w:rPr>
        <w:t xml:space="preserve">Kosovo </w:t>
      </w:r>
      <w:r w:rsidRPr="00171850">
        <w:rPr>
          <w:rFonts w:ascii="Times New Roman" w:hAnsi="Times New Roman"/>
          <w:i/>
          <w:lang w:val="en"/>
        </w:rPr>
        <w:t>Accreditation Directorate.</w:t>
      </w:r>
    </w:p>
    <w:p w:rsidR="00C43F61" w:rsidRDefault="00C43F61" w:rsidP="00C43F61">
      <w:pPr>
        <w:rPr>
          <w:rFonts w:ascii="Times New Roman" w:hAnsi="Times New Roman"/>
          <w:b/>
          <w:lang w:val="en"/>
        </w:rPr>
      </w:pPr>
    </w:p>
    <w:p w:rsidR="00C43F61" w:rsidRPr="00D31A6A" w:rsidRDefault="00C43F61" w:rsidP="00C43F61">
      <w:pPr>
        <w:rPr>
          <w:rFonts w:ascii="Times New Roman" w:hAnsi="Times New Roman"/>
          <w:lang w:val="en"/>
        </w:rPr>
      </w:pPr>
      <w:r w:rsidRPr="00D31A6A">
        <w:rPr>
          <w:rFonts w:ascii="Times New Roman" w:hAnsi="Times New Roman"/>
          <w:lang w:val="en"/>
        </w:rPr>
        <w:t>5. The right to appeal:</w:t>
      </w:r>
    </w:p>
    <w:p w:rsidR="00C43F61" w:rsidRPr="00C43F61" w:rsidRDefault="00C43F61" w:rsidP="00C43F61">
      <w:pPr>
        <w:rPr>
          <w:rFonts w:ascii="Times New Roman" w:hAnsi="Times New Roman"/>
          <w:b/>
          <w:lang w:val="en"/>
        </w:rPr>
      </w:pPr>
    </w:p>
    <w:p w:rsidR="00C43F61" w:rsidRPr="00C43F61" w:rsidRDefault="00C43F61" w:rsidP="00C43F61">
      <w:pPr>
        <w:rPr>
          <w:rFonts w:ascii="Times New Roman" w:hAnsi="Times New Roman"/>
          <w:lang w:val="en-US"/>
        </w:rPr>
      </w:pPr>
      <w:r w:rsidRPr="00C43F61">
        <w:rPr>
          <w:rFonts w:ascii="Times New Roman" w:hAnsi="Times New Roman"/>
          <w:lang w:val="en"/>
        </w:rPr>
        <w:t>Applicants who believe that their application has not been evaluated correctly by the relevant Commission of the Ministry, can exercise the right of Appeal within 30 days, in accordance with the Law on General Administrative Procedure (LPPA). The complaint is addressed to the Ministry of Economy as the authority that published the Call.</w:t>
      </w:r>
    </w:p>
    <w:p w:rsidR="008C2E0D" w:rsidRPr="00C43F61" w:rsidRDefault="008C2E0D" w:rsidP="008C2E0D">
      <w:pPr>
        <w:rPr>
          <w:rFonts w:ascii="Times New Roman" w:hAnsi="Times New Roman"/>
          <w:lang w:val="en"/>
        </w:rPr>
      </w:pPr>
    </w:p>
    <w:p w:rsidR="00C43F61" w:rsidRDefault="00C43F61" w:rsidP="008C2E0D">
      <w:pPr>
        <w:rPr>
          <w:rFonts w:ascii="Times New Roman" w:hAnsi="Times New Roman"/>
          <w:lang w:val="en"/>
        </w:rPr>
      </w:pPr>
    </w:p>
    <w:p w:rsidR="00C43F61" w:rsidRPr="00C43F61" w:rsidRDefault="00C43F61" w:rsidP="00C43F61">
      <w:pPr>
        <w:rPr>
          <w:rFonts w:ascii="Times New Roman" w:hAnsi="Times New Roman"/>
          <w:lang w:val="en"/>
        </w:rPr>
      </w:pPr>
      <w:r w:rsidRPr="00C43F61">
        <w:rPr>
          <w:rFonts w:ascii="Times New Roman" w:hAnsi="Times New Roman"/>
          <w:lang w:val="en"/>
        </w:rPr>
        <w:t>6. Additional information:</w:t>
      </w:r>
    </w:p>
    <w:p w:rsidR="00C43F61" w:rsidRPr="00C43F61" w:rsidRDefault="00C43F61" w:rsidP="00C43F61">
      <w:pPr>
        <w:rPr>
          <w:rFonts w:ascii="Times New Roman" w:hAnsi="Times New Roman"/>
          <w:lang w:val="en"/>
        </w:rPr>
      </w:pPr>
    </w:p>
    <w:p w:rsidR="00C43F61" w:rsidRPr="00C43F61" w:rsidRDefault="00C43F61" w:rsidP="00C43F61">
      <w:pPr>
        <w:rPr>
          <w:rFonts w:ascii="Times New Roman" w:hAnsi="Times New Roman"/>
          <w:lang w:val="en"/>
        </w:rPr>
      </w:pPr>
      <w:r w:rsidRPr="00C43F61">
        <w:rPr>
          <w:rFonts w:ascii="Times New Roman" w:hAnsi="Times New Roman"/>
          <w:lang w:val="en"/>
        </w:rPr>
        <w:t xml:space="preserve">The documentation required for the application can be sent to the email address: </w:t>
      </w:r>
      <w:hyperlink r:id="rId7" w:history="1">
        <w:r w:rsidR="00D12D5E" w:rsidRPr="00BF5530">
          <w:rPr>
            <w:rStyle w:val="Hyperlink"/>
            <w:rFonts w:ascii="Times New Roman" w:hAnsi="Times New Roman"/>
            <w:lang w:val="en"/>
          </w:rPr>
          <w:t>ajshe.jashari@rks-gov.net</w:t>
        </w:r>
      </w:hyperlink>
      <w:r w:rsidR="00D12D5E">
        <w:rPr>
          <w:rFonts w:ascii="Times New Roman" w:hAnsi="Times New Roman"/>
          <w:lang w:val="en"/>
        </w:rPr>
        <w:t xml:space="preserve"> </w:t>
      </w:r>
      <w:r w:rsidRPr="00C43F61">
        <w:rPr>
          <w:rFonts w:ascii="Times New Roman" w:hAnsi="Times New Roman"/>
          <w:lang w:val="en"/>
        </w:rPr>
        <w:t>; or even by submitting a physical copy to the address: Ministry of Economy, "Mother Teresa" square, no. 36, Pristina, Archive of the Ministry of E</w:t>
      </w:r>
      <w:r w:rsidR="00D12D5E">
        <w:rPr>
          <w:rFonts w:ascii="Times New Roman" w:hAnsi="Times New Roman"/>
          <w:lang w:val="en"/>
        </w:rPr>
        <w:t>conomy</w:t>
      </w:r>
      <w:bookmarkStart w:id="0" w:name="_GoBack"/>
      <w:bookmarkEnd w:id="0"/>
      <w:r w:rsidRPr="00C43F61">
        <w:rPr>
          <w:rFonts w:ascii="Times New Roman" w:hAnsi="Times New Roman"/>
          <w:lang w:val="en"/>
        </w:rPr>
        <w:t>.</w:t>
      </w:r>
    </w:p>
    <w:p w:rsidR="00C43F61" w:rsidRPr="00C43F61" w:rsidRDefault="00C43F61" w:rsidP="00C43F61">
      <w:pPr>
        <w:rPr>
          <w:rFonts w:ascii="Times New Roman" w:hAnsi="Times New Roman"/>
          <w:lang w:val="en"/>
        </w:rPr>
      </w:pPr>
      <w:r w:rsidRPr="00C43F61">
        <w:rPr>
          <w:rFonts w:ascii="Times New Roman" w:hAnsi="Times New Roman"/>
          <w:lang w:val="en"/>
        </w:rPr>
        <w:t xml:space="preserve">The application is open from </w:t>
      </w:r>
      <w:r w:rsidR="00C22628">
        <w:rPr>
          <w:rFonts w:ascii="Times New Roman" w:hAnsi="Times New Roman"/>
          <w:lang w:val="en"/>
        </w:rPr>
        <w:t>10</w:t>
      </w:r>
      <w:r w:rsidRPr="00C43F61">
        <w:rPr>
          <w:rFonts w:ascii="Times New Roman" w:hAnsi="Times New Roman"/>
          <w:lang w:val="en"/>
        </w:rPr>
        <w:t>/</w:t>
      </w:r>
      <w:r w:rsidR="00C22628">
        <w:rPr>
          <w:rFonts w:ascii="Times New Roman" w:hAnsi="Times New Roman"/>
          <w:lang w:val="en"/>
        </w:rPr>
        <w:t>05</w:t>
      </w:r>
      <w:r w:rsidRPr="00C43F61">
        <w:rPr>
          <w:rFonts w:ascii="Times New Roman" w:hAnsi="Times New Roman"/>
          <w:lang w:val="en"/>
        </w:rPr>
        <w:t xml:space="preserve">/2023 to </w:t>
      </w:r>
      <w:r w:rsidR="00C22628">
        <w:rPr>
          <w:rFonts w:ascii="Times New Roman" w:hAnsi="Times New Roman"/>
          <w:lang w:val="en"/>
        </w:rPr>
        <w:t>12</w:t>
      </w:r>
      <w:r w:rsidRPr="00C43F61">
        <w:rPr>
          <w:rFonts w:ascii="Times New Roman" w:hAnsi="Times New Roman"/>
          <w:lang w:val="en"/>
        </w:rPr>
        <w:t>/</w:t>
      </w:r>
      <w:r w:rsidR="00C22628">
        <w:rPr>
          <w:rFonts w:ascii="Times New Roman" w:hAnsi="Times New Roman"/>
          <w:lang w:val="en"/>
        </w:rPr>
        <w:t>06</w:t>
      </w:r>
      <w:r w:rsidRPr="00C43F61">
        <w:rPr>
          <w:rFonts w:ascii="Times New Roman" w:hAnsi="Times New Roman"/>
          <w:lang w:val="en"/>
        </w:rPr>
        <w:t>/2023.</w:t>
      </w:r>
    </w:p>
    <w:p w:rsidR="00C43F61" w:rsidRPr="00C43F61" w:rsidRDefault="00C43F61" w:rsidP="00C43F61">
      <w:pPr>
        <w:rPr>
          <w:rFonts w:ascii="Times New Roman" w:hAnsi="Times New Roman"/>
          <w:lang w:val="en-US"/>
        </w:rPr>
      </w:pPr>
      <w:r w:rsidRPr="00C43F61">
        <w:rPr>
          <w:rFonts w:ascii="Times New Roman" w:hAnsi="Times New Roman"/>
          <w:lang w:val="en"/>
        </w:rPr>
        <w:t xml:space="preserve">For additional information you can call </w:t>
      </w:r>
      <w:r>
        <w:rPr>
          <w:rFonts w:ascii="Times New Roman" w:hAnsi="Times New Roman"/>
          <w:lang w:val="en"/>
        </w:rPr>
        <w:t xml:space="preserve">in </w:t>
      </w:r>
      <w:r w:rsidRPr="00C43F61">
        <w:rPr>
          <w:rFonts w:ascii="Times New Roman" w:hAnsi="Times New Roman"/>
          <w:lang w:val="en"/>
        </w:rPr>
        <w:t>the phone number + 383 (0) 38 200 215 85, from 08:00 - 16:00 from Monday to Friday.</w:t>
      </w:r>
    </w:p>
    <w:p w:rsidR="00C43F61" w:rsidRDefault="00C43F61" w:rsidP="008C2E0D">
      <w:pPr>
        <w:rPr>
          <w:rFonts w:ascii="Times New Roman" w:hAnsi="Times New Roman"/>
          <w:lang w:val="en"/>
        </w:rPr>
      </w:pPr>
    </w:p>
    <w:sectPr w:rsidR="00C43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EAB"/>
    <w:multiLevelType w:val="multilevel"/>
    <w:tmpl w:val="6CE273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5D"/>
    <w:rsid w:val="000123E9"/>
    <w:rsid w:val="00042156"/>
    <w:rsid w:val="00171850"/>
    <w:rsid w:val="001B6845"/>
    <w:rsid w:val="001B79D8"/>
    <w:rsid w:val="001F5902"/>
    <w:rsid w:val="0021045F"/>
    <w:rsid w:val="0021159C"/>
    <w:rsid w:val="00224F5D"/>
    <w:rsid w:val="00225642"/>
    <w:rsid w:val="002467C6"/>
    <w:rsid w:val="00260386"/>
    <w:rsid w:val="002C0966"/>
    <w:rsid w:val="00303C92"/>
    <w:rsid w:val="003812AD"/>
    <w:rsid w:val="00431D67"/>
    <w:rsid w:val="0043605F"/>
    <w:rsid w:val="005202A4"/>
    <w:rsid w:val="00672DD1"/>
    <w:rsid w:val="0069166F"/>
    <w:rsid w:val="006A1392"/>
    <w:rsid w:val="007430A7"/>
    <w:rsid w:val="007C2798"/>
    <w:rsid w:val="008C2E0D"/>
    <w:rsid w:val="00965F47"/>
    <w:rsid w:val="00970098"/>
    <w:rsid w:val="009B1961"/>
    <w:rsid w:val="00AC7872"/>
    <w:rsid w:val="00BA6C8E"/>
    <w:rsid w:val="00C22628"/>
    <w:rsid w:val="00C43F61"/>
    <w:rsid w:val="00D12D5E"/>
    <w:rsid w:val="00D31A6A"/>
    <w:rsid w:val="00D331E3"/>
    <w:rsid w:val="00DE156B"/>
    <w:rsid w:val="00E21F35"/>
    <w:rsid w:val="00F513E0"/>
    <w:rsid w:val="00FA59A6"/>
    <w:rsid w:val="00FB0857"/>
    <w:rsid w:val="00FD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D913"/>
  <w15:chartTrackingRefBased/>
  <w15:docId w15:val="{5ED335FC-142A-4B04-8C61-9E2D4965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F5D"/>
    <w:pPr>
      <w:spacing w:after="0" w:line="240" w:lineRule="auto"/>
    </w:pPr>
    <w:rPr>
      <w:rFonts w:ascii="Cambria" w:eastAsia="MS Mincho" w:hAnsi="Cambria" w:cs="Times New Roman"/>
      <w:noProof/>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24F5D"/>
    <w:pPr>
      <w:spacing w:after="200" w:line="276" w:lineRule="auto"/>
      <w:jc w:val="center"/>
    </w:pPr>
    <w:rPr>
      <w:b/>
      <w:bCs/>
      <w:noProof w:val="0"/>
      <w:kern w:val="28"/>
      <w:sz w:val="32"/>
      <w:szCs w:val="32"/>
      <w:lang w:eastAsia="ko-KR"/>
    </w:rPr>
  </w:style>
  <w:style w:type="character" w:customStyle="1" w:styleId="TitleChar">
    <w:name w:val="Title Char"/>
    <w:basedOn w:val="DefaultParagraphFont"/>
    <w:link w:val="Title"/>
    <w:uiPriority w:val="99"/>
    <w:rsid w:val="00224F5D"/>
    <w:rPr>
      <w:rFonts w:ascii="Cambria" w:eastAsia="MS Mincho" w:hAnsi="Cambria" w:cs="Times New Roman"/>
      <w:b/>
      <w:bCs/>
      <w:kern w:val="28"/>
      <w:sz w:val="32"/>
      <w:szCs w:val="32"/>
      <w:lang w:val="sq-AL" w:eastAsia="ko-KR"/>
    </w:rPr>
  </w:style>
  <w:style w:type="paragraph" w:styleId="ListParagraph">
    <w:name w:val="List Paragraph"/>
    <w:basedOn w:val="Normal"/>
    <w:uiPriority w:val="34"/>
    <w:qFormat/>
    <w:rsid w:val="00224F5D"/>
    <w:pPr>
      <w:ind w:left="720"/>
      <w:contextualSpacing/>
    </w:pPr>
  </w:style>
  <w:style w:type="paragraph" w:styleId="NoSpacing">
    <w:name w:val="No Spacing"/>
    <w:uiPriority w:val="1"/>
    <w:qFormat/>
    <w:rsid w:val="00224F5D"/>
    <w:pPr>
      <w:spacing w:after="0" w:line="240" w:lineRule="auto"/>
    </w:pPr>
  </w:style>
  <w:style w:type="character" w:styleId="Hyperlink">
    <w:name w:val="Hyperlink"/>
    <w:basedOn w:val="DefaultParagraphFont"/>
    <w:uiPriority w:val="99"/>
    <w:unhideWhenUsed/>
    <w:rsid w:val="00224F5D"/>
    <w:rPr>
      <w:color w:val="0563C1" w:themeColor="hyperlink"/>
      <w:u w:val="single"/>
    </w:rPr>
  </w:style>
  <w:style w:type="paragraph" w:styleId="HTMLPreformatted">
    <w:name w:val="HTML Preformatted"/>
    <w:basedOn w:val="Normal"/>
    <w:link w:val="HTMLPreformattedChar"/>
    <w:uiPriority w:val="99"/>
    <w:semiHidden/>
    <w:unhideWhenUsed/>
    <w:rsid w:val="008C2E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C2E0D"/>
    <w:rPr>
      <w:rFonts w:ascii="Consolas" w:eastAsia="MS Mincho" w:hAnsi="Consolas" w:cs="Consolas"/>
      <w:noProof/>
      <w:sz w:val="20"/>
      <w:szCs w:val="20"/>
      <w:lang w:val="sq-AL"/>
    </w:rPr>
  </w:style>
  <w:style w:type="character" w:styleId="UnresolvedMention">
    <w:name w:val="Unresolved Mention"/>
    <w:basedOn w:val="DefaultParagraphFont"/>
    <w:uiPriority w:val="99"/>
    <w:semiHidden/>
    <w:unhideWhenUsed/>
    <w:rsid w:val="00D12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6258">
      <w:bodyDiv w:val="1"/>
      <w:marLeft w:val="0"/>
      <w:marRight w:val="0"/>
      <w:marTop w:val="0"/>
      <w:marBottom w:val="0"/>
      <w:divBdr>
        <w:top w:val="none" w:sz="0" w:space="0" w:color="auto"/>
        <w:left w:val="none" w:sz="0" w:space="0" w:color="auto"/>
        <w:bottom w:val="none" w:sz="0" w:space="0" w:color="auto"/>
        <w:right w:val="none" w:sz="0" w:space="0" w:color="auto"/>
      </w:divBdr>
    </w:div>
    <w:div w:id="185682930">
      <w:bodyDiv w:val="1"/>
      <w:marLeft w:val="0"/>
      <w:marRight w:val="0"/>
      <w:marTop w:val="0"/>
      <w:marBottom w:val="0"/>
      <w:divBdr>
        <w:top w:val="none" w:sz="0" w:space="0" w:color="auto"/>
        <w:left w:val="none" w:sz="0" w:space="0" w:color="auto"/>
        <w:bottom w:val="none" w:sz="0" w:space="0" w:color="auto"/>
        <w:right w:val="none" w:sz="0" w:space="0" w:color="auto"/>
      </w:divBdr>
    </w:div>
    <w:div w:id="321274555">
      <w:bodyDiv w:val="1"/>
      <w:marLeft w:val="0"/>
      <w:marRight w:val="0"/>
      <w:marTop w:val="0"/>
      <w:marBottom w:val="0"/>
      <w:divBdr>
        <w:top w:val="none" w:sz="0" w:space="0" w:color="auto"/>
        <w:left w:val="none" w:sz="0" w:space="0" w:color="auto"/>
        <w:bottom w:val="none" w:sz="0" w:space="0" w:color="auto"/>
        <w:right w:val="none" w:sz="0" w:space="0" w:color="auto"/>
      </w:divBdr>
    </w:div>
    <w:div w:id="434982716">
      <w:bodyDiv w:val="1"/>
      <w:marLeft w:val="0"/>
      <w:marRight w:val="0"/>
      <w:marTop w:val="0"/>
      <w:marBottom w:val="0"/>
      <w:divBdr>
        <w:top w:val="none" w:sz="0" w:space="0" w:color="auto"/>
        <w:left w:val="none" w:sz="0" w:space="0" w:color="auto"/>
        <w:bottom w:val="none" w:sz="0" w:space="0" w:color="auto"/>
        <w:right w:val="none" w:sz="0" w:space="0" w:color="auto"/>
      </w:divBdr>
    </w:div>
    <w:div w:id="474178510">
      <w:bodyDiv w:val="1"/>
      <w:marLeft w:val="0"/>
      <w:marRight w:val="0"/>
      <w:marTop w:val="0"/>
      <w:marBottom w:val="0"/>
      <w:divBdr>
        <w:top w:val="none" w:sz="0" w:space="0" w:color="auto"/>
        <w:left w:val="none" w:sz="0" w:space="0" w:color="auto"/>
        <w:bottom w:val="none" w:sz="0" w:space="0" w:color="auto"/>
        <w:right w:val="none" w:sz="0" w:space="0" w:color="auto"/>
      </w:divBdr>
    </w:div>
    <w:div w:id="611329502">
      <w:bodyDiv w:val="1"/>
      <w:marLeft w:val="0"/>
      <w:marRight w:val="0"/>
      <w:marTop w:val="0"/>
      <w:marBottom w:val="0"/>
      <w:divBdr>
        <w:top w:val="none" w:sz="0" w:space="0" w:color="auto"/>
        <w:left w:val="none" w:sz="0" w:space="0" w:color="auto"/>
        <w:bottom w:val="none" w:sz="0" w:space="0" w:color="auto"/>
        <w:right w:val="none" w:sz="0" w:space="0" w:color="auto"/>
      </w:divBdr>
    </w:div>
    <w:div w:id="638850369">
      <w:bodyDiv w:val="1"/>
      <w:marLeft w:val="0"/>
      <w:marRight w:val="0"/>
      <w:marTop w:val="0"/>
      <w:marBottom w:val="0"/>
      <w:divBdr>
        <w:top w:val="none" w:sz="0" w:space="0" w:color="auto"/>
        <w:left w:val="none" w:sz="0" w:space="0" w:color="auto"/>
        <w:bottom w:val="none" w:sz="0" w:space="0" w:color="auto"/>
        <w:right w:val="none" w:sz="0" w:space="0" w:color="auto"/>
      </w:divBdr>
    </w:div>
    <w:div w:id="839538995">
      <w:bodyDiv w:val="1"/>
      <w:marLeft w:val="0"/>
      <w:marRight w:val="0"/>
      <w:marTop w:val="0"/>
      <w:marBottom w:val="0"/>
      <w:divBdr>
        <w:top w:val="none" w:sz="0" w:space="0" w:color="auto"/>
        <w:left w:val="none" w:sz="0" w:space="0" w:color="auto"/>
        <w:bottom w:val="none" w:sz="0" w:space="0" w:color="auto"/>
        <w:right w:val="none" w:sz="0" w:space="0" w:color="auto"/>
      </w:divBdr>
    </w:div>
    <w:div w:id="899172744">
      <w:bodyDiv w:val="1"/>
      <w:marLeft w:val="0"/>
      <w:marRight w:val="0"/>
      <w:marTop w:val="0"/>
      <w:marBottom w:val="0"/>
      <w:divBdr>
        <w:top w:val="none" w:sz="0" w:space="0" w:color="auto"/>
        <w:left w:val="none" w:sz="0" w:space="0" w:color="auto"/>
        <w:bottom w:val="none" w:sz="0" w:space="0" w:color="auto"/>
        <w:right w:val="none" w:sz="0" w:space="0" w:color="auto"/>
      </w:divBdr>
    </w:div>
    <w:div w:id="1002969593">
      <w:bodyDiv w:val="1"/>
      <w:marLeft w:val="0"/>
      <w:marRight w:val="0"/>
      <w:marTop w:val="0"/>
      <w:marBottom w:val="0"/>
      <w:divBdr>
        <w:top w:val="none" w:sz="0" w:space="0" w:color="auto"/>
        <w:left w:val="none" w:sz="0" w:space="0" w:color="auto"/>
        <w:bottom w:val="none" w:sz="0" w:space="0" w:color="auto"/>
        <w:right w:val="none" w:sz="0" w:space="0" w:color="auto"/>
      </w:divBdr>
    </w:div>
    <w:div w:id="1177232901">
      <w:bodyDiv w:val="1"/>
      <w:marLeft w:val="0"/>
      <w:marRight w:val="0"/>
      <w:marTop w:val="0"/>
      <w:marBottom w:val="0"/>
      <w:divBdr>
        <w:top w:val="none" w:sz="0" w:space="0" w:color="auto"/>
        <w:left w:val="none" w:sz="0" w:space="0" w:color="auto"/>
        <w:bottom w:val="none" w:sz="0" w:space="0" w:color="auto"/>
        <w:right w:val="none" w:sz="0" w:space="0" w:color="auto"/>
      </w:divBdr>
    </w:div>
    <w:div w:id="1461846717">
      <w:bodyDiv w:val="1"/>
      <w:marLeft w:val="0"/>
      <w:marRight w:val="0"/>
      <w:marTop w:val="0"/>
      <w:marBottom w:val="0"/>
      <w:divBdr>
        <w:top w:val="none" w:sz="0" w:space="0" w:color="auto"/>
        <w:left w:val="none" w:sz="0" w:space="0" w:color="auto"/>
        <w:bottom w:val="none" w:sz="0" w:space="0" w:color="auto"/>
        <w:right w:val="none" w:sz="0" w:space="0" w:color="auto"/>
      </w:divBdr>
    </w:div>
    <w:div w:id="1562448339">
      <w:bodyDiv w:val="1"/>
      <w:marLeft w:val="0"/>
      <w:marRight w:val="0"/>
      <w:marTop w:val="0"/>
      <w:marBottom w:val="0"/>
      <w:divBdr>
        <w:top w:val="none" w:sz="0" w:space="0" w:color="auto"/>
        <w:left w:val="none" w:sz="0" w:space="0" w:color="auto"/>
        <w:bottom w:val="none" w:sz="0" w:space="0" w:color="auto"/>
        <w:right w:val="none" w:sz="0" w:space="0" w:color="auto"/>
      </w:divBdr>
    </w:div>
    <w:div w:id="1594628138">
      <w:bodyDiv w:val="1"/>
      <w:marLeft w:val="0"/>
      <w:marRight w:val="0"/>
      <w:marTop w:val="0"/>
      <w:marBottom w:val="0"/>
      <w:divBdr>
        <w:top w:val="none" w:sz="0" w:space="0" w:color="auto"/>
        <w:left w:val="none" w:sz="0" w:space="0" w:color="auto"/>
        <w:bottom w:val="none" w:sz="0" w:space="0" w:color="auto"/>
        <w:right w:val="none" w:sz="0" w:space="0" w:color="auto"/>
      </w:divBdr>
      <w:divsChild>
        <w:div w:id="676536992">
          <w:marLeft w:val="0"/>
          <w:marRight w:val="0"/>
          <w:marTop w:val="0"/>
          <w:marBottom w:val="0"/>
          <w:divBdr>
            <w:top w:val="none" w:sz="0" w:space="0" w:color="auto"/>
            <w:left w:val="none" w:sz="0" w:space="0" w:color="auto"/>
            <w:bottom w:val="none" w:sz="0" w:space="0" w:color="auto"/>
            <w:right w:val="none" w:sz="0" w:space="0" w:color="auto"/>
          </w:divBdr>
          <w:divsChild>
            <w:div w:id="1266646309">
              <w:marLeft w:val="0"/>
              <w:marRight w:val="0"/>
              <w:marTop w:val="0"/>
              <w:marBottom w:val="0"/>
              <w:divBdr>
                <w:top w:val="none" w:sz="0" w:space="0" w:color="auto"/>
                <w:left w:val="none" w:sz="0" w:space="0" w:color="auto"/>
                <w:bottom w:val="none" w:sz="0" w:space="0" w:color="auto"/>
                <w:right w:val="none" w:sz="0" w:space="0" w:color="auto"/>
              </w:divBdr>
              <w:divsChild>
                <w:div w:id="471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6861">
          <w:marLeft w:val="0"/>
          <w:marRight w:val="0"/>
          <w:marTop w:val="0"/>
          <w:marBottom w:val="0"/>
          <w:divBdr>
            <w:top w:val="none" w:sz="0" w:space="0" w:color="auto"/>
            <w:left w:val="none" w:sz="0" w:space="0" w:color="auto"/>
            <w:bottom w:val="none" w:sz="0" w:space="0" w:color="auto"/>
            <w:right w:val="none" w:sz="0" w:space="0" w:color="auto"/>
          </w:divBdr>
          <w:divsChild>
            <w:div w:id="734283745">
              <w:marLeft w:val="0"/>
              <w:marRight w:val="0"/>
              <w:marTop w:val="0"/>
              <w:marBottom w:val="0"/>
              <w:divBdr>
                <w:top w:val="none" w:sz="0" w:space="0" w:color="auto"/>
                <w:left w:val="none" w:sz="0" w:space="0" w:color="auto"/>
                <w:bottom w:val="none" w:sz="0" w:space="0" w:color="auto"/>
                <w:right w:val="none" w:sz="0" w:space="0" w:color="auto"/>
              </w:divBdr>
              <w:divsChild>
                <w:div w:id="1112825260">
                  <w:marLeft w:val="0"/>
                  <w:marRight w:val="0"/>
                  <w:marTop w:val="0"/>
                  <w:marBottom w:val="0"/>
                  <w:divBdr>
                    <w:top w:val="none" w:sz="0" w:space="0" w:color="auto"/>
                    <w:left w:val="none" w:sz="0" w:space="0" w:color="auto"/>
                    <w:bottom w:val="none" w:sz="0" w:space="0" w:color="auto"/>
                    <w:right w:val="none" w:sz="0" w:space="0" w:color="auto"/>
                  </w:divBdr>
                  <w:divsChild>
                    <w:div w:id="1474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jshe.jashar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FE4D-569E-486C-90A4-0CC11B7D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Marcelë Ponosheci</dc:creator>
  <cp:keywords/>
  <dc:description/>
  <cp:lastModifiedBy>Diana Gjonbalaj</cp:lastModifiedBy>
  <cp:revision>12</cp:revision>
  <dcterms:created xsi:type="dcterms:W3CDTF">2023-05-05T07:48:00Z</dcterms:created>
  <dcterms:modified xsi:type="dcterms:W3CDTF">2023-06-19T09:11:00Z</dcterms:modified>
</cp:coreProperties>
</file>