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990" w:rsidRPr="00914084" w:rsidRDefault="00DA4990" w:rsidP="00122CF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4084" w:rsidRDefault="00914084" w:rsidP="00122CF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sr-Latn-CS"/>
        </w:rPr>
      </w:pPr>
      <w:r w:rsidRPr="00914084">
        <w:rPr>
          <w:rFonts w:ascii="Times New Roman" w:hAnsi="Times New Roman" w:cs="Times New Roman"/>
          <w:b/>
          <w:sz w:val="44"/>
          <w:szCs w:val="44"/>
          <w:lang w:val="sr-Latn-CS"/>
        </w:rPr>
        <w:t xml:space="preserve">6. godišnji izveštaj </w:t>
      </w:r>
    </w:p>
    <w:p w:rsidR="00122CFD" w:rsidRPr="00914084" w:rsidRDefault="00914084" w:rsidP="00122CF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sr-Latn-CS"/>
        </w:rPr>
      </w:pPr>
      <w:r w:rsidRPr="00914084">
        <w:rPr>
          <w:rFonts w:ascii="Times New Roman" w:hAnsi="Times New Roman" w:cs="Times New Roman"/>
          <w:b/>
          <w:sz w:val="44"/>
          <w:szCs w:val="44"/>
          <w:lang w:val="sr-Latn-CS"/>
        </w:rPr>
        <w:t>prema Direktivi o energetskoj efikasnosti</w:t>
      </w:r>
    </w:p>
    <w:p w:rsidR="00122CFD" w:rsidRPr="009309D2" w:rsidRDefault="00122CFD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122CFD" w:rsidRDefault="00122CFD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3E3F20" w:rsidRDefault="003E3F20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122CFD" w:rsidRDefault="00122CFD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2F0CEC" w:rsidRDefault="002F0CEC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highlight w:val="lightGray"/>
          <w:lang w:val="en-GB"/>
        </w:rPr>
      </w:pPr>
    </w:p>
    <w:p w:rsidR="002F0CEC" w:rsidRDefault="002F0CEC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highlight w:val="lightGray"/>
          <w:lang w:val="en-GB"/>
        </w:rPr>
      </w:pPr>
    </w:p>
    <w:p w:rsidR="00122CFD" w:rsidRDefault="00FE512F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Kosovo</w:t>
      </w:r>
    </w:p>
    <w:p w:rsidR="002F0CEC" w:rsidRDefault="002F0CEC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2F0CEC" w:rsidRPr="00914084" w:rsidRDefault="00914084" w:rsidP="002F0CE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sr-Latn-CS"/>
        </w:rPr>
      </w:pPr>
      <w:r w:rsidRPr="00914084">
        <w:rPr>
          <w:rFonts w:ascii="Times New Roman" w:hAnsi="Times New Roman" w:cs="Times New Roman"/>
          <w:sz w:val="36"/>
          <w:szCs w:val="36"/>
          <w:lang w:val="sr-Latn-CS"/>
        </w:rPr>
        <w:t>Pripremi</w:t>
      </w:r>
      <w:r>
        <w:rPr>
          <w:rFonts w:ascii="Times New Roman" w:hAnsi="Times New Roman" w:cs="Times New Roman"/>
          <w:sz w:val="36"/>
          <w:szCs w:val="36"/>
          <w:lang w:val="sr-Latn-CS"/>
        </w:rPr>
        <w:t>la</w:t>
      </w:r>
      <w:r w:rsidRPr="00914084">
        <w:rPr>
          <w:rFonts w:ascii="Times New Roman" w:hAnsi="Times New Roman" w:cs="Times New Roman"/>
          <w:sz w:val="36"/>
          <w:szCs w:val="36"/>
          <w:lang w:val="sr-Latn-CS"/>
        </w:rPr>
        <w:t>: Kosovska agencija za energetsku efikasnost</w:t>
      </w:r>
    </w:p>
    <w:p w:rsidR="002F0CEC" w:rsidRDefault="002F0CEC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2F0CEC" w:rsidRDefault="002F0CEC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122CFD" w:rsidRDefault="00122CFD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3E3F20" w:rsidRDefault="003E3F20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3E3F20" w:rsidRDefault="003E3F20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3E3F20" w:rsidRDefault="003E3F20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3E3F20" w:rsidRDefault="003E3F20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122CFD" w:rsidRDefault="00122CFD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DA4990" w:rsidRDefault="00DA4990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DA4990" w:rsidRDefault="00DA4990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DA4990" w:rsidRDefault="00DA4990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2F0CEC" w:rsidRDefault="002F0CEC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2F0CEC" w:rsidRDefault="002F0CEC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2F0CEC" w:rsidRDefault="002F0CEC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2F0CEC" w:rsidRDefault="002F0CEC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2F0CEC" w:rsidRDefault="002F0CEC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2F0CEC" w:rsidRDefault="002F0CEC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2F0CEC" w:rsidRDefault="002F0CEC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122CFD" w:rsidRDefault="004B2881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4B2881">
        <w:rPr>
          <w:rFonts w:ascii="Times New Roman" w:hAnsi="Times New Roman" w:cs="Times New Roman"/>
          <w:sz w:val="36"/>
          <w:szCs w:val="36"/>
          <w:lang w:val="sr-Latn-CS"/>
        </w:rPr>
        <w:t>j</w:t>
      </w:r>
      <w:r w:rsidR="005D67FB" w:rsidRPr="004B2881">
        <w:rPr>
          <w:rFonts w:ascii="Times New Roman" w:hAnsi="Times New Roman" w:cs="Times New Roman"/>
          <w:sz w:val="36"/>
          <w:szCs w:val="36"/>
          <w:lang w:val="sr-Latn-CS"/>
        </w:rPr>
        <w:t>un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7B43A4" w:rsidRPr="00E751A5">
        <w:rPr>
          <w:rFonts w:ascii="Times New Roman" w:hAnsi="Times New Roman" w:cs="Times New Roman"/>
          <w:sz w:val="36"/>
          <w:szCs w:val="36"/>
          <w:lang w:val="en-GB"/>
        </w:rPr>
        <w:t>2022</w:t>
      </w:r>
    </w:p>
    <w:p w:rsidR="00122CFD" w:rsidRPr="009309D2" w:rsidRDefault="00122CFD" w:rsidP="00122C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B47509" w:rsidRDefault="00122CFD" w:rsidP="00933A4C">
      <w:pPr>
        <w:pStyle w:val="ti-art2"/>
        <w:shd w:val="clear" w:color="auto" w:fill="FFFFFF"/>
        <w:spacing w:before="0" w:after="0" w:line="240" w:lineRule="auto"/>
        <w:jc w:val="left"/>
        <w:rPr>
          <w:i w:val="0"/>
          <w:lang w:val="en-US"/>
        </w:rPr>
      </w:pPr>
      <w:r>
        <w:rPr>
          <w:color w:val="1F497D" w:themeColor="text2"/>
          <w:sz w:val="36"/>
          <w:szCs w:val="36"/>
          <w:lang w:val="en-GB"/>
        </w:rPr>
        <w:br w:type="page"/>
      </w:r>
    </w:p>
    <w:p w:rsidR="00070BEB" w:rsidRDefault="00070BEB" w:rsidP="00131602">
      <w:pPr>
        <w:shd w:val="clear" w:color="auto" w:fill="FFFFFF"/>
        <w:spacing w:after="0" w:line="240" w:lineRule="auto"/>
        <w:jc w:val="both"/>
        <w:rPr>
          <w:rFonts w:cstheme="minorHAnsi"/>
          <w:iCs/>
          <w:sz w:val="24"/>
          <w:szCs w:val="24"/>
          <w:lang w:val="sr-Latn-CS"/>
        </w:rPr>
      </w:pPr>
    </w:p>
    <w:p w:rsidR="00131602" w:rsidRPr="004561A0" w:rsidRDefault="004B2881" w:rsidP="00131602">
      <w:pPr>
        <w:shd w:val="clear" w:color="auto" w:fill="FFFFFF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  <w:r w:rsidRPr="004B2881">
        <w:rPr>
          <w:rFonts w:cstheme="minorHAnsi"/>
          <w:iCs/>
          <w:sz w:val="24"/>
          <w:szCs w:val="24"/>
          <w:lang w:val="sr-Latn-CS"/>
        </w:rPr>
        <w:t>Ovo je 6. godišnji izveštaj prema Direktivi o energetskoj efikasnosti koji je pripremilo Kosovo, na osnovu šablona koji je predložio Sekretarijat Energetske zajednice i koji je u potpunosti u skladu sa zahtevima Direktiv</w:t>
      </w:r>
      <w:r w:rsidR="000E4200">
        <w:rPr>
          <w:rFonts w:cstheme="minorHAnsi"/>
          <w:iCs/>
          <w:sz w:val="24"/>
          <w:szCs w:val="24"/>
          <w:lang w:val="sr-Latn-CS"/>
        </w:rPr>
        <w:t xml:space="preserve">e o energetskoj efikasnosti - </w:t>
      </w:r>
      <w:r w:rsidRPr="004B2881">
        <w:rPr>
          <w:rFonts w:cstheme="minorHAnsi"/>
          <w:iCs/>
          <w:sz w:val="24"/>
          <w:szCs w:val="24"/>
          <w:lang w:val="sr-Latn-CS"/>
        </w:rPr>
        <w:t>D</w:t>
      </w:r>
      <w:r w:rsidR="000E4200">
        <w:rPr>
          <w:rFonts w:cstheme="minorHAnsi"/>
          <w:iCs/>
          <w:sz w:val="24"/>
          <w:szCs w:val="24"/>
          <w:lang w:val="sr-Latn-CS"/>
        </w:rPr>
        <w:t>EE</w:t>
      </w:r>
      <w:r w:rsidRPr="004B2881">
        <w:rPr>
          <w:rFonts w:cstheme="minorHAnsi"/>
          <w:iCs/>
          <w:sz w:val="24"/>
          <w:szCs w:val="24"/>
          <w:lang w:val="sr-Latn-CS"/>
        </w:rPr>
        <w:t xml:space="preserve"> (2012/27/EU). Objašnjenja za sve brojeve date u sledećoj tabeli su data u nastavku, uključujući izvore informacija</w:t>
      </w:r>
      <w:r w:rsidR="00131602" w:rsidRPr="004561A0">
        <w:rPr>
          <w:rFonts w:cstheme="minorHAnsi"/>
          <w:iCs/>
          <w:sz w:val="24"/>
          <w:szCs w:val="24"/>
          <w:lang w:val="en-US"/>
        </w:rPr>
        <w:t>.</w:t>
      </w:r>
    </w:p>
    <w:p w:rsidR="00E246A9" w:rsidRPr="009309D2" w:rsidRDefault="00E246A9" w:rsidP="00975878">
      <w:pPr>
        <w:rPr>
          <w:i/>
          <w:color w:val="0070C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638"/>
        <w:gridCol w:w="1196"/>
      </w:tblGrid>
      <w:tr w:rsidR="00900C3A" w:rsidRPr="009309D2" w:rsidTr="00426C40">
        <w:trPr>
          <w:trHeight w:val="1070"/>
          <w:tblHeader/>
        </w:trPr>
        <w:tc>
          <w:tcPr>
            <w:tcW w:w="6408" w:type="dxa"/>
            <w:shd w:val="clear" w:color="auto" w:fill="C6D9F1" w:themeFill="text2" w:themeFillTint="33"/>
            <w:vAlign w:val="center"/>
          </w:tcPr>
          <w:p w:rsidR="00900C3A" w:rsidRPr="004B2881" w:rsidRDefault="004B2881" w:rsidP="00B47509">
            <w:pPr>
              <w:rPr>
                <w:b/>
                <w:sz w:val="28"/>
                <w:szCs w:val="28"/>
                <w:lang w:val="sr-Latn-CS"/>
              </w:rPr>
            </w:pPr>
            <w:bookmarkStart w:id="0" w:name="_Hlk116983229"/>
            <w:r w:rsidRPr="004B2881">
              <w:rPr>
                <w:b/>
                <w:sz w:val="28"/>
                <w:szCs w:val="28"/>
                <w:lang w:val="sr-Latn-CS"/>
              </w:rPr>
              <w:t>Procena ključnih statistika i indikatora u 2020</w:t>
            </w:r>
          </w:p>
        </w:tc>
        <w:tc>
          <w:tcPr>
            <w:tcW w:w="1638" w:type="dxa"/>
            <w:shd w:val="clear" w:color="auto" w:fill="C6D9F1" w:themeFill="text2" w:themeFillTint="33"/>
            <w:vAlign w:val="center"/>
          </w:tcPr>
          <w:p w:rsidR="00900C3A" w:rsidRPr="004B2881" w:rsidRDefault="00900C3A" w:rsidP="004B2881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4B2881">
              <w:rPr>
                <w:b/>
                <w:sz w:val="28"/>
                <w:szCs w:val="28"/>
                <w:lang w:val="sr-Latn-CS"/>
              </w:rPr>
              <w:t>V</w:t>
            </w:r>
            <w:r w:rsidR="004B2881" w:rsidRPr="004B2881">
              <w:rPr>
                <w:b/>
                <w:sz w:val="28"/>
                <w:szCs w:val="28"/>
                <w:lang w:val="sr-Latn-CS"/>
              </w:rPr>
              <w:t>rednost</w:t>
            </w:r>
          </w:p>
        </w:tc>
        <w:tc>
          <w:tcPr>
            <w:tcW w:w="1196" w:type="dxa"/>
            <w:shd w:val="clear" w:color="auto" w:fill="C6D9F1" w:themeFill="text2" w:themeFillTint="33"/>
            <w:vAlign w:val="center"/>
          </w:tcPr>
          <w:p w:rsidR="00900C3A" w:rsidRPr="004B2881" w:rsidRDefault="004B2881" w:rsidP="00946C32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4B2881">
              <w:rPr>
                <w:b/>
                <w:sz w:val="28"/>
                <w:szCs w:val="28"/>
                <w:lang w:val="sr-Latn-CS"/>
              </w:rPr>
              <w:t>Jedinica</w:t>
            </w:r>
          </w:p>
        </w:tc>
      </w:tr>
      <w:tr w:rsidR="00900C3A" w:rsidRPr="009309D2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900C3A" w:rsidRPr="009309D2" w:rsidRDefault="004B2881" w:rsidP="00035929">
            <w:pPr>
              <w:rPr>
                <w:sz w:val="24"/>
                <w:szCs w:val="24"/>
                <w:lang w:val="en-GB"/>
              </w:rPr>
            </w:pPr>
            <w:r w:rsidRPr="004B2881">
              <w:rPr>
                <w:sz w:val="24"/>
                <w:szCs w:val="24"/>
                <w:lang w:val="sr-Latn-CS"/>
              </w:rPr>
              <w:t>Ukupna potrošnja primarne energije</w:t>
            </w:r>
            <w:r w:rsidRPr="004B2881">
              <w:rPr>
                <w:sz w:val="24"/>
                <w:szCs w:val="24"/>
                <w:lang w:val="en-GB"/>
              </w:rPr>
              <w:t xml:space="preserve"> </w:t>
            </w:r>
            <w:r w:rsidR="00490845" w:rsidRPr="009309D2">
              <w:rPr>
                <w:sz w:val="24"/>
                <w:szCs w:val="24"/>
                <w:lang w:val="en-GB"/>
              </w:rPr>
              <w:t>(</w:t>
            </w:r>
            <w:r w:rsidR="00035929" w:rsidRPr="009309D2">
              <w:rPr>
                <w:sz w:val="24"/>
                <w:szCs w:val="24"/>
                <w:lang w:val="en-GB"/>
              </w:rPr>
              <w:t>*</w:t>
            </w:r>
            <w:r w:rsidR="00490845" w:rsidRPr="009309D2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638" w:type="dxa"/>
            <w:vAlign w:val="center"/>
          </w:tcPr>
          <w:p w:rsidR="00900C3A" w:rsidRPr="009309D2" w:rsidRDefault="0039090F" w:rsidP="0039090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2734</w:t>
            </w:r>
          </w:p>
        </w:tc>
        <w:tc>
          <w:tcPr>
            <w:tcW w:w="1196" w:type="dxa"/>
            <w:vAlign w:val="center"/>
          </w:tcPr>
          <w:p w:rsidR="00900C3A" w:rsidRPr="009309D2" w:rsidRDefault="00975878" w:rsidP="00946C32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ktoe</w:t>
            </w:r>
            <w:proofErr w:type="spellEnd"/>
          </w:p>
        </w:tc>
      </w:tr>
      <w:tr w:rsidR="00900C3A" w:rsidRPr="009309D2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900C3A" w:rsidRPr="009309D2" w:rsidRDefault="007B60EB" w:rsidP="00035929">
            <w:pPr>
              <w:rPr>
                <w:sz w:val="24"/>
                <w:szCs w:val="24"/>
                <w:lang w:val="en-GB"/>
              </w:rPr>
            </w:pPr>
            <w:r w:rsidRPr="007B60EB">
              <w:rPr>
                <w:sz w:val="24"/>
                <w:szCs w:val="24"/>
                <w:lang w:val="sr-Latn-CS"/>
              </w:rPr>
              <w:t>Ukupna finalna potrošnja energije</w:t>
            </w:r>
            <w:r w:rsidRPr="007B60EB">
              <w:rPr>
                <w:sz w:val="24"/>
                <w:szCs w:val="24"/>
                <w:lang w:val="en-GB"/>
              </w:rPr>
              <w:t xml:space="preserve"> </w:t>
            </w:r>
            <w:r w:rsidR="00490845" w:rsidRPr="009309D2">
              <w:rPr>
                <w:sz w:val="24"/>
                <w:szCs w:val="24"/>
                <w:lang w:val="en-GB"/>
              </w:rPr>
              <w:t>(</w:t>
            </w:r>
            <w:r w:rsidR="002F6954" w:rsidRPr="009309D2">
              <w:rPr>
                <w:sz w:val="24"/>
                <w:szCs w:val="24"/>
                <w:lang w:val="en-GB"/>
              </w:rPr>
              <w:t>*</w:t>
            </w:r>
            <w:r w:rsidR="00490845" w:rsidRPr="009309D2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638" w:type="dxa"/>
            <w:vAlign w:val="center"/>
          </w:tcPr>
          <w:p w:rsidR="00900C3A" w:rsidRPr="009309D2" w:rsidRDefault="0039090F" w:rsidP="00946C3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1543</w:t>
            </w:r>
          </w:p>
        </w:tc>
        <w:tc>
          <w:tcPr>
            <w:tcW w:w="1196" w:type="dxa"/>
            <w:vAlign w:val="center"/>
          </w:tcPr>
          <w:p w:rsidR="00900C3A" w:rsidRPr="009309D2" w:rsidRDefault="00975878" w:rsidP="00946C32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ktoe</w:t>
            </w:r>
            <w:proofErr w:type="spellEnd"/>
          </w:p>
        </w:tc>
      </w:tr>
      <w:tr w:rsidR="00900C3A" w:rsidRPr="009309D2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900C3A" w:rsidRPr="009309D2" w:rsidRDefault="00406C1A" w:rsidP="002F6954">
            <w:pPr>
              <w:rPr>
                <w:sz w:val="24"/>
                <w:szCs w:val="24"/>
                <w:lang w:val="en-GB"/>
              </w:rPr>
            </w:pPr>
            <w:r w:rsidRPr="00406C1A">
              <w:rPr>
                <w:sz w:val="24"/>
                <w:szCs w:val="24"/>
                <w:lang w:val="sr-Latn-CS"/>
              </w:rPr>
              <w:t>Finalna potrošnja energije – Transport</w:t>
            </w:r>
            <w:r w:rsidRPr="00406C1A">
              <w:rPr>
                <w:sz w:val="24"/>
                <w:szCs w:val="24"/>
                <w:lang w:val="en-GB"/>
              </w:rPr>
              <w:t xml:space="preserve"> </w:t>
            </w:r>
            <w:r w:rsidR="00490845" w:rsidRPr="009309D2">
              <w:rPr>
                <w:sz w:val="24"/>
                <w:szCs w:val="24"/>
                <w:lang w:val="en-GB"/>
              </w:rPr>
              <w:t>(</w:t>
            </w:r>
            <w:r w:rsidR="002F6954" w:rsidRPr="009309D2">
              <w:rPr>
                <w:sz w:val="24"/>
                <w:szCs w:val="24"/>
                <w:lang w:val="en-GB"/>
              </w:rPr>
              <w:t>*</w:t>
            </w:r>
            <w:r w:rsidR="00490845" w:rsidRPr="009309D2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638" w:type="dxa"/>
            <w:vAlign w:val="center"/>
          </w:tcPr>
          <w:p w:rsidR="00900C3A" w:rsidRPr="009309D2" w:rsidRDefault="0039090F" w:rsidP="0039090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412.5</w:t>
            </w:r>
          </w:p>
        </w:tc>
        <w:tc>
          <w:tcPr>
            <w:tcW w:w="1196" w:type="dxa"/>
            <w:vAlign w:val="center"/>
          </w:tcPr>
          <w:p w:rsidR="00900C3A" w:rsidRPr="009309D2" w:rsidRDefault="00975878" w:rsidP="00946C32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ktoe</w:t>
            </w:r>
            <w:proofErr w:type="spellEnd"/>
          </w:p>
        </w:tc>
      </w:tr>
      <w:tr w:rsidR="00975878" w:rsidRPr="009309D2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975878" w:rsidRPr="009309D2" w:rsidRDefault="00201696" w:rsidP="00201696">
            <w:pPr>
              <w:rPr>
                <w:sz w:val="24"/>
                <w:szCs w:val="24"/>
                <w:lang w:val="en-GB"/>
              </w:rPr>
            </w:pPr>
            <w:r w:rsidRPr="00201696">
              <w:rPr>
                <w:sz w:val="24"/>
                <w:szCs w:val="24"/>
                <w:lang w:val="sr-Latn-CS"/>
              </w:rPr>
              <w:t xml:space="preserve">Finalna potrošnja energije </w:t>
            </w:r>
            <w:r w:rsidR="00975878" w:rsidRPr="00201696">
              <w:rPr>
                <w:sz w:val="24"/>
                <w:szCs w:val="24"/>
                <w:lang w:val="sr-Latn-CS"/>
              </w:rPr>
              <w:t>– Industr</w:t>
            </w:r>
            <w:r w:rsidRPr="00201696">
              <w:rPr>
                <w:sz w:val="24"/>
                <w:szCs w:val="24"/>
                <w:lang w:val="sr-Latn-CS"/>
              </w:rPr>
              <w:t>ija</w:t>
            </w:r>
            <w:r w:rsidR="00975878" w:rsidRPr="009309D2">
              <w:rPr>
                <w:sz w:val="24"/>
                <w:szCs w:val="24"/>
                <w:lang w:val="en-GB"/>
              </w:rPr>
              <w:t xml:space="preserve"> (*)</w:t>
            </w:r>
          </w:p>
        </w:tc>
        <w:tc>
          <w:tcPr>
            <w:tcW w:w="1638" w:type="dxa"/>
            <w:vAlign w:val="center"/>
          </w:tcPr>
          <w:p w:rsidR="00975878" w:rsidRPr="009309D2" w:rsidRDefault="0039090F" w:rsidP="0097587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319.9</w:t>
            </w:r>
          </w:p>
        </w:tc>
        <w:tc>
          <w:tcPr>
            <w:tcW w:w="1196" w:type="dxa"/>
            <w:vAlign w:val="center"/>
          </w:tcPr>
          <w:p w:rsidR="00975878" w:rsidRPr="009309D2" w:rsidRDefault="00426C40" w:rsidP="00975878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</w:t>
            </w:r>
            <w:r w:rsidR="00975878">
              <w:rPr>
                <w:sz w:val="24"/>
                <w:szCs w:val="24"/>
                <w:lang w:val="en-GB"/>
              </w:rPr>
              <w:t>toe</w:t>
            </w:r>
            <w:proofErr w:type="spellEnd"/>
          </w:p>
        </w:tc>
      </w:tr>
      <w:tr w:rsidR="00975878" w:rsidRPr="009309D2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975878" w:rsidRPr="009309D2" w:rsidRDefault="00201696" w:rsidP="00201696">
            <w:pPr>
              <w:rPr>
                <w:sz w:val="24"/>
                <w:szCs w:val="24"/>
                <w:lang w:val="en-GB"/>
              </w:rPr>
            </w:pPr>
            <w:r w:rsidRPr="00406C1A">
              <w:rPr>
                <w:sz w:val="24"/>
                <w:szCs w:val="24"/>
                <w:lang w:val="sr-Latn-CS"/>
              </w:rPr>
              <w:t xml:space="preserve">Finalna potrošnja energije </w:t>
            </w:r>
            <w:r w:rsidR="00975878" w:rsidRPr="009309D2">
              <w:rPr>
                <w:sz w:val="24"/>
                <w:szCs w:val="24"/>
                <w:lang w:val="en-GB"/>
              </w:rPr>
              <w:t xml:space="preserve">– </w:t>
            </w:r>
            <w:r w:rsidRPr="00201696">
              <w:rPr>
                <w:sz w:val="24"/>
                <w:szCs w:val="24"/>
                <w:lang w:val="sr-Latn-CS"/>
              </w:rPr>
              <w:t>Domaćinstva</w:t>
            </w:r>
            <w:r w:rsidR="00975878" w:rsidRPr="009309D2">
              <w:rPr>
                <w:sz w:val="24"/>
                <w:szCs w:val="24"/>
                <w:lang w:val="en-GB"/>
              </w:rPr>
              <w:t xml:space="preserve"> (*)</w:t>
            </w:r>
          </w:p>
        </w:tc>
        <w:tc>
          <w:tcPr>
            <w:tcW w:w="1638" w:type="dxa"/>
            <w:vAlign w:val="center"/>
          </w:tcPr>
          <w:p w:rsidR="00975878" w:rsidRPr="009309D2" w:rsidRDefault="0039090F" w:rsidP="0097587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628.1</w:t>
            </w:r>
          </w:p>
        </w:tc>
        <w:tc>
          <w:tcPr>
            <w:tcW w:w="1196" w:type="dxa"/>
            <w:vAlign w:val="center"/>
          </w:tcPr>
          <w:p w:rsidR="00975878" w:rsidRPr="009309D2" w:rsidRDefault="007C7C8F" w:rsidP="00975878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</w:t>
            </w:r>
            <w:r w:rsidR="00975878">
              <w:rPr>
                <w:sz w:val="24"/>
                <w:szCs w:val="24"/>
                <w:lang w:val="en-GB"/>
              </w:rPr>
              <w:t>toe</w:t>
            </w:r>
            <w:proofErr w:type="spellEnd"/>
          </w:p>
        </w:tc>
      </w:tr>
      <w:tr w:rsidR="00975878" w:rsidRPr="009309D2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975878" w:rsidRPr="009309D2" w:rsidRDefault="00201696" w:rsidP="00201696">
            <w:pPr>
              <w:rPr>
                <w:sz w:val="24"/>
                <w:szCs w:val="24"/>
                <w:lang w:val="en-GB"/>
              </w:rPr>
            </w:pPr>
            <w:r w:rsidRPr="00406C1A">
              <w:rPr>
                <w:sz w:val="24"/>
                <w:szCs w:val="24"/>
                <w:lang w:val="sr-Latn-CS"/>
              </w:rPr>
              <w:t xml:space="preserve">Finalna potrošnja energije </w:t>
            </w:r>
            <w:r w:rsidR="00975878" w:rsidRPr="009309D2">
              <w:rPr>
                <w:sz w:val="24"/>
                <w:szCs w:val="24"/>
                <w:lang w:val="en-GB"/>
              </w:rPr>
              <w:t xml:space="preserve">– </w:t>
            </w:r>
            <w:r w:rsidRPr="00201696">
              <w:rPr>
                <w:sz w:val="24"/>
                <w:szCs w:val="24"/>
                <w:lang w:val="sr-Latn-CS"/>
              </w:rPr>
              <w:t>Usluge</w:t>
            </w:r>
            <w:r w:rsidR="00975878" w:rsidRPr="009309D2">
              <w:rPr>
                <w:sz w:val="24"/>
                <w:szCs w:val="24"/>
                <w:lang w:val="en-GB"/>
              </w:rPr>
              <w:t xml:space="preserve"> (*)</w:t>
            </w:r>
          </w:p>
        </w:tc>
        <w:tc>
          <w:tcPr>
            <w:tcW w:w="1638" w:type="dxa"/>
            <w:vAlign w:val="center"/>
          </w:tcPr>
          <w:p w:rsidR="00975878" w:rsidRPr="009309D2" w:rsidRDefault="0039090F" w:rsidP="0097587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158.2</w:t>
            </w:r>
          </w:p>
        </w:tc>
        <w:tc>
          <w:tcPr>
            <w:tcW w:w="1196" w:type="dxa"/>
            <w:vAlign w:val="center"/>
          </w:tcPr>
          <w:p w:rsidR="00975878" w:rsidRPr="009309D2" w:rsidRDefault="007C7C8F" w:rsidP="00975878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</w:t>
            </w:r>
            <w:r w:rsidR="00975878">
              <w:rPr>
                <w:sz w:val="24"/>
                <w:szCs w:val="24"/>
                <w:lang w:val="en-GB"/>
              </w:rPr>
              <w:t>toe</w:t>
            </w:r>
            <w:proofErr w:type="spellEnd"/>
          </w:p>
        </w:tc>
      </w:tr>
      <w:tr w:rsidR="00426C40" w:rsidRPr="002F0CEC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E751A5" w:rsidRDefault="00201696" w:rsidP="00426C40">
            <w:pPr>
              <w:rPr>
                <w:sz w:val="24"/>
                <w:szCs w:val="24"/>
                <w:lang w:val="en-GB"/>
              </w:rPr>
            </w:pPr>
            <w:r w:rsidRPr="00201696">
              <w:rPr>
                <w:sz w:val="24"/>
                <w:szCs w:val="24"/>
                <w:lang w:val="sr-Latn-CS"/>
              </w:rPr>
              <w:t>Bruto dodata vrednost po sektorima – Industrija</w:t>
            </w:r>
            <w:r w:rsidRPr="00201696">
              <w:rPr>
                <w:sz w:val="24"/>
                <w:szCs w:val="24"/>
                <w:lang w:val="en-GB"/>
              </w:rPr>
              <w:t xml:space="preserve"> </w:t>
            </w:r>
            <w:r w:rsidR="00426C40" w:rsidRPr="00E751A5">
              <w:rPr>
                <w:sz w:val="24"/>
                <w:szCs w:val="24"/>
                <w:lang w:val="en-GB"/>
              </w:rPr>
              <w:t>(**)</w:t>
            </w:r>
          </w:p>
        </w:tc>
        <w:tc>
          <w:tcPr>
            <w:tcW w:w="1638" w:type="dxa"/>
            <w:vAlign w:val="center"/>
          </w:tcPr>
          <w:p w:rsidR="00426C40" w:rsidRPr="00E751A5" w:rsidRDefault="009D0A82" w:rsidP="00426C4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1.039</w:t>
            </w:r>
          </w:p>
        </w:tc>
        <w:tc>
          <w:tcPr>
            <w:tcW w:w="1196" w:type="dxa"/>
            <w:vAlign w:val="center"/>
          </w:tcPr>
          <w:p w:rsidR="00426C40" w:rsidRPr="00E751A5" w:rsidRDefault="00426C40" w:rsidP="00426C40">
            <w:pPr>
              <w:rPr>
                <w:sz w:val="24"/>
                <w:szCs w:val="24"/>
                <w:lang w:val="en-GB"/>
              </w:rPr>
            </w:pPr>
            <w:r w:rsidRPr="00E751A5">
              <w:rPr>
                <w:sz w:val="24"/>
                <w:szCs w:val="24"/>
                <w:lang w:val="en-GB"/>
              </w:rPr>
              <w:t>mil. EUR</w:t>
            </w:r>
          </w:p>
        </w:tc>
      </w:tr>
      <w:tr w:rsidR="00426C40" w:rsidRPr="002F0CEC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E751A5" w:rsidRDefault="00201696" w:rsidP="00201696">
            <w:pPr>
              <w:rPr>
                <w:sz w:val="24"/>
                <w:szCs w:val="24"/>
                <w:lang w:val="en-GB"/>
              </w:rPr>
            </w:pPr>
            <w:r w:rsidRPr="00201696">
              <w:rPr>
                <w:sz w:val="24"/>
                <w:szCs w:val="24"/>
                <w:lang w:val="sr-Latn-CS"/>
              </w:rPr>
              <w:t xml:space="preserve">Bruto dodata vrednost po sektorima </w:t>
            </w:r>
            <w:r w:rsidR="00426C40" w:rsidRPr="00E751A5">
              <w:rPr>
                <w:sz w:val="24"/>
                <w:szCs w:val="24"/>
                <w:lang w:val="en-GB"/>
              </w:rPr>
              <w:t xml:space="preserve">– </w:t>
            </w:r>
            <w:r w:rsidRPr="00201696">
              <w:rPr>
                <w:sz w:val="24"/>
                <w:szCs w:val="24"/>
                <w:lang w:val="sr-Latn-CS"/>
              </w:rPr>
              <w:t>Usluge</w:t>
            </w:r>
            <w:r w:rsidR="00426C40" w:rsidRPr="00E751A5">
              <w:rPr>
                <w:sz w:val="24"/>
                <w:szCs w:val="24"/>
                <w:lang w:val="en-GB"/>
              </w:rPr>
              <w:t xml:space="preserve"> (**)</w:t>
            </w:r>
          </w:p>
        </w:tc>
        <w:tc>
          <w:tcPr>
            <w:tcW w:w="1638" w:type="dxa"/>
            <w:vAlign w:val="center"/>
          </w:tcPr>
          <w:p w:rsidR="00426C40" w:rsidRPr="00E751A5" w:rsidRDefault="009D0A82" w:rsidP="00426C4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4.552</w:t>
            </w:r>
          </w:p>
        </w:tc>
        <w:tc>
          <w:tcPr>
            <w:tcW w:w="1196" w:type="dxa"/>
            <w:vAlign w:val="center"/>
          </w:tcPr>
          <w:p w:rsidR="00426C40" w:rsidRPr="00E751A5" w:rsidRDefault="00426C40" w:rsidP="00426C40">
            <w:pPr>
              <w:rPr>
                <w:sz w:val="24"/>
                <w:szCs w:val="24"/>
                <w:lang w:val="en-GB"/>
              </w:rPr>
            </w:pPr>
            <w:r w:rsidRPr="00E751A5">
              <w:rPr>
                <w:sz w:val="24"/>
                <w:szCs w:val="24"/>
                <w:lang w:val="en-GB"/>
              </w:rPr>
              <w:t>mil. EUR</w:t>
            </w:r>
          </w:p>
        </w:tc>
      </w:tr>
      <w:tr w:rsidR="00426C40" w:rsidRPr="00A66E36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6F1FEF" w:rsidRDefault="00551322" w:rsidP="00426C40">
            <w:pPr>
              <w:rPr>
                <w:sz w:val="24"/>
                <w:szCs w:val="24"/>
                <w:lang w:val="en-GB"/>
              </w:rPr>
            </w:pPr>
            <w:r w:rsidRPr="00551322">
              <w:rPr>
                <w:sz w:val="24"/>
                <w:szCs w:val="24"/>
                <w:lang w:val="sr-Latn-CS"/>
              </w:rPr>
              <w:t>Raspoloživi prihodi domaćinstava</w:t>
            </w:r>
            <w:r w:rsidRPr="00551322">
              <w:rPr>
                <w:sz w:val="24"/>
                <w:szCs w:val="24"/>
                <w:lang w:val="en-GB"/>
              </w:rPr>
              <w:t xml:space="preserve"> </w:t>
            </w:r>
            <w:r w:rsidR="00426C40" w:rsidRPr="006F1FEF">
              <w:rPr>
                <w:sz w:val="24"/>
                <w:szCs w:val="24"/>
                <w:lang w:val="en-GB"/>
              </w:rPr>
              <w:t>(**)</w:t>
            </w:r>
          </w:p>
        </w:tc>
        <w:tc>
          <w:tcPr>
            <w:tcW w:w="1638" w:type="dxa"/>
            <w:vAlign w:val="center"/>
          </w:tcPr>
          <w:p w:rsidR="00426C40" w:rsidRPr="00A66E36" w:rsidRDefault="00842AA3" w:rsidP="00426C40">
            <w:pPr>
              <w:rPr>
                <w:color w:val="FF0000"/>
                <w:sz w:val="24"/>
                <w:szCs w:val="24"/>
                <w:lang w:val="en-GB"/>
              </w:rPr>
            </w:pPr>
            <w:r w:rsidRPr="00976830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1196" w:type="dxa"/>
            <w:vAlign w:val="center"/>
          </w:tcPr>
          <w:p w:rsidR="00426C40" w:rsidRPr="00A66E36" w:rsidRDefault="00426C40" w:rsidP="00426C40">
            <w:pPr>
              <w:rPr>
                <w:color w:val="FF0000"/>
                <w:sz w:val="24"/>
                <w:szCs w:val="24"/>
                <w:lang w:val="en-GB"/>
              </w:rPr>
            </w:pPr>
            <w:r w:rsidRPr="001C49E1">
              <w:rPr>
                <w:sz w:val="24"/>
                <w:szCs w:val="24"/>
                <w:lang w:val="en-GB"/>
              </w:rPr>
              <w:t>mil. EUR</w:t>
            </w:r>
          </w:p>
        </w:tc>
      </w:tr>
      <w:tr w:rsidR="00426C40" w:rsidRPr="009309D2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A66E36" w:rsidRDefault="00551322" w:rsidP="00551322">
            <w:pPr>
              <w:rPr>
                <w:sz w:val="24"/>
                <w:szCs w:val="24"/>
                <w:lang w:val="en-GB"/>
              </w:rPr>
            </w:pPr>
            <w:r w:rsidRPr="00551322">
              <w:rPr>
                <w:sz w:val="24"/>
                <w:szCs w:val="24"/>
                <w:lang w:val="sr-Latn-CS"/>
              </w:rPr>
              <w:t>Bruto domaći proizvod</w:t>
            </w:r>
            <w:r w:rsidRPr="00551322">
              <w:rPr>
                <w:sz w:val="24"/>
                <w:szCs w:val="24"/>
                <w:lang w:val="en-GB"/>
              </w:rPr>
              <w:t xml:space="preserve"> </w:t>
            </w:r>
            <w:r w:rsidR="00426C40" w:rsidRPr="00A66E36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BD</w:t>
            </w:r>
            <w:r w:rsidR="00426C40" w:rsidRPr="00A66E36">
              <w:rPr>
                <w:sz w:val="24"/>
                <w:szCs w:val="24"/>
                <w:lang w:val="en-GB"/>
              </w:rPr>
              <w:t>P) (**)</w:t>
            </w:r>
          </w:p>
        </w:tc>
        <w:tc>
          <w:tcPr>
            <w:tcW w:w="1638" w:type="dxa"/>
            <w:vAlign w:val="center"/>
          </w:tcPr>
          <w:p w:rsidR="00426C40" w:rsidRPr="009309D2" w:rsidRDefault="00617E10" w:rsidP="00426C4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6771.6</w:t>
            </w:r>
          </w:p>
        </w:tc>
        <w:tc>
          <w:tcPr>
            <w:tcW w:w="1196" w:type="dxa"/>
            <w:vAlign w:val="center"/>
          </w:tcPr>
          <w:p w:rsidR="00426C40" w:rsidRPr="009309D2" w:rsidRDefault="00426C40" w:rsidP="00426C4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mil. EUR</w:t>
            </w:r>
          </w:p>
        </w:tc>
      </w:tr>
      <w:tr w:rsidR="00426C40" w:rsidRPr="002F0CEC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E751A5" w:rsidRDefault="000C7022" w:rsidP="00426C40">
            <w:pPr>
              <w:rPr>
                <w:sz w:val="24"/>
                <w:szCs w:val="24"/>
                <w:lang w:val="en-GB"/>
              </w:rPr>
            </w:pPr>
            <w:r w:rsidRPr="000C7022">
              <w:rPr>
                <w:sz w:val="24"/>
                <w:szCs w:val="24"/>
                <w:lang w:val="sr-Latn-CS"/>
              </w:rPr>
              <w:t>Proizvodnja električne energije iz termoelektrana</w:t>
            </w:r>
            <w:r w:rsidRPr="000C7022">
              <w:rPr>
                <w:sz w:val="24"/>
                <w:szCs w:val="24"/>
                <w:lang w:val="en-GB"/>
              </w:rPr>
              <w:t xml:space="preserve"> </w:t>
            </w:r>
            <w:r w:rsidR="00426C40" w:rsidRPr="00E751A5">
              <w:rPr>
                <w:sz w:val="24"/>
                <w:szCs w:val="24"/>
                <w:lang w:val="en-GB"/>
              </w:rPr>
              <w:t>(***)</w:t>
            </w:r>
          </w:p>
        </w:tc>
        <w:tc>
          <w:tcPr>
            <w:tcW w:w="1638" w:type="dxa"/>
            <w:vAlign w:val="center"/>
          </w:tcPr>
          <w:p w:rsidR="004E5454" w:rsidRPr="00E751A5" w:rsidRDefault="004E5454" w:rsidP="004E5454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E751A5">
              <w:rPr>
                <w:rFonts w:cstheme="minorHAnsi"/>
                <w:color w:val="000000"/>
                <w:sz w:val="24"/>
                <w:szCs w:val="24"/>
              </w:rPr>
              <w:t>1,511.5</w:t>
            </w:r>
          </w:p>
          <w:p w:rsidR="00426C40" w:rsidRPr="009309D2" w:rsidRDefault="00426C40" w:rsidP="00426C4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  <w:vAlign w:val="center"/>
          </w:tcPr>
          <w:p w:rsidR="00426C40" w:rsidRPr="00E751A5" w:rsidRDefault="007C7C8F" w:rsidP="00426C40">
            <w:pPr>
              <w:rPr>
                <w:sz w:val="24"/>
                <w:szCs w:val="24"/>
                <w:lang w:val="en-GB"/>
              </w:rPr>
            </w:pPr>
            <w:proofErr w:type="spellStart"/>
            <w:r w:rsidRPr="00E751A5">
              <w:rPr>
                <w:sz w:val="24"/>
                <w:szCs w:val="24"/>
                <w:lang w:val="en-GB"/>
              </w:rPr>
              <w:t>K</w:t>
            </w:r>
            <w:r w:rsidR="00426C40" w:rsidRPr="00E751A5">
              <w:rPr>
                <w:sz w:val="24"/>
                <w:szCs w:val="24"/>
                <w:lang w:val="en-GB"/>
              </w:rPr>
              <w:t>toe</w:t>
            </w:r>
            <w:proofErr w:type="spellEnd"/>
          </w:p>
        </w:tc>
      </w:tr>
      <w:tr w:rsidR="00426C40" w:rsidRPr="002F0CEC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E751A5" w:rsidRDefault="001A456C" w:rsidP="00426C40">
            <w:pPr>
              <w:rPr>
                <w:sz w:val="24"/>
                <w:szCs w:val="24"/>
                <w:lang w:val="en-GB"/>
              </w:rPr>
            </w:pPr>
            <w:r w:rsidRPr="001A456C">
              <w:rPr>
                <w:sz w:val="24"/>
                <w:szCs w:val="24"/>
                <w:lang w:val="sr-Latn-CS"/>
              </w:rPr>
              <w:t>Proizvodnja električne energije iz kombinovane toplotne i električne energije</w:t>
            </w:r>
            <w:r w:rsidRPr="001A456C">
              <w:rPr>
                <w:sz w:val="24"/>
                <w:szCs w:val="24"/>
                <w:lang w:val="en-GB"/>
              </w:rPr>
              <w:t xml:space="preserve"> </w:t>
            </w:r>
            <w:r w:rsidR="00426C40" w:rsidRPr="00E751A5">
              <w:rPr>
                <w:sz w:val="24"/>
                <w:szCs w:val="24"/>
                <w:lang w:val="en-GB"/>
              </w:rPr>
              <w:t>(***)</w:t>
            </w:r>
          </w:p>
        </w:tc>
        <w:tc>
          <w:tcPr>
            <w:tcW w:w="1638" w:type="dxa"/>
            <w:vAlign w:val="center"/>
          </w:tcPr>
          <w:p w:rsidR="00426C40" w:rsidRPr="009309D2" w:rsidRDefault="004E5454" w:rsidP="00426C40">
            <w:pPr>
              <w:rPr>
                <w:sz w:val="24"/>
                <w:szCs w:val="24"/>
                <w:lang w:val="en-GB"/>
              </w:rPr>
            </w:pPr>
            <w:r w:rsidRPr="004E5454">
              <w:rPr>
                <w:sz w:val="24"/>
                <w:szCs w:val="24"/>
                <w:lang w:val="en-GB"/>
              </w:rPr>
              <w:t>4.7</w:t>
            </w:r>
          </w:p>
        </w:tc>
        <w:tc>
          <w:tcPr>
            <w:tcW w:w="1196" w:type="dxa"/>
            <w:vAlign w:val="center"/>
          </w:tcPr>
          <w:p w:rsidR="00426C40" w:rsidRPr="00E751A5" w:rsidRDefault="007C7C8F" w:rsidP="00426C40">
            <w:pPr>
              <w:rPr>
                <w:sz w:val="24"/>
                <w:szCs w:val="24"/>
                <w:lang w:val="en-GB"/>
              </w:rPr>
            </w:pPr>
            <w:proofErr w:type="spellStart"/>
            <w:r w:rsidRPr="00E751A5">
              <w:rPr>
                <w:sz w:val="24"/>
                <w:szCs w:val="24"/>
                <w:lang w:val="en-GB"/>
              </w:rPr>
              <w:t>K</w:t>
            </w:r>
            <w:r w:rsidR="00426C40" w:rsidRPr="00E751A5">
              <w:rPr>
                <w:sz w:val="24"/>
                <w:szCs w:val="24"/>
                <w:lang w:val="en-GB"/>
              </w:rPr>
              <w:t>toe</w:t>
            </w:r>
            <w:proofErr w:type="spellEnd"/>
          </w:p>
        </w:tc>
      </w:tr>
      <w:tr w:rsidR="00426C40" w:rsidRPr="002F0CEC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E751A5" w:rsidRDefault="00C66491" w:rsidP="00426C40">
            <w:pPr>
              <w:rPr>
                <w:sz w:val="24"/>
                <w:szCs w:val="24"/>
                <w:lang w:val="en-GB"/>
              </w:rPr>
            </w:pPr>
            <w:r w:rsidRPr="00C66491">
              <w:rPr>
                <w:sz w:val="24"/>
                <w:szCs w:val="24"/>
                <w:lang w:val="sr-Latn-CS"/>
              </w:rPr>
              <w:t>Proizvodnja toplote iz proizvodnje toplotne energije</w:t>
            </w:r>
            <w:r w:rsidRPr="00C66491">
              <w:rPr>
                <w:sz w:val="24"/>
                <w:szCs w:val="24"/>
                <w:lang w:val="en-GB"/>
              </w:rPr>
              <w:t xml:space="preserve"> </w:t>
            </w:r>
            <w:r w:rsidR="00426C40" w:rsidRPr="00E751A5">
              <w:rPr>
                <w:sz w:val="24"/>
                <w:szCs w:val="24"/>
                <w:lang w:val="en-GB"/>
              </w:rPr>
              <w:t>(***)</w:t>
            </w:r>
          </w:p>
        </w:tc>
        <w:tc>
          <w:tcPr>
            <w:tcW w:w="1638" w:type="dxa"/>
            <w:vAlign w:val="center"/>
          </w:tcPr>
          <w:p w:rsidR="00426C40" w:rsidRPr="009309D2" w:rsidRDefault="004E5454" w:rsidP="00426C40">
            <w:pPr>
              <w:rPr>
                <w:sz w:val="24"/>
                <w:szCs w:val="24"/>
                <w:lang w:val="en-GB"/>
              </w:rPr>
            </w:pPr>
            <w:r w:rsidRPr="004E5454">
              <w:rPr>
                <w:sz w:val="24"/>
                <w:szCs w:val="24"/>
                <w:lang w:val="en-GB"/>
              </w:rPr>
              <w:t>23.3</w:t>
            </w:r>
          </w:p>
        </w:tc>
        <w:tc>
          <w:tcPr>
            <w:tcW w:w="1196" w:type="dxa"/>
            <w:vAlign w:val="center"/>
          </w:tcPr>
          <w:p w:rsidR="00426C40" w:rsidRPr="00E751A5" w:rsidRDefault="007C7C8F" w:rsidP="00426C40">
            <w:pPr>
              <w:rPr>
                <w:sz w:val="24"/>
                <w:szCs w:val="24"/>
                <w:lang w:val="en-GB"/>
              </w:rPr>
            </w:pPr>
            <w:proofErr w:type="spellStart"/>
            <w:r w:rsidRPr="00E751A5">
              <w:rPr>
                <w:sz w:val="24"/>
                <w:szCs w:val="24"/>
                <w:lang w:val="en-GB"/>
              </w:rPr>
              <w:t>K</w:t>
            </w:r>
            <w:r w:rsidR="00426C40" w:rsidRPr="00E751A5">
              <w:rPr>
                <w:sz w:val="24"/>
                <w:szCs w:val="24"/>
                <w:lang w:val="en-GB"/>
              </w:rPr>
              <w:t>toe</w:t>
            </w:r>
            <w:proofErr w:type="spellEnd"/>
          </w:p>
        </w:tc>
      </w:tr>
      <w:tr w:rsidR="00426C40" w:rsidRPr="002F0CEC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6F1FEF" w:rsidRDefault="00C66491" w:rsidP="00C66491">
            <w:pPr>
              <w:rPr>
                <w:sz w:val="24"/>
                <w:szCs w:val="24"/>
                <w:lang w:val="en-GB"/>
              </w:rPr>
            </w:pPr>
            <w:r w:rsidRPr="00C66491">
              <w:rPr>
                <w:sz w:val="24"/>
                <w:szCs w:val="24"/>
                <w:lang w:val="sr-Latn-CS"/>
              </w:rPr>
              <w:t>Proizvodnja toplotne energije iz kombinovanih termoelektrana, uklj</w:t>
            </w:r>
            <w:r>
              <w:rPr>
                <w:sz w:val="24"/>
                <w:szCs w:val="24"/>
                <w:lang w:val="sr-Latn-CS"/>
              </w:rPr>
              <w:t>učujući</w:t>
            </w:r>
            <w:r w:rsidRPr="00C66491">
              <w:rPr>
                <w:sz w:val="24"/>
                <w:szCs w:val="24"/>
                <w:lang w:val="sr-Latn-CS"/>
              </w:rPr>
              <w:t xml:space="preserve"> industrijsku otpadnu toplotu</w:t>
            </w:r>
            <w:r w:rsidRPr="00C66491">
              <w:rPr>
                <w:sz w:val="24"/>
                <w:szCs w:val="24"/>
                <w:lang w:val="en-GB"/>
              </w:rPr>
              <w:t xml:space="preserve"> </w:t>
            </w:r>
            <w:r w:rsidR="00426C40" w:rsidRPr="006F1FEF">
              <w:rPr>
                <w:sz w:val="24"/>
                <w:szCs w:val="24"/>
                <w:lang w:val="en-GB"/>
              </w:rPr>
              <w:t>(***)</w:t>
            </w:r>
          </w:p>
        </w:tc>
        <w:tc>
          <w:tcPr>
            <w:tcW w:w="1638" w:type="dxa"/>
            <w:vAlign w:val="center"/>
          </w:tcPr>
          <w:p w:rsidR="00426C40" w:rsidRPr="009309D2" w:rsidRDefault="00842AA3" w:rsidP="00426C40">
            <w:pPr>
              <w:rPr>
                <w:sz w:val="24"/>
                <w:szCs w:val="24"/>
                <w:lang w:val="en-GB"/>
              </w:rPr>
            </w:pPr>
            <w:r w:rsidRPr="00976830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1196" w:type="dxa"/>
            <w:vAlign w:val="center"/>
          </w:tcPr>
          <w:p w:rsidR="00426C40" w:rsidRPr="00E751A5" w:rsidRDefault="007C7C8F" w:rsidP="00426C40">
            <w:pPr>
              <w:rPr>
                <w:sz w:val="24"/>
                <w:szCs w:val="24"/>
                <w:lang w:val="en-GB"/>
              </w:rPr>
            </w:pPr>
            <w:proofErr w:type="spellStart"/>
            <w:r w:rsidRPr="00E751A5">
              <w:rPr>
                <w:sz w:val="24"/>
                <w:szCs w:val="24"/>
                <w:lang w:val="en-GB"/>
              </w:rPr>
              <w:t>K</w:t>
            </w:r>
            <w:r w:rsidR="00426C40" w:rsidRPr="00E751A5">
              <w:rPr>
                <w:sz w:val="24"/>
                <w:szCs w:val="24"/>
                <w:lang w:val="en-GB"/>
              </w:rPr>
              <w:t>toe</w:t>
            </w:r>
            <w:proofErr w:type="spellEnd"/>
          </w:p>
        </w:tc>
      </w:tr>
      <w:tr w:rsidR="00426C40" w:rsidRPr="002F0CEC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E751A5" w:rsidRDefault="00C66491" w:rsidP="00426C40">
            <w:pPr>
              <w:rPr>
                <w:sz w:val="24"/>
                <w:szCs w:val="24"/>
                <w:lang w:val="en-GB"/>
              </w:rPr>
            </w:pPr>
            <w:r w:rsidRPr="00C66491">
              <w:rPr>
                <w:sz w:val="24"/>
                <w:szCs w:val="24"/>
                <w:lang w:val="sr-Latn-CS"/>
              </w:rPr>
              <w:t>Ulaz goriva za proizvodnju toplotne energije</w:t>
            </w:r>
            <w:r w:rsidRPr="00C66491">
              <w:rPr>
                <w:sz w:val="24"/>
                <w:szCs w:val="24"/>
                <w:lang w:val="en-GB"/>
              </w:rPr>
              <w:t xml:space="preserve"> </w:t>
            </w:r>
            <w:r w:rsidR="00426C40" w:rsidRPr="00E751A5">
              <w:rPr>
                <w:sz w:val="24"/>
                <w:szCs w:val="24"/>
                <w:lang w:val="en-GB"/>
              </w:rPr>
              <w:t>(***)</w:t>
            </w:r>
          </w:p>
        </w:tc>
        <w:tc>
          <w:tcPr>
            <w:tcW w:w="1638" w:type="dxa"/>
            <w:vAlign w:val="center"/>
          </w:tcPr>
          <w:p w:rsidR="00426C40" w:rsidRPr="00E751A5" w:rsidRDefault="00842AA3" w:rsidP="00426C40">
            <w:pPr>
              <w:rPr>
                <w:sz w:val="24"/>
                <w:szCs w:val="24"/>
                <w:lang w:val="en-GB"/>
              </w:rPr>
            </w:pPr>
            <w:r w:rsidRPr="00E751A5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1196" w:type="dxa"/>
            <w:vAlign w:val="center"/>
          </w:tcPr>
          <w:p w:rsidR="00426C40" w:rsidRPr="00E751A5" w:rsidRDefault="007C7C8F" w:rsidP="00426C40">
            <w:pPr>
              <w:rPr>
                <w:sz w:val="24"/>
                <w:szCs w:val="24"/>
                <w:lang w:val="en-GB"/>
              </w:rPr>
            </w:pPr>
            <w:proofErr w:type="spellStart"/>
            <w:r w:rsidRPr="00E751A5">
              <w:rPr>
                <w:sz w:val="24"/>
                <w:szCs w:val="24"/>
                <w:lang w:val="en-GB"/>
              </w:rPr>
              <w:t>K</w:t>
            </w:r>
            <w:r w:rsidR="00426C40" w:rsidRPr="00E751A5">
              <w:rPr>
                <w:sz w:val="24"/>
                <w:szCs w:val="24"/>
                <w:lang w:val="en-GB"/>
              </w:rPr>
              <w:t>toe</w:t>
            </w:r>
            <w:proofErr w:type="spellEnd"/>
          </w:p>
        </w:tc>
      </w:tr>
      <w:tr w:rsidR="00426C40" w:rsidRPr="002F0CEC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976830" w:rsidRDefault="003448DD" w:rsidP="00426C40">
            <w:pPr>
              <w:rPr>
                <w:sz w:val="24"/>
                <w:szCs w:val="24"/>
                <w:lang w:val="en-GB"/>
              </w:rPr>
            </w:pPr>
            <w:r w:rsidRPr="003448DD">
              <w:rPr>
                <w:sz w:val="24"/>
                <w:szCs w:val="24"/>
                <w:lang w:val="sr-Latn-CS"/>
              </w:rPr>
              <w:t>Putnički kilometri (</w:t>
            </w:r>
            <w:proofErr w:type="spellStart"/>
            <w:r w:rsidRPr="003448DD">
              <w:rPr>
                <w:sz w:val="24"/>
                <w:szCs w:val="24"/>
                <w:lang w:val="sr-Latn-CS"/>
              </w:rPr>
              <w:t>pkm</w:t>
            </w:r>
            <w:proofErr w:type="spellEnd"/>
            <w:r w:rsidRPr="003448DD">
              <w:rPr>
                <w:sz w:val="24"/>
                <w:szCs w:val="24"/>
                <w:lang w:val="sr-Latn-CS"/>
              </w:rPr>
              <w:t>), ako su dostupni</w:t>
            </w:r>
            <w:r w:rsidRPr="003448DD">
              <w:rPr>
                <w:sz w:val="24"/>
                <w:szCs w:val="24"/>
                <w:lang w:val="en-GB"/>
              </w:rPr>
              <w:t xml:space="preserve"> </w:t>
            </w:r>
            <w:r w:rsidR="00426C40" w:rsidRPr="00976830">
              <w:rPr>
                <w:sz w:val="24"/>
                <w:szCs w:val="24"/>
                <w:lang w:val="en-GB"/>
              </w:rPr>
              <w:t>(**)</w:t>
            </w:r>
          </w:p>
        </w:tc>
        <w:tc>
          <w:tcPr>
            <w:tcW w:w="1638" w:type="dxa"/>
            <w:vAlign w:val="center"/>
          </w:tcPr>
          <w:p w:rsidR="00426C40" w:rsidRPr="00976830" w:rsidRDefault="00EC59C1" w:rsidP="00426C40">
            <w:pPr>
              <w:rPr>
                <w:sz w:val="24"/>
                <w:szCs w:val="24"/>
                <w:lang w:val="en-GB"/>
              </w:rPr>
            </w:pPr>
            <w:r w:rsidRPr="00976830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1196" w:type="dxa"/>
            <w:vAlign w:val="center"/>
          </w:tcPr>
          <w:p w:rsidR="00426C40" w:rsidRPr="009309D2" w:rsidRDefault="003C7D20" w:rsidP="00426C40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hilj</w:t>
            </w:r>
            <w:proofErr w:type="spellEnd"/>
            <w:r w:rsidR="00426C40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="007C7C8F">
              <w:rPr>
                <w:sz w:val="24"/>
                <w:szCs w:val="24"/>
                <w:lang w:val="en-GB"/>
              </w:rPr>
              <w:t>P</w:t>
            </w:r>
            <w:r w:rsidR="00426C40">
              <w:rPr>
                <w:sz w:val="24"/>
                <w:szCs w:val="24"/>
                <w:lang w:val="en-GB"/>
              </w:rPr>
              <w:t>km</w:t>
            </w:r>
            <w:proofErr w:type="spellEnd"/>
          </w:p>
        </w:tc>
      </w:tr>
      <w:tr w:rsidR="00426C40" w:rsidRPr="002F0CEC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976830" w:rsidRDefault="003C7D20" w:rsidP="00426C40">
            <w:pPr>
              <w:rPr>
                <w:sz w:val="24"/>
                <w:szCs w:val="24"/>
                <w:lang w:val="en-GB"/>
              </w:rPr>
            </w:pPr>
            <w:r w:rsidRPr="003C7D20">
              <w:rPr>
                <w:sz w:val="24"/>
                <w:szCs w:val="24"/>
                <w:lang w:val="sr-Latn-CS"/>
              </w:rPr>
              <w:t>Tonski kilometri (</w:t>
            </w:r>
            <w:proofErr w:type="spellStart"/>
            <w:r w:rsidRPr="003C7D20">
              <w:rPr>
                <w:sz w:val="24"/>
                <w:szCs w:val="24"/>
                <w:lang w:val="sr-Latn-CS"/>
              </w:rPr>
              <w:t>tkm</w:t>
            </w:r>
            <w:proofErr w:type="spellEnd"/>
            <w:r w:rsidRPr="003C7D20">
              <w:rPr>
                <w:sz w:val="24"/>
                <w:szCs w:val="24"/>
                <w:lang w:val="sr-Latn-CS"/>
              </w:rPr>
              <w:t>), ako su dostupni</w:t>
            </w:r>
            <w:r w:rsidRPr="003C7D20">
              <w:rPr>
                <w:sz w:val="24"/>
                <w:szCs w:val="24"/>
                <w:lang w:val="en-GB"/>
              </w:rPr>
              <w:t xml:space="preserve"> </w:t>
            </w:r>
            <w:r w:rsidR="00426C40" w:rsidRPr="00976830">
              <w:rPr>
                <w:sz w:val="24"/>
                <w:szCs w:val="24"/>
                <w:lang w:val="en-GB"/>
              </w:rPr>
              <w:t>(**)</w:t>
            </w:r>
          </w:p>
        </w:tc>
        <w:tc>
          <w:tcPr>
            <w:tcW w:w="1638" w:type="dxa"/>
            <w:vAlign w:val="center"/>
          </w:tcPr>
          <w:p w:rsidR="00426C40" w:rsidRPr="00976830" w:rsidRDefault="00EC59C1" w:rsidP="00426C40">
            <w:pPr>
              <w:rPr>
                <w:sz w:val="24"/>
                <w:szCs w:val="24"/>
                <w:lang w:val="en-GB"/>
              </w:rPr>
            </w:pPr>
            <w:r w:rsidRPr="00976830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1196" w:type="dxa"/>
            <w:vAlign w:val="center"/>
          </w:tcPr>
          <w:p w:rsidR="00426C40" w:rsidRPr="009309D2" w:rsidRDefault="003C7D20" w:rsidP="00426C40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hilj</w:t>
            </w:r>
            <w:proofErr w:type="spellEnd"/>
            <w:r w:rsidR="00426C40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="007C7C8F">
              <w:rPr>
                <w:sz w:val="24"/>
                <w:szCs w:val="24"/>
                <w:lang w:val="en-GB"/>
              </w:rPr>
              <w:t>T</w:t>
            </w:r>
            <w:r w:rsidR="00426C40">
              <w:rPr>
                <w:sz w:val="24"/>
                <w:szCs w:val="24"/>
                <w:lang w:val="en-GB"/>
              </w:rPr>
              <w:t>km</w:t>
            </w:r>
            <w:proofErr w:type="spellEnd"/>
          </w:p>
        </w:tc>
      </w:tr>
      <w:tr w:rsidR="00426C40" w:rsidRPr="00277F01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976830" w:rsidRDefault="003C7D20" w:rsidP="00426C40">
            <w:pPr>
              <w:rPr>
                <w:sz w:val="24"/>
                <w:szCs w:val="24"/>
                <w:lang w:val="en-GB"/>
              </w:rPr>
            </w:pPr>
            <w:r w:rsidRPr="003C7D20">
              <w:rPr>
                <w:sz w:val="24"/>
                <w:szCs w:val="24"/>
                <w:lang w:val="sr-Latn-CS"/>
              </w:rPr>
              <w:t>Kombinovani transportni kilometri (</w:t>
            </w:r>
            <w:proofErr w:type="spellStart"/>
            <w:r w:rsidRPr="003C7D20">
              <w:rPr>
                <w:sz w:val="24"/>
                <w:szCs w:val="24"/>
                <w:lang w:val="sr-Latn-CS"/>
              </w:rPr>
              <w:t>pkm</w:t>
            </w:r>
            <w:proofErr w:type="spellEnd"/>
            <w:r w:rsidRPr="003C7D20">
              <w:rPr>
                <w:sz w:val="24"/>
                <w:szCs w:val="24"/>
                <w:lang w:val="sr-Latn-CS"/>
              </w:rPr>
              <w:t xml:space="preserve"> + </w:t>
            </w:r>
            <w:proofErr w:type="spellStart"/>
            <w:r w:rsidRPr="003C7D20">
              <w:rPr>
                <w:sz w:val="24"/>
                <w:szCs w:val="24"/>
                <w:lang w:val="sr-Latn-CS"/>
              </w:rPr>
              <w:t>tkm</w:t>
            </w:r>
            <w:proofErr w:type="spellEnd"/>
            <w:r w:rsidRPr="003C7D20">
              <w:rPr>
                <w:sz w:val="24"/>
                <w:szCs w:val="24"/>
                <w:lang w:val="sr-Latn-CS"/>
              </w:rPr>
              <w:t xml:space="preserve">), u slučaju da nisu dostupne odvojene vrednosti za </w:t>
            </w:r>
            <w:proofErr w:type="spellStart"/>
            <w:r w:rsidRPr="003C7D20">
              <w:rPr>
                <w:sz w:val="24"/>
                <w:szCs w:val="24"/>
                <w:lang w:val="sr-Latn-CS"/>
              </w:rPr>
              <w:t>pkm</w:t>
            </w:r>
            <w:proofErr w:type="spellEnd"/>
            <w:r w:rsidRPr="003C7D20">
              <w:rPr>
                <w:sz w:val="24"/>
                <w:szCs w:val="24"/>
                <w:lang w:val="sr-Latn-CS"/>
              </w:rPr>
              <w:t xml:space="preserve"> i </w:t>
            </w:r>
            <w:proofErr w:type="spellStart"/>
            <w:r w:rsidRPr="003C7D20">
              <w:rPr>
                <w:sz w:val="24"/>
                <w:szCs w:val="24"/>
                <w:lang w:val="sr-Latn-CS"/>
              </w:rPr>
              <w:t>tkm</w:t>
            </w:r>
            <w:proofErr w:type="spellEnd"/>
            <w:r w:rsidRPr="003C7D20">
              <w:rPr>
                <w:sz w:val="24"/>
                <w:szCs w:val="24"/>
                <w:lang w:val="en-GB"/>
              </w:rPr>
              <w:t xml:space="preserve"> </w:t>
            </w:r>
            <w:r w:rsidR="00426C40" w:rsidRPr="00976830">
              <w:rPr>
                <w:sz w:val="24"/>
                <w:szCs w:val="24"/>
                <w:lang w:val="en-GB"/>
              </w:rPr>
              <w:t>(**)</w:t>
            </w:r>
          </w:p>
        </w:tc>
        <w:tc>
          <w:tcPr>
            <w:tcW w:w="1638" w:type="dxa"/>
            <w:vAlign w:val="center"/>
          </w:tcPr>
          <w:p w:rsidR="00426C40" w:rsidRPr="00976830" w:rsidRDefault="00EC59C1" w:rsidP="00426C40">
            <w:pPr>
              <w:rPr>
                <w:sz w:val="24"/>
                <w:szCs w:val="24"/>
                <w:lang w:val="en-GB"/>
              </w:rPr>
            </w:pPr>
            <w:r w:rsidRPr="00976830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1196" w:type="dxa"/>
            <w:vAlign w:val="center"/>
          </w:tcPr>
          <w:p w:rsidR="00426C40" w:rsidRPr="009309D2" w:rsidRDefault="00426C40" w:rsidP="00426C40">
            <w:pPr>
              <w:rPr>
                <w:sz w:val="24"/>
                <w:szCs w:val="24"/>
                <w:lang w:val="en-GB"/>
              </w:rPr>
            </w:pPr>
          </w:p>
        </w:tc>
      </w:tr>
      <w:tr w:rsidR="00426C40" w:rsidRPr="009309D2" w:rsidTr="00426C40">
        <w:trPr>
          <w:cantSplit/>
          <w:trHeight w:val="576"/>
        </w:trPr>
        <w:tc>
          <w:tcPr>
            <w:tcW w:w="6408" w:type="dxa"/>
            <w:vAlign w:val="center"/>
          </w:tcPr>
          <w:p w:rsidR="00426C40" w:rsidRPr="009309D2" w:rsidRDefault="003C7D20" w:rsidP="00426C40">
            <w:pPr>
              <w:rPr>
                <w:sz w:val="24"/>
                <w:szCs w:val="24"/>
                <w:lang w:val="en-GB"/>
              </w:rPr>
            </w:pPr>
            <w:r w:rsidRPr="003C7D20">
              <w:rPr>
                <w:sz w:val="24"/>
                <w:szCs w:val="24"/>
                <w:lang w:val="sr-Latn-CS"/>
              </w:rPr>
              <w:lastRenderedPageBreak/>
              <w:t>Stanovništvo</w:t>
            </w:r>
            <w:r w:rsidR="00426C40" w:rsidRPr="009309D2">
              <w:rPr>
                <w:sz w:val="24"/>
                <w:szCs w:val="24"/>
                <w:lang w:val="en-GB"/>
              </w:rPr>
              <w:t xml:space="preserve"> (**)</w:t>
            </w:r>
          </w:p>
        </w:tc>
        <w:tc>
          <w:tcPr>
            <w:tcW w:w="1638" w:type="dxa"/>
            <w:vAlign w:val="center"/>
          </w:tcPr>
          <w:p w:rsidR="00426C40" w:rsidRPr="009309D2" w:rsidRDefault="009C6517" w:rsidP="00426C4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1773971</w:t>
            </w:r>
          </w:p>
        </w:tc>
        <w:tc>
          <w:tcPr>
            <w:tcW w:w="1196" w:type="dxa"/>
            <w:vAlign w:val="center"/>
          </w:tcPr>
          <w:p w:rsidR="00426C40" w:rsidRPr="003C7D20" w:rsidRDefault="007C7C8F" w:rsidP="003C7D20">
            <w:pPr>
              <w:rPr>
                <w:sz w:val="24"/>
                <w:szCs w:val="24"/>
                <w:lang w:val="sr-Latn-CS"/>
              </w:rPr>
            </w:pPr>
            <w:r w:rsidRPr="003C7D20">
              <w:rPr>
                <w:sz w:val="24"/>
                <w:szCs w:val="24"/>
                <w:lang w:val="sr-Latn-CS"/>
              </w:rPr>
              <w:t>M</w:t>
            </w:r>
            <w:r w:rsidR="00426C40" w:rsidRPr="003C7D20">
              <w:rPr>
                <w:sz w:val="24"/>
                <w:szCs w:val="24"/>
                <w:lang w:val="sr-Latn-CS"/>
              </w:rPr>
              <w:t>il</w:t>
            </w:r>
            <w:r w:rsidR="003C7D20" w:rsidRPr="003C7D20">
              <w:rPr>
                <w:sz w:val="24"/>
                <w:szCs w:val="24"/>
                <w:lang w:val="sr-Latn-CS"/>
              </w:rPr>
              <w:t>ioni</w:t>
            </w:r>
          </w:p>
        </w:tc>
      </w:tr>
    </w:tbl>
    <w:bookmarkEnd w:id="0"/>
    <w:p w:rsidR="007B6AD3" w:rsidRPr="00426C40" w:rsidRDefault="00D3625E" w:rsidP="00E84D14">
      <w:pPr>
        <w:spacing w:before="120" w:after="120"/>
        <w:jc w:val="center"/>
        <w:rPr>
          <w:lang w:val="en-GB"/>
        </w:rPr>
      </w:pPr>
      <w:r w:rsidRPr="00D3625E">
        <w:rPr>
          <w:lang w:val="sr-Latn-CS"/>
        </w:rPr>
        <w:t>Tabela 1: Ključni statistički podaci o energetici</w:t>
      </w:r>
    </w:p>
    <w:p w:rsidR="00900C3A" w:rsidRPr="00D3625E" w:rsidRDefault="00035929" w:rsidP="002F6954">
      <w:pPr>
        <w:spacing w:after="0"/>
        <w:rPr>
          <w:i/>
          <w:lang w:val="sr-Latn-CS"/>
        </w:rPr>
      </w:pPr>
      <w:r w:rsidRPr="00426C40">
        <w:rPr>
          <w:i/>
          <w:lang w:val="en-GB"/>
        </w:rPr>
        <w:t xml:space="preserve">(*) </w:t>
      </w:r>
      <w:r w:rsidR="002F6954" w:rsidRPr="00426C40">
        <w:rPr>
          <w:i/>
          <w:lang w:val="en-GB"/>
        </w:rPr>
        <w:tab/>
      </w:r>
      <w:r w:rsidR="00D3625E" w:rsidRPr="00D3625E">
        <w:rPr>
          <w:i/>
          <w:lang w:val="sr-Latn-CS"/>
        </w:rPr>
        <w:t>Statistike energetike</w:t>
      </w:r>
    </w:p>
    <w:p w:rsidR="00035929" w:rsidRPr="00D3625E" w:rsidRDefault="00035929" w:rsidP="002F6954">
      <w:pPr>
        <w:spacing w:after="0"/>
        <w:rPr>
          <w:i/>
          <w:lang w:val="sr-Latn-CS"/>
        </w:rPr>
      </w:pPr>
      <w:r w:rsidRPr="00D3625E">
        <w:rPr>
          <w:i/>
          <w:lang w:val="sr-Latn-CS"/>
        </w:rPr>
        <w:t xml:space="preserve">(**) </w:t>
      </w:r>
      <w:r w:rsidR="002F6954" w:rsidRPr="00D3625E">
        <w:rPr>
          <w:i/>
          <w:lang w:val="sr-Latn-CS"/>
        </w:rPr>
        <w:tab/>
      </w:r>
      <w:r w:rsidR="00D3625E" w:rsidRPr="00D3625E">
        <w:rPr>
          <w:i/>
          <w:lang w:val="sr-Latn-CS"/>
        </w:rPr>
        <w:t>Državni zavod za statistiku</w:t>
      </w:r>
    </w:p>
    <w:p w:rsidR="002F6954" w:rsidRPr="00D3625E" w:rsidRDefault="002F6954" w:rsidP="002F6954">
      <w:pPr>
        <w:spacing w:after="0"/>
        <w:rPr>
          <w:i/>
          <w:lang w:val="sr-Latn-CS"/>
        </w:rPr>
      </w:pPr>
      <w:r w:rsidRPr="00D3625E">
        <w:rPr>
          <w:i/>
          <w:lang w:val="sr-Latn-CS"/>
        </w:rPr>
        <w:t xml:space="preserve">(***) </w:t>
      </w:r>
      <w:r w:rsidRPr="00D3625E">
        <w:rPr>
          <w:i/>
          <w:lang w:val="sr-Latn-CS"/>
        </w:rPr>
        <w:tab/>
      </w:r>
      <w:r w:rsidR="00D3625E" w:rsidRPr="00D3625E">
        <w:rPr>
          <w:i/>
          <w:lang w:val="sr-Latn-CS"/>
        </w:rPr>
        <w:t>Nezavisni operator sistema (NOS), kompanije za proizvodnju električne energije</w:t>
      </w:r>
      <w:r w:rsidRPr="00D3625E">
        <w:rPr>
          <w:i/>
          <w:lang w:val="sr-Latn-CS"/>
        </w:rPr>
        <w:t xml:space="preserve">. </w:t>
      </w:r>
    </w:p>
    <w:p w:rsidR="00900C3A" w:rsidRPr="00795F43" w:rsidRDefault="00795F43" w:rsidP="00F576C2">
      <w:pPr>
        <w:pStyle w:val="Heading1"/>
        <w:rPr>
          <w:lang w:val="sr-Latn-CS"/>
        </w:rPr>
      </w:pPr>
      <w:r w:rsidRPr="00795F43">
        <w:rPr>
          <w:lang w:val="sr-Latn-CS"/>
        </w:rPr>
        <w:t>Pregled trendova potrošnje energije</w:t>
      </w:r>
    </w:p>
    <w:p w:rsidR="00CC6160" w:rsidRDefault="00994FA9" w:rsidP="00994FA9">
      <w:pPr>
        <w:jc w:val="both"/>
        <w:rPr>
          <w:rFonts w:cstheme="minorHAnsi"/>
          <w:lang w:val="en-US"/>
        </w:rPr>
      </w:pPr>
      <w:r w:rsidRPr="00994FA9">
        <w:rPr>
          <w:rFonts w:cstheme="minorHAnsi"/>
          <w:lang w:val="sr-Latn-CS"/>
        </w:rPr>
        <w:t xml:space="preserve">Nacionalni akcioni plan </w:t>
      </w:r>
      <w:r w:rsidR="00CB6BE9">
        <w:rPr>
          <w:rFonts w:cstheme="minorHAnsi"/>
          <w:lang w:val="sr-Latn-CS"/>
        </w:rPr>
        <w:t xml:space="preserve">za </w:t>
      </w:r>
      <w:r w:rsidRPr="00994FA9">
        <w:rPr>
          <w:rFonts w:cstheme="minorHAnsi"/>
          <w:lang w:val="sr-Latn-CS"/>
        </w:rPr>
        <w:t>energetsk</w:t>
      </w:r>
      <w:r w:rsidR="00CB6BE9">
        <w:rPr>
          <w:rFonts w:cstheme="minorHAnsi"/>
          <w:lang w:val="sr-Latn-CS"/>
        </w:rPr>
        <w:t>u efikasnost</w:t>
      </w:r>
      <w:r w:rsidRPr="00994FA9">
        <w:rPr>
          <w:rFonts w:cstheme="minorHAnsi"/>
          <w:lang w:val="sr-Latn-CS"/>
        </w:rPr>
        <w:t xml:space="preserve"> na Kosovu (N</w:t>
      </w:r>
      <w:r w:rsidR="00CB6BE9">
        <w:rPr>
          <w:rFonts w:cstheme="minorHAnsi"/>
          <w:lang w:val="sr-Latn-CS"/>
        </w:rPr>
        <w:t>APEE</w:t>
      </w:r>
      <w:r w:rsidRPr="00994FA9">
        <w:rPr>
          <w:rFonts w:cstheme="minorHAnsi"/>
          <w:lang w:val="sr-Latn-CS"/>
        </w:rPr>
        <w:t xml:space="preserve"> 2019-2021) definiše nacionalne ciljeve za smanjenje </w:t>
      </w:r>
      <w:r w:rsidR="00CB6BE9">
        <w:rPr>
          <w:rFonts w:cstheme="minorHAnsi"/>
          <w:lang w:val="sr-Latn-CS"/>
        </w:rPr>
        <w:t>finalne</w:t>
      </w:r>
      <w:r w:rsidRPr="00994FA9">
        <w:rPr>
          <w:rFonts w:cstheme="minorHAnsi"/>
          <w:lang w:val="sr-Latn-CS"/>
        </w:rPr>
        <w:t xml:space="preserve"> i primarne potrošnje energije za trogodišnji period 2019-2021, kao što </w:t>
      </w:r>
      <w:r>
        <w:rPr>
          <w:rFonts w:cstheme="minorHAnsi"/>
          <w:lang w:val="sr-Latn-CS"/>
        </w:rPr>
        <w:t>je propisano</w:t>
      </w:r>
      <w:r w:rsidRPr="00994FA9">
        <w:rPr>
          <w:rFonts w:cstheme="minorHAnsi"/>
          <w:lang w:val="sr-Latn-CS"/>
        </w:rPr>
        <w:t xml:space="preserve"> članom 3(1) </w:t>
      </w:r>
      <w:r w:rsidR="00CB6BE9">
        <w:rPr>
          <w:rFonts w:cstheme="minorHAnsi"/>
          <w:lang w:val="sr-Latn-CS"/>
        </w:rPr>
        <w:t>DEE-a</w:t>
      </w:r>
      <w:r w:rsidRPr="00994FA9">
        <w:rPr>
          <w:rFonts w:cstheme="minorHAnsi"/>
          <w:lang w:val="sr-Latn-CS"/>
        </w:rPr>
        <w:t xml:space="preserve">. Finalna potrošnja energije ne bi trebalo da pređe 1556 </w:t>
      </w:r>
      <w:proofErr w:type="spellStart"/>
      <w:r w:rsidRPr="00994FA9">
        <w:rPr>
          <w:rFonts w:cstheme="minorHAnsi"/>
          <w:lang w:val="sr-Latn-CS"/>
        </w:rPr>
        <w:t>ktoe</w:t>
      </w:r>
      <w:proofErr w:type="spellEnd"/>
      <w:r w:rsidRPr="00994FA9">
        <w:rPr>
          <w:rFonts w:cstheme="minorHAnsi"/>
          <w:lang w:val="sr-Latn-CS"/>
        </w:rPr>
        <w:t xml:space="preserve"> u 2020. Procenjeni nacionalni cilj </w:t>
      </w:r>
      <w:r w:rsidR="00644338">
        <w:rPr>
          <w:rFonts w:cstheme="minorHAnsi"/>
          <w:lang w:val="sr-Latn-CS"/>
        </w:rPr>
        <w:t xml:space="preserve">se </w:t>
      </w:r>
      <w:r w:rsidRPr="00994FA9">
        <w:rPr>
          <w:rFonts w:cstheme="minorHAnsi"/>
          <w:lang w:val="sr-Latn-CS"/>
        </w:rPr>
        <w:t xml:space="preserve">može izraziti potrošnjom primarne energije od 2847 </w:t>
      </w:r>
      <w:proofErr w:type="spellStart"/>
      <w:r w:rsidRPr="00994FA9">
        <w:rPr>
          <w:rFonts w:cstheme="minorHAnsi"/>
          <w:lang w:val="sr-Latn-CS"/>
        </w:rPr>
        <w:t>ktoe</w:t>
      </w:r>
      <w:proofErr w:type="spellEnd"/>
      <w:r w:rsidRPr="00994FA9">
        <w:rPr>
          <w:rFonts w:cstheme="minorHAnsi"/>
          <w:lang w:val="sr-Latn-CS"/>
        </w:rPr>
        <w:t>, na osnovu koeficijenta primarne energije - 1,83</w:t>
      </w:r>
      <w:r w:rsidR="00CC6160">
        <w:rPr>
          <w:rFonts w:cstheme="minorHAnsi"/>
          <w:lang w:val="en-US"/>
        </w:rPr>
        <w:t xml:space="preserve">*. </w:t>
      </w:r>
    </w:p>
    <w:p w:rsidR="00CC6160" w:rsidRPr="004561A0" w:rsidRDefault="00E95D9B" w:rsidP="00CC6160">
      <w:pPr>
        <w:rPr>
          <w:rFonts w:cstheme="minorHAnsi"/>
          <w:lang w:val="en-US"/>
        </w:rPr>
      </w:pPr>
      <w:r w:rsidRPr="00E95D9B">
        <w:rPr>
          <w:rFonts w:cstheme="minorHAnsi"/>
          <w:lang w:val="sr-Latn-CS"/>
        </w:rPr>
        <w:t>Za utvrđivanje ekonomskih i energetskih vrednosti za baznu 2015. godinu i relevantnih trendova u okv</w:t>
      </w:r>
      <w:r>
        <w:rPr>
          <w:rFonts w:cstheme="minorHAnsi"/>
          <w:lang w:val="sr-Latn-CS"/>
        </w:rPr>
        <w:t>iru različitih scenarija korišć</w:t>
      </w:r>
      <w:r w:rsidRPr="00E95D9B">
        <w:rPr>
          <w:rFonts w:cstheme="minorHAnsi"/>
          <w:lang w:val="sr-Latn-CS"/>
        </w:rPr>
        <w:t>eni su različiti statistički i drugi dostupni izvori podataka</w:t>
      </w:r>
      <w:r w:rsidR="00CC6160" w:rsidRPr="004561A0">
        <w:rPr>
          <w:rFonts w:cstheme="minorHAnsi"/>
          <w:lang w:val="en-US"/>
        </w:rPr>
        <w:t xml:space="preserve">. </w:t>
      </w:r>
    </w:p>
    <w:p w:rsidR="00CC6160" w:rsidRPr="00A00FAC" w:rsidRDefault="00A00FAC" w:rsidP="00CC6160">
      <w:pPr>
        <w:rPr>
          <w:rFonts w:cstheme="minorHAnsi"/>
          <w:lang w:val="sr-Latn-CS"/>
        </w:rPr>
      </w:pPr>
      <w:r w:rsidRPr="00A00FAC">
        <w:rPr>
          <w:rFonts w:cstheme="minorHAnsi"/>
          <w:lang w:val="sr-Latn-CS"/>
        </w:rPr>
        <w:t>Podaci o trendovima potrošnje energije su izvučeni iz energetskih bilansa Kosova 2015-2021</w:t>
      </w:r>
      <w:r w:rsidR="00CC6160" w:rsidRPr="00A00FAC">
        <w:rPr>
          <w:rFonts w:cstheme="minorHAnsi"/>
          <w:lang w:val="sr-Latn-CS"/>
        </w:rPr>
        <w:t>.</w:t>
      </w:r>
    </w:p>
    <w:p w:rsidR="00CC6160" w:rsidRPr="00BD5CB8" w:rsidRDefault="00860BAD" w:rsidP="00860BAD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572000" cy="2725615"/>
            <wp:effectExtent l="0" t="0" r="0" b="17780"/>
            <wp:docPr id="1" name="Chart 1" descr="Ktoe&#10;">
              <a:extLst xmlns:a="http://schemas.openxmlformats.org/drawingml/2006/main">
                <a:ext uri="{FF2B5EF4-FFF2-40B4-BE49-F238E27FC236}">
                  <a16:creationId xmlns:a16="http://schemas.microsoft.com/office/drawing/2014/main" id="{C561A5F6-3D05-4EBC-94B3-FC822C3F51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0BAD" w:rsidRPr="00A00FAC" w:rsidRDefault="00A00FAC" w:rsidP="00860BAD">
      <w:pPr>
        <w:jc w:val="center"/>
        <w:rPr>
          <w:color w:val="4F81BD" w:themeColor="accent1"/>
          <w:lang w:val="sr-Latn-CS"/>
        </w:rPr>
      </w:pPr>
      <w:r w:rsidRPr="00A00FAC">
        <w:rPr>
          <w:color w:val="4F81BD" w:themeColor="accent1"/>
          <w:lang w:val="sr-Latn-CS"/>
        </w:rPr>
        <w:t>Slika 1: Finalna i primarna potrošnja energije</w:t>
      </w:r>
    </w:p>
    <w:p w:rsidR="00F90BB7" w:rsidRDefault="00F90BB7" w:rsidP="00860BAD">
      <w:pPr>
        <w:jc w:val="center"/>
        <w:rPr>
          <w:color w:val="4F81BD" w:themeColor="accent1"/>
          <w:lang w:val="en-GB"/>
        </w:rPr>
      </w:pPr>
    </w:p>
    <w:p w:rsidR="00F90BB7" w:rsidRDefault="00F90BB7" w:rsidP="00860BAD">
      <w:pPr>
        <w:jc w:val="center"/>
        <w:rPr>
          <w:color w:val="4F81BD" w:themeColor="accent1"/>
          <w:lang w:val="en-GB"/>
        </w:rPr>
      </w:pPr>
    </w:p>
    <w:p w:rsidR="00F90BB7" w:rsidRDefault="00F90BB7" w:rsidP="00860BAD">
      <w:pPr>
        <w:jc w:val="center"/>
        <w:rPr>
          <w:color w:val="4F81BD" w:themeColor="accent1"/>
          <w:lang w:val="en-GB"/>
        </w:rPr>
      </w:pPr>
    </w:p>
    <w:p w:rsidR="00F90BB7" w:rsidRDefault="00F90BB7" w:rsidP="00F90BB7">
      <w:pPr>
        <w:rPr>
          <w:color w:val="4F81BD" w:themeColor="accent1"/>
          <w:lang w:val="en-GB"/>
        </w:rPr>
      </w:pPr>
      <w:r w:rsidRPr="00F90BB7">
        <w:rPr>
          <w:lang w:val="en-GB"/>
        </w:rPr>
        <w:t>*</w:t>
      </w:r>
      <w:r w:rsidRPr="00F90BB7">
        <w:rPr>
          <w:rFonts w:cstheme="minorHAnsi"/>
          <w:i/>
          <w:lang w:val="en-US"/>
        </w:rPr>
        <w:t>4</w:t>
      </w:r>
      <w:r w:rsidR="006E2D04" w:rsidRPr="006E2D04">
        <w:rPr>
          <w:rFonts w:cstheme="minorHAnsi"/>
          <w:i/>
          <w:lang w:val="en-US"/>
        </w:rPr>
        <w:t xml:space="preserve">. </w:t>
      </w:r>
      <w:r w:rsidRPr="006E2D04">
        <w:rPr>
          <w:rFonts w:cstheme="minorHAnsi"/>
          <w:i/>
          <w:lang w:val="en-US"/>
        </w:rPr>
        <w:t xml:space="preserve"> </w:t>
      </w:r>
      <w:r w:rsidR="006E2D04">
        <w:rPr>
          <w:rFonts w:cstheme="minorHAnsi"/>
          <w:i/>
          <w:lang w:val="en-US"/>
        </w:rPr>
        <w:t>N</w:t>
      </w:r>
      <w:r w:rsidRPr="00F90BB7">
        <w:rPr>
          <w:rFonts w:cstheme="minorHAnsi"/>
          <w:i/>
          <w:lang w:val="en-US"/>
        </w:rPr>
        <w:t>AP</w:t>
      </w:r>
      <w:r w:rsidR="006E2D04">
        <w:rPr>
          <w:rFonts w:cstheme="minorHAnsi"/>
          <w:i/>
          <w:lang w:val="en-US"/>
        </w:rPr>
        <w:t>EE</w:t>
      </w:r>
      <w:r w:rsidRPr="00F90BB7">
        <w:rPr>
          <w:rFonts w:cstheme="minorHAnsi"/>
          <w:i/>
          <w:lang w:val="en-US"/>
        </w:rPr>
        <w:t xml:space="preserve"> </w:t>
      </w:r>
      <w:r>
        <w:rPr>
          <w:rFonts w:cstheme="minorHAnsi"/>
          <w:i/>
          <w:lang w:val="en-US"/>
        </w:rPr>
        <w:t>2019-2021</w:t>
      </w:r>
    </w:p>
    <w:p w:rsidR="00F90BB7" w:rsidRDefault="00F90BB7" w:rsidP="00860BAD">
      <w:pPr>
        <w:jc w:val="center"/>
        <w:rPr>
          <w:color w:val="4F81BD" w:themeColor="accent1"/>
          <w:lang w:val="en-GB"/>
        </w:rPr>
      </w:pPr>
    </w:p>
    <w:p w:rsidR="00860BAD" w:rsidRDefault="00860BAD" w:rsidP="00860BAD">
      <w:pPr>
        <w:jc w:val="center"/>
        <w:rPr>
          <w:rFonts w:cstheme="minorHAnsi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572000" cy="2725615"/>
            <wp:effectExtent l="0" t="0" r="0" b="17780"/>
            <wp:docPr id="2" name="Chart 2" descr="Ktoe&#10;">
              <a:extLst xmlns:a="http://schemas.openxmlformats.org/drawingml/2006/main">
                <a:ext uri="{FF2B5EF4-FFF2-40B4-BE49-F238E27FC236}">
                  <a16:creationId xmlns:a16="http://schemas.microsoft.com/office/drawing/2014/main" id="{9076E80F-DE5B-4B62-A6B9-6DB0874664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0BAD" w:rsidRPr="003F75BE" w:rsidRDefault="003F75BE" w:rsidP="00860BAD">
      <w:pPr>
        <w:jc w:val="center"/>
        <w:rPr>
          <w:rFonts w:cstheme="minorHAnsi"/>
          <w:lang w:val="sr-Latn-CS"/>
        </w:rPr>
      </w:pPr>
      <w:r w:rsidRPr="003F75BE">
        <w:rPr>
          <w:color w:val="4F81BD" w:themeColor="accent1"/>
          <w:lang w:val="sr-Latn-CS"/>
        </w:rPr>
        <w:t>Slika 2: Finalna potrošnja energije po sektorima 2015 – 2021</w:t>
      </w:r>
    </w:p>
    <w:p w:rsidR="0060436C" w:rsidRPr="004D144C" w:rsidRDefault="004D144C" w:rsidP="0060436C">
      <w:pPr>
        <w:rPr>
          <w:rFonts w:cstheme="minorHAnsi"/>
          <w:lang w:val="sr-Latn-CS"/>
        </w:rPr>
      </w:pPr>
      <w:r w:rsidRPr="004D144C">
        <w:rPr>
          <w:rFonts w:cstheme="minorHAnsi"/>
          <w:lang w:val="sr-Latn-CS"/>
        </w:rPr>
        <w:t xml:space="preserve">U 2021. </w:t>
      </w:r>
      <w:r>
        <w:rPr>
          <w:rFonts w:cstheme="minorHAnsi"/>
          <w:lang w:val="sr-Latn-CS"/>
        </w:rPr>
        <w:t xml:space="preserve">godini, </w:t>
      </w:r>
      <w:r w:rsidRPr="004D144C">
        <w:rPr>
          <w:rFonts w:cstheme="minorHAnsi"/>
          <w:lang w:val="sr-Latn-CS"/>
        </w:rPr>
        <w:t xml:space="preserve">potrošnja primarne energije </w:t>
      </w:r>
      <w:r>
        <w:rPr>
          <w:rFonts w:cstheme="minorHAnsi"/>
          <w:lang w:val="sr-Latn-CS"/>
        </w:rPr>
        <w:t xml:space="preserve">je </w:t>
      </w:r>
      <w:r w:rsidRPr="004D144C">
        <w:rPr>
          <w:rFonts w:cstheme="minorHAnsi"/>
          <w:lang w:val="sr-Latn-CS"/>
        </w:rPr>
        <w:t xml:space="preserve">iznosila 2873,69 </w:t>
      </w:r>
      <w:proofErr w:type="spellStart"/>
      <w:r w:rsidRPr="004D144C">
        <w:rPr>
          <w:rFonts w:cstheme="minorHAnsi"/>
          <w:lang w:val="sr-Latn-CS"/>
        </w:rPr>
        <w:t>ktoe</w:t>
      </w:r>
      <w:proofErr w:type="spellEnd"/>
      <w:r w:rsidRPr="004D144C">
        <w:rPr>
          <w:rFonts w:cstheme="minorHAnsi"/>
          <w:lang w:val="sr-Latn-CS"/>
        </w:rPr>
        <w:t xml:space="preserve">, dok je finalna potrošnja energije bila 1596,39 </w:t>
      </w:r>
      <w:proofErr w:type="spellStart"/>
      <w:r w:rsidRPr="004D144C">
        <w:rPr>
          <w:rFonts w:cstheme="minorHAnsi"/>
          <w:lang w:val="sr-Latn-CS"/>
        </w:rPr>
        <w:t>ktoe</w:t>
      </w:r>
      <w:proofErr w:type="spellEnd"/>
      <w:r w:rsidRPr="004D144C">
        <w:rPr>
          <w:rFonts w:cstheme="minorHAnsi"/>
          <w:lang w:val="sr-Latn-CS"/>
        </w:rPr>
        <w:t xml:space="preserve">. Potrošnja primarne energije u odnosu na 2020. godinu </w:t>
      </w:r>
      <w:r>
        <w:rPr>
          <w:rFonts w:cstheme="minorHAnsi"/>
          <w:lang w:val="sr-Latn-CS"/>
        </w:rPr>
        <w:t>je porasla</w:t>
      </w:r>
      <w:r w:rsidRPr="004D144C">
        <w:rPr>
          <w:rFonts w:cstheme="minorHAnsi"/>
          <w:lang w:val="sr-Latn-CS"/>
        </w:rPr>
        <w:t xml:space="preserve"> za oko 5,11%, a potrošnja finalne energije je porasla za 3,47%</w:t>
      </w:r>
      <w:r w:rsidR="0060436C" w:rsidRPr="004D144C">
        <w:rPr>
          <w:rFonts w:cstheme="minorHAnsi"/>
          <w:lang w:val="sr-Latn-CS"/>
        </w:rPr>
        <w:t>.</w:t>
      </w:r>
    </w:p>
    <w:p w:rsidR="0060436C" w:rsidRPr="00F42F81" w:rsidRDefault="00F42F81" w:rsidP="0060436C">
      <w:pPr>
        <w:spacing w:after="0" w:line="240" w:lineRule="auto"/>
        <w:jc w:val="both"/>
        <w:rPr>
          <w:rFonts w:cstheme="minorHAnsi"/>
          <w:lang w:val="sr-Latn-CS"/>
        </w:rPr>
      </w:pPr>
      <w:r w:rsidRPr="00F42F81">
        <w:rPr>
          <w:rFonts w:cstheme="minorHAnsi"/>
          <w:lang w:val="sr-Latn-CS"/>
        </w:rPr>
        <w:t>Analiza kretanja finalne potrošnje energije pokazuje da pot</w:t>
      </w:r>
      <w:r>
        <w:rPr>
          <w:rFonts w:cstheme="minorHAnsi"/>
          <w:lang w:val="sr-Latn-CS"/>
        </w:rPr>
        <w:t>rošnja energije u sektoru domać</w:t>
      </w:r>
      <w:r w:rsidRPr="00F42F81">
        <w:rPr>
          <w:rFonts w:cstheme="minorHAnsi"/>
          <w:lang w:val="sr-Latn-CS"/>
        </w:rPr>
        <w:t xml:space="preserve">instava i dalje raste, što je za 3,07% više u odnosu na 2020. </w:t>
      </w:r>
      <w:r>
        <w:rPr>
          <w:rFonts w:cstheme="minorHAnsi"/>
          <w:lang w:val="sr-Latn-CS"/>
        </w:rPr>
        <w:t xml:space="preserve">godinu. </w:t>
      </w:r>
      <w:r w:rsidRPr="00F42F81">
        <w:rPr>
          <w:rFonts w:cstheme="minorHAnsi"/>
          <w:lang w:val="sr-Latn-CS"/>
        </w:rPr>
        <w:t xml:space="preserve">Potrošnja energije u sektoru </w:t>
      </w:r>
      <w:r>
        <w:rPr>
          <w:rFonts w:cstheme="minorHAnsi"/>
          <w:lang w:val="sr-Latn-CS"/>
        </w:rPr>
        <w:t>transport</w:t>
      </w:r>
      <w:r w:rsidRPr="00F42F81">
        <w:rPr>
          <w:rFonts w:cstheme="minorHAnsi"/>
          <w:lang w:val="sr-Latn-CS"/>
        </w:rPr>
        <w:t xml:space="preserve">a </w:t>
      </w:r>
      <w:r>
        <w:rPr>
          <w:rFonts w:cstheme="minorHAnsi"/>
          <w:lang w:val="sr-Latn-CS"/>
        </w:rPr>
        <w:t>je imala</w:t>
      </w:r>
      <w:r w:rsidRPr="00F42F81">
        <w:rPr>
          <w:rFonts w:cstheme="minorHAnsi"/>
          <w:lang w:val="sr-Latn-CS"/>
        </w:rPr>
        <w:t xml:space="preserve"> blagi pad od 0,71% u odnosu na 2020. godinu. Potrošnja energije u sektoru usluga za 2020. godinu (146.06 </w:t>
      </w:r>
      <w:proofErr w:type="spellStart"/>
      <w:r w:rsidRPr="00F42F81">
        <w:rPr>
          <w:rFonts w:cstheme="minorHAnsi"/>
          <w:lang w:val="sr-Latn-CS"/>
        </w:rPr>
        <w:t>ktoe</w:t>
      </w:r>
      <w:proofErr w:type="spellEnd"/>
      <w:r w:rsidRPr="00F42F81">
        <w:rPr>
          <w:rFonts w:cstheme="minorHAnsi"/>
          <w:lang w:val="sr-Latn-CS"/>
        </w:rPr>
        <w:t>) je povećan</w:t>
      </w:r>
      <w:r w:rsidR="00D756DF">
        <w:rPr>
          <w:rFonts w:cstheme="minorHAnsi"/>
          <w:lang w:val="sr-Latn-CS"/>
        </w:rPr>
        <w:t>a</w:t>
      </w:r>
      <w:r w:rsidRPr="00F42F81">
        <w:rPr>
          <w:rFonts w:cstheme="minorHAnsi"/>
          <w:lang w:val="sr-Latn-CS"/>
        </w:rPr>
        <w:t xml:space="preserve"> u odnosu na 2021. godinu (170.78 </w:t>
      </w:r>
      <w:proofErr w:type="spellStart"/>
      <w:r w:rsidRPr="00F42F81">
        <w:rPr>
          <w:rFonts w:cstheme="minorHAnsi"/>
          <w:lang w:val="sr-Latn-CS"/>
        </w:rPr>
        <w:t>ktoe</w:t>
      </w:r>
      <w:proofErr w:type="spellEnd"/>
      <w:r w:rsidRPr="00F42F81">
        <w:rPr>
          <w:rFonts w:cstheme="minorHAnsi"/>
          <w:lang w:val="sr-Latn-CS"/>
        </w:rPr>
        <w:t>)</w:t>
      </w:r>
      <w:r w:rsidR="00732C59">
        <w:rPr>
          <w:rFonts w:cstheme="minorHAnsi"/>
          <w:lang w:val="sr-Latn-CS"/>
        </w:rPr>
        <w:t>,</w:t>
      </w:r>
      <w:r w:rsidRPr="00F42F81">
        <w:rPr>
          <w:rFonts w:cstheme="minorHAnsi"/>
          <w:lang w:val="sr-Latn-CS"/>
        </w:rPr>
        <w:t xml:space="preserve"> odnosno 14.474%</w:t>
      </w:r>
      <w:r w:rsidR="0060436C" w:rsidRPr="00F42F81">
        <w:rPr>
          <w:rFonts w:cstheme="minorHAnsi"/>
          <w:lang w:val="sr-Latn-CS"/>
        </w:rPr>
        <w:t>.</w:t>
      </w:r>
    </w:p>
    <w:p w:rsidR="0060436C" w:rsidRDefault="0060436C" w:rsidP="00E24320">
      <w:pPr>
        <w:jc w:val="both"/>
        <w:rPr>
          <w:i/>
          <w:color w:val="0070C0"/>
          <w:lang w:val="en-US"/>
        </w:rPr>
      </w:pPr>
    </w:p>
    <w:p w:rsidR="0012652E" w:rsidRDefault="0012652E" w:rsidP="0012652E">
      <w:pPr>
        <w:jc w:val="center"/>
        <w:rPr>
          <w:i/>
          <w:color w:val="0070C0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572000" cy="2901462"/>
            <wp:effectExtent l="19050" t="0" r="1905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00A0D0B-4CF6-B2A1-4452-CB709D3959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662C" w:rsidRPr="0087662C" w:rsidRDefault="006231AF" w:rsidP="003C1F04">
      <w:pPr>
        <w:jc w:val="center"/>
        <w:rPr>
          <w:iCs/>
          <w:color w:val="0070C0"/>
          <w:lang w:val="en-US"/>
        </w:rPr>
      </w:pPr>
      <w:r w:rsidRPr="006231AF">
        <w:rPr>
          <w:iCs/>
          <w:color w:val="0070C0"/>
          <w:lang w:val="sr-Latn-CS"/>
        </w:rPr>
        <w:t>Slika</w:t>
      </w:r>
      <w:r w:rsidR="0087662C" w:rsidRPr="006231AF">
        <w:rPr>
          <w:iCs/>
          <w:color w:val="0070C0"/>
          <w:lang w:val="sr-Latn-CS"/>
        </w:rPr>
        <w:t xml:space="preserve"> 3: </w:t>
      </w:r>
      <w:r w:rsidR="00897C68" w:rsidRPr="006231AF">
        <w:rPr>
          <w:iCs/>
          <w:color w:val="0070C0"/>
          <w:lang w:val="sr-Latn-CS"/>
        </w:rPr>
        <w:t>P</w:t>
      </w:r>
      <w:r w:rsidRPr="006231AF">
        <w:rPr>
          <w:iCs/>
          <w:color w:val="0070C0"/>
          <w:lang w:val="sr-Latn-CS"/>
        </w:rPr>
        <w:t>otrošnja primarne energije</w:t>
      </w:r>
      <w:r>
        <w:rPr>
          <w:iCs/>
          <w:color w:val="0070C0"/>
          <w:lang w:val="en-US"/>
        </w:rPr>
        <w:t xml:space="preserve"> </w:t>
      </w:r>
      <w:r w:rsidR="003C1F04">
        <w:rPr>
          <w:iCs/>
          <w:color w:val="0070C0"/>
          <w:lang w:val="en-US"/>
        </w:rPr>
        <w:t>2015-2021</w:t>
      </w:r>
    </w:p>
    <w:p w:rsidR="00BA65FA" w:rsidRPr="00A04456" w:rsidRDefault="00A04456" w:rsidP="00F576C2">
      <w:pPr>
        <w:pStyle w:val="Heading1"/>
        <w:rPr>
          <w:lang w:val="sr-Latn-CS"/>
        </w:rPr>
      </w:pPr>
      <w:r w:rsidRPr="00A04456">
        <w:rPr>
          <w:lang w:val="sr-Latn-CS"/>
        </w:rPr>
        <w:lastRenderedPageBreak/>
        <w:t>Nacionalni ciljevi energetske efikasnosti</w:t>
      </w:r>
    </w:p>
    <w:p w:rsidR="00732600" w:rsidRPr="00A04456" w:rsidRDefault="00A04456" w:rsidP="00F2028B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A04456">
        <w:rPr>
          <w:rFonts w:cstheme="minorHAnsi"/>
          <w:lang w:val="sr-Latn-CS"/>
        </w:rPr>
        <w:t>Ciljevi su definisani Dugoročnim NAPEE-om 2010-2018, Dugoročnim energetskim bilansom Republike Kosovo 2015-2024 i 4. N</w:t>
      </w:r>
      <w:r>
        <w:rPr>
          <w:rFonts w:cstheme="minorHAnsi"/>
          <w:lang w:val="sr-Latn-CS"/>
        </w:rPr>
        <w:t>AP</w:t>
      </w:r>
      <w:r w:rsidRPr="00A04456">
        <w:rPr>
          <w:rFonts w:cstheme="minorHAnsi"/>
          <w:lang w:val="sr-Latn-CS"/>
        </w:rPr>
        <w:t>EE-om 2019-2021.</w:t>
      </w:r>
    </w:p>
    <w:p w:rsidR="00BA65FA" w:rsidRDefault="00BA65FA" w:rsidP="00BA65FA">
      <w:pPr>
        <w:jc w:val="both"/>
        <w:rPr>
          <w:i/>
          <w:color w:val="0070C0"/>
          <w:lang w:val="en-GB"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8"/>
        <w:gridCol w:w="5602"/>
      </w:tblGrid>
      <w:tr w:rsidR="00046F85" w:rsidRPr="00046F85" w:rsidTr="00046F85">
        <w:trPr>
          <w:trHeight w:val="40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046F85" w:rsidRPr="00F22D5E" w:rsidRDefault="00F22D5E" w:rsidP="00FA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Latn-CS" w:eastAsia="en-GB"/>
              </w:rPr>
            </w:pPr>
            <w:r w:rsidRPr="00F22D5E">
              <w:rPr>
                <w:rFonts w:ascii="Calibri" w:eastAsia="Times New Roman" w:hAnsi="Calibri" w:cs="Times New Roman"/>
                <w:b/>
                <w:bCs/>
                <w:lang w:val="sr-Latn-CS" w:eastAsia="en-GB"/>
              </w:rPr>
              <w:t>CILJ ENERGETSKE EFIKASNOSTI ZA 2020</w:t>
            </w:r>
          </w:p>
        </w:tc>
      </w:tr>
      <w:tr w:rsidR="00827F92" w:rsidRPr="00277F01" w:rsidTr="00666537">
        <w:trPr>
          <w:trHeight w:val="412"/>
          <w:jc w:val="center"/>
        </w:trPr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B0299" w:rsidRPr="0064588A" w:rsidRDefault="003B0299" w:rsidP="003B0299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lang w:val="sr-Latn-CS" w:eastAsia="en-GB"/>
              </w:rPr>
            </w:pPr>
            <w:r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>CILJ ZA 2020. IZRAŽEN U PEC</w:t>
            </w:r>
          </w:p>
          <w:p w:rsidR="00827F92" w:rsidRPr="0064588A" w:rsidRDefault="003B0299" w:rsidP="003B0299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lang w:val="sr-Latn-CS" w:eastAsia="en-GB"/>
              </w:rPr>
            </w:pPr>
            <w:r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>[</w:t>
            </w:r>
            <w:proofErr w:type="spellStart"/>
            <w:r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>ktoe</w:t>
            </w:r>
            <w:proofErr w:type="spellEnd"/>
            <w:r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 xml:space="preserve"> ili druga jedinica</w:t>
            </w:r>
            <w:r w:rsidR="00827F92"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>]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F92" w:rsidRPr="00666537" w:rsidRDefault="00B94C65" w:rsidP="006C42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94C65">
              <w:rPr>
                <w:rFonts w:eastAsia="Times New Roman" w:cstheme="minorHAnsi"/>
                <w:color w:val="000000"/>
                <w:lang w:val="en-GB" w:eastAsia="en-GB"/>
              </w:rPr>
              <w:t xml:space="preserve">2847 </w:t>
            </w:r>
            <w:proofErr w:type="spellStart"/>
            <w:r w:rsidR="00BB167C">
              <w:rPr>
                <w:rFonts w:eastAsia="Times New Roman" w:cstheme="minorHAnsi"/>
                <w:color w:val="000000"/>
                <w:lang w:val="en-GB" w:eastAsia="en-GB"/>
              </w:rPr>
              <w:t>ktoe</w:t>
            </w:r>
            <w:proofErr w:type="spellEnd"/>
          </w:p>
        </w:tc>
      </w:tr>
      <w:tr w:rsidR="00827F92" w:rsidRPr="00277F01" w:rsidTr="00666537">
        <w:trPr>
          <w:trHeight w:val="458"/>
          <w:jc w:val="center"/>
        </w:trPr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22DFA" w:rsidRPr="0064588A" w:rsidRDefault="00E22DFA" w:rsidP="00E22DFA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lang w:val="sr-Latn-CS" w:eastAsia="en-GB"/>
              </w:rPr>
            </w:pPr>
            <w:r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>CILJ ZA 2020. IZRAŽEN U PEC</w:t>
            </w:r>
          </w:p>
          <w:p w:rsidR="00827F92" w:rsidRPr="0064588A" w:rsidRDefault="00E22DFA" w:rsidP="00E22DFA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lang w:val="sr-Latn-CS" w:eastAsia="en-GB"/>
              </w:rPr>
            </w:pPr>
            <w:r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>[</w:t>
            </w:r>
            <w:proofErr w:type="spellStart"/>
            <w:r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>ktoe</w:t>
            </w:r>
            <w:proofErr w:type="spellEnd"/>
            <w:r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 xml:space="preserve"> ili druga jedinica</w:t>
            </w:r>
            <w:r w:rsidR="00827F92"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>]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F92" w:rsidRPr="00666537" w:rsidRDefault="007C7C8F" w:rsidP="00B94C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94C65">
              <w:rPr>
                <w:rFonts w:eastAsia="Times New Roman" w:cstheme="minorHAnsi"/>
                <w:color w:val="000000"/>
                <w:lang w:val="en-GB" w:eastAsia="en-GB"/>
              </w:rPr>
              <w:t xml:space="preserve">1556 </w:t>
            </w:r>
            <w:proofErr w:type="spellStart"/>
            <w:r>
              <w:rPr>
                <w:rFonts w:eastAsia="Times New Roman" w:cstheme="minorHAnsi"/>
                <w:color w:val="000000"/>
                <w:lang w:val="en-GB" w:eastAsia="en-GB"/>
              </w:rPr>
              <w:t>ktoe</w:t>
            </w:r>
            <w:proofErr w:type="spellEnd"/>
          </w:p>
        </w:tc>
      </w:tr>
      <w:tr w:rsidR="00666537" w:rsidRPr="007C7C8F" w:rsidTr="00666537">
        <w:trPr>
          <w:trHeight w:val="458"/>
          <w:jc w:val="center"/>
        </w:trPr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64588A" w:rsidRPr="0064588A" w:rsidRDefault="0064588A" w:rsidP="0064588A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lang w:val="sr-Latn-CS" w:eastAsia="en-GB"/>
              </w:rPr>
            </w:pPr>
            <w:r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>Da li je cilj revidiran u poređenju sa prethodnim obaveštenjem?</w:t>
            </w:r>
          </w:p>
          <w:p w:rsidR="00666537" w:rsidRPr="0064588A" w:rsidRDefault="0064588A" w:rsidP="0064588A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lang w:val="sr-Latn-CS" w:eastAsia="en-GB"/>
              </w:rPr>
            </w:pPr>
            <w:r>
              <w:rPr>
                <w:rFonts w:ascii="Calibri" w:eastAsia="Times New Roman" w:hAnsi="Calibri" w:cs="Times New Roman"/>
                <w:bCs/>
                <w:lang w:val="sr-Latn-CS" w:eastAsia="en-GB"/>
              </w:rPr>
              <w:t>[Da/</w:t>
            </w:r>
            <w:r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>ne</w:t>
            </w:r>
            <w:r w:rsidR="00666537" w:rsidRPr="0064588A">
              <w:rPr>
                <w:rFonts w:ascii="Calibri" w:eastAsia="Times New Roman" w:hAnsi="Calibri" w:cs="Times New Roman"/>
                <w:bCs/>
                <w:lang w:val="sr-Latn-CS" w:eastAsia="en-GB"/>
              </w:rPr>
              <w:t xml:space="preserve">]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537" w:rsidRPr="00666537" w:rsidRDefault="00591D27" w:rsidP="00103B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91D27">
              <w:rPr>
                <w:rFonts w:eastAsia="Times New Roman" w:cstheme="minorHAnsi"/>
                <w:i/>
                <w:color w:val="000000"/>
                <w:lang w:val="sr-Latn-CS" w:eastAsia="en-GB"/>
              </w:rPr>
              <w:t>Cilj za 2021. nije revidiran i planirano je da se obradi u NE</w:t>
            </w:r>
            <w:r w:rsidR="00103B3D">
              <w:rPr>
                <w:rFonts w:eastAsia="Times New Roman" w:cstheme="minorHAnsi"/>
                <w:i/>
                <w:color w:val="000000"/>
                <w:lang w:val="sr-Latn-CS" w:eastAsia="en-GB"/>
              </w:rPr>
              <w:t>K</w:t>
            </w:r>
            <w:r w:rsidRPr="00591D27">
              <w:rPr>
                <w:rFonts w:eastAsia="Times New Roman" w:cstheme="minorHAnsi"/>
                <w:i/>
                <w:color w:val="000000"/>
                <w:lang w:val="sr-Latn-CS" w:eastAsia="en-GB"/>
              </w:rPr>
              <w:t>P 2021-2030</w:t>
            </w:r>
            <w:r w:rsidR="00732600">
              <w:rPr>
                <w:rFonts w:eastAsia="Times New Roman" w:cstheme="minorHAnsi"/>
                <w:i/>
                <w:color w:val="000000"/>
                <w:lang w:val="en-GB" w:eastAsia="en-GB"/>
              </w:rPr>
              <w:t xml:space="preserve">.  </w:t>
            </w:r>
          </w:p>
        </w:tc>
      </w:tr>
      <w:tr w:rsidR="0038674C" w:rsidRPr="00666537" w:rsidTr="00666537">
        <w:trPr>
          <w:trHeight w:val="458"/>
          <w:jc w:val="center"/>
        </w:trPr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C26029" w:rsidRPr="00C26029" w:rsidRDefault="00C26029" w:rsidP="00C26029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lang w:val="sr-Latn-CS" w:eastAsia="en-GB"/>
              </w:rPr>
            </w:pPr>
            <w:r w:rsidRPr="00C26029">
              <w:rPr>
                <w:rFonts w:ascii="Calibri" w:eastAsia="Times New Roman" w:hAnsi="Calibri" w:cs="Times New Roman"/>
                <w:bCs/>
                <w:lang w:val="sr-Latn-CS" w:eastAsia="en-GB"/>
              </w:rPr>
              <w:t>Da li je nacionalni cilj postignut?</w:t>
            </w:r>
          </w:p>
          <w:p w:rsidR="00046F85" w:rsidRPr="00C26029" w:rsidRDefault="00C26029" w:rsidP="00C26029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lang w:val="sr-Latn-CS" w:eastAsia="en-GB"/>
              </w:rPr>
            </w:pPr>
            <w:r w:rsidRPr="00C26029">
              <w:rPr>
                <w:rFonts w:ascii="Calibri" w:eastAsia="Times New Roman" w:hAnsi="Calibri" w:cs="Times New Roman"/>
                <w:bCs/>
                <w:lang w:val="sr-Latn-CS" w:eastAsia="en-GB"/>
              </w:rPr>
              <w:t>[Da/ne</w:t>
            </w:r>
            <w:r w:rsidR="00046F85" w:rsidRPr="00C26029">
              <w:rPr>
                <w:rFonts w:ascii="Calibri" w:eastAsia="Times New Roman" w:hAnsi="Calibri" w:cs="Times New Roman"/>
                <w:bCs/>
                <w:lang w:val="sr-Latn-CS" w:eastAsia="en-GB"/>
              </w:rPr>
              <w:t>]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674C" w:rsidRPr="00C26029" w:rsidRDefault="00C26029" w:rsidP="0066653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sr-Latn-CS" w:eastAsia="en-GB"/>
              </w:rPr>
            </w:pPr>
            <w:r w:rsidRPr="00C26029">
              <w:rPr>
                <w:rFonts w:eastAsia="Times New Roman" w:cstheme="minorHAnsi"/>
                <w:i/>
                <w:color w:val="000000"/>
                <w:lang w:val="sr-Latn-CS" w:eastAsia="en-GB"/>
              </w:rPr>
              <w:t>Da</w:t>
            </w:r>
          </w:p>
        </w:tc>
      </w:tr>
      <w:tr w:rsidR="00046F85" w:rsidRPr="00277F01" w:rsidTr="00666537">
        <w:trPr>
          <w:trHeight w:val="458"/>
          <w:jc w:val="center"/>
        </w:trPr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046F85" w:rsidRPr="00666537" w:rsidRDefault="00046F85" w:rsidP="00046F85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lang w:val="en-GB" w:eastAsia="en-GB"/>
              </w:rPr>
            </w:pPr>
            <w:r w:rsidRPr="00666537">
              <w:rPr>
                <w:rFonts w:ascii="Calibri" w:eastAsia="Times New Roman" w:hAnsi="Calibri" w:cs="Times New Roman"/>
                <w:bCs/>
                <w:lang w:val="en-GB" w:eastAsia="en-GB"/>
              </w:rPr>
              <w:t>PEC</w:t>
            </w:r>
            <w:r>
              <w:rPr>
                <w:rFonts w:ascii="Calibri" w:eastAsia="Times New Roman" w:hAnsi="Calibri" w:cs="Times New Roman"/>
                <w:bCs/>
                <w:lang w:val="en-GB" w:eastAsia="en-GB"/>
              </w:rPr>
              <w:t xml:space="preserve"> </w:t>
            </w:r>
            <w:r w:rsidR="00965437" w:rsidRPr="00965437">
              <w:rPr>
                <w:rFonts w:ascii="Calibri" w:eastAsia="Times New Roman" w:hAnsi="Calibri" w:cs="Times New Roman"/>
                <w:bCs/>
                <w:lang w:val="sr-Latn-CS" w:eastAsia="en-GB"/>
              </w:rPr>
              <w:t>U</w:t>
            </w:r>
            <w:r>
              <w:rPr>
                <w:rFonts w:ascii="Calibri" w:eastAsia="Times New Roman" w:hAnsi="Calibri" w:cs="Times New Roman"/>
                <w:bCs/>
                <w:lang w:val="en-GB" w:eastAsia="en-GB"/>
              </w:rPr>
              <w:t xml:space="preserve"> </w:t>
            </w:r>
            <w:r w:rsidR="00B94C65">
              <w:rPr>
                <w:rFonts w:ascii="Calibri" w:eastAsia="Times New Roman" w:hAnsi="Calibri" w:cs="Times New Roman"/>
                <w:bCs/>
                <w:lang w:val="en-GB" w:eastAsia="en-GB"/>
              </w:rPr>
              <w:t>2020</w:t>
            </w:r>
          </w:p>
          <w:p w:rsidR="00046F85" w:rsidRPr="00666537" w:rsidRDefault="00046F85" w:rsidP="00C26029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lang w:val="en-GB" w:eastAsia="en-GB"/>
              </w:rPr>
            </w:pPr>
            <w:r w:rsidRPr="00666537">
              <w:rPr>
                <w:rFonts w:ascii="Calibri" w:eastAsia="Times New Roman" w:hAnsi="Calibri" w:cs="Times New Roman"/>
                <w:bCs/>
                <w:lang w:val="en-GB" w:eastAsia="en-GB"/>
              </w:rPr>
              <w:t>[</w:t>
            </w:r>
            <w:proofErr w:type="spellStart"/>
            <w:r w:rsidRPr="00666537">
              <w:rPr>
                <w:rFonts w:ascii="Calibri" w:eastAsia="Times New Roman" w:hAnsi="Calibri" w:cs="Times New Roman"/>
                <w:bCs/>
                <w:lang w:val="en-GB" w:eastAsia="en-GB"/>
              </w:rPr>
              <w:t>ktoe</w:t>
            </w:r>
            <w:proofErr w:type="spellEnd"/>
            <w:r w:rsidRPr="00666537">
              <w:rPr>
                <w:rFonts w:ascii="Calibri" w:eastAsia="Times New Roman" w:hAnsi="Calibri" w:cs="Times New Roman"/>
                <w:bCs/>
                <w:lang w:val="en-GB" w:eastAsia="en-GB"/>
              </w:rPr>
              <w:t xml:space="preserve"> </w:t>
            </w:r>
            <w:r w:rsidR="00C26029" w:rsidRPr="00C26029">
              <w:rPr>
                <w:rFonts w:ascii="Calibri" w:eastAsia="Times New Roman" w:hAnsi="Calibri" w:cs="Times New Roman"/>
                <w:bCs/>
                <w:lang w:val="sr-Latn-CS" w:eastAsia="en-GB"/>
              </w:rPr>
              <w:t>ili druga jedinica</w:t>
            </w:r>
            <w:r w:rsidRPr="00666537">
              <w:rPr>
                <w:rFonts w:ascii="Calibri" w:eastAsia="Times New Roman" w:hAnsi="Calibri" w:cs="Times New Roman"/>
                <w:bCs/>
                <w:lang w:val="en-GB" w:eastAsia="en-GB"/>
              </w:rPr>
              <w:t>]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F85" w:rsidRPr="00CB4513" w:rsidRDefault="0039090F" w:rsidP="0039090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lang w:val="en-GB" w:eastAsia="en-GB"/>
              </w:rPr>
              <w:t xml:space="preserve">2734 </w:t>
            </w:r>
            <w:proofErr w:type="spellStart"/>
            <w:r w:rsidR="000631CF" w:rsidRPr="00CB4513">
              <w:rPr>
                <w:rFonts w:eastAsia="Times New Roman" w:cstheme="minorHAnsi"/>
                <w:i/>
                <w:color w:val="000000"/>
                <w:lang w:val="en-GB" w:eastAsia="en-GB"/>
              </w:rPr>
              <w:t>ktoe</w:t>
            </w:r>
            <w:proofErr w:type="spellEnd"/>
          </w:p>
        </w:tc>
      </w:tr>
      <w:tr w:rsidR="00046F85" w:rsidRPr="00277F01" w:rsidTr="00666537">
        <w:trPr>
          <w:trHeight w:val="458"/>
          <w:jc w:val="center"/>
        </w:trPr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046F85" w:rsidRPr="00666537" w:rsidRDefault="00046F85" w:rsidP="00046F85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lang w:val="en-GB" w:eastAsia="en-GB"/>
              </w:rPr>
            </w:pPr>
            <w:r w:rsidRPr="00666537">
              <w:rPr>
                <w:rFonts w:ascii="Calibri" w:eastAsia="Times New Roman" w:hAnsi="Calibri" w:cs="Times New Roman"/>
                <w:bCs/>
                <w:lang w:val="en-GB" w:eastAsia="en-GB"/>
              </w:rPr>
              <w:t>FEC</w:t>
            </w:r>
            <w:r w:rsidR="00965437">
              <w:rPr>
                <w:rFonts w:ascii="Calibri" w:eastAsia="Times New Roman" w:hAnsi="Calibri" w:cs="Times New Roman"/>
                <w:bCs/>
                <w:lang w:val="en-GB" w:eastAsia="en-GB"/>
              </w:rPr>
              <w:t xml:space="preserve"> </w:t>
            </w:r>
            <w:r w:rsidR="00965437" w:rsidRPr="00965437">
              <w:rPr>
                <w:rFonts w:ascii="Calibri" w:eastAsia="Times New Roman" w:hAnsi="Calibri" w:cs="Times New Roman"/>
                <w:bCs/>
                <w:lang w:val="sr-Latn-CS" w:eastAsia="en-GB"/>
              </w:rPr>
              <w:t>U</w:t>
            </w:r>
            <w:r>
              <w:rPr>
                <w:rFonts w:ascii="Calibri" w:eastAsia="Times New Roman" w:hAnsi="Calibri" w:cs="Times New Roman"/>
                <w:bCs/>
                <w:lang w:val="en-GB" w:eastAsia="en-GB"/>
              </w:rPr>
              <w:t xml:space="preserve"> </w:t>
            </w:r>
            <w:r w:rsidR="00B94C65">
              <w:rPr>
                <w:rFonts w:ascii="Calibri" w:eastAsia="Times New Roman" w:hAnsi="Calibri" w:cs="Times New Roman"/>
                <w:bCs/>
                <w:lang w:val="en-GB" w:eastAsia="en-GB"/>
              </w:rPr>
              <w:t>2020</w:t>
            </w:r>
          </w:p>
          <w:p w:rsidR="00046F85" w:rsidRPr="00666537" w:rsidRDefault="00046F85" w:rsidP="00C26029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lang w:val="en-GB" w:eastAsia="en-GB"/>
              </w:rPr>
            </w:pPr>
            <w:r w:rsidRPr="00666537">
              <w:rPr>
                <w:rFonts w:ascii="Calibri" w:eastAsia="Times New Roman" w:hAnsi="Calibri" w:cs="Times New Roman"/>
                <w:bCs/>
                <w:lang w:val="en-GB" w:eastAsia="en-GB"/>
              </w:rPr>
              <w:t>[</w:t>
            </w:r>
            <w:proofErr w:type="spellStart"/>
            <w:r w:rsidRPr="00666537">
              <w:rPr>
                <w:rFonts w:ascii="Calibri" w:eastAsia="Times New Roman" w:hAnsi="Calibri" w:cs="Times New Roman"/>
                <w:bCs/>
                <w:lang w:val="en-GB" w:eastAsia="en-GB"/>
              </w:rPr>
              <w:t>ktoe</w:t>
            </w:r>
            <w:proofErr w:type="spellEnd"/>
            <w:r w:rsidRPr="00666537">
              <w:rPr>
                <w:rFonts w:ascii="Calibri" w:eastAsia="Times New Roman" w:hAnsi="Calibri" w:cs="Times New Roman"/>
                <w:bCs/>
                <w:lang w:val="en-GB" w:eastAsia="en-GB"/>
              </w:rPr>
              <w:t xml:space="preserve"> </w:t>
            </w:r>
            <w:r w:rsidR="00C26029" w:rsidRPr="00C26029">
              <w:rPr>
                <w:rFonts w:ascii="Calibri" w:eastAsia="Times New Roman" w:hAnsi="Calibri" w:cs="Times New Roman"/>
                <w:bCs/>
                <w:lang w:val="sr-Latn-CS" w:eastAsia="en-GB"/>
              </w:rPr>
              <w:t>ili druga jedinica</w:t>
            </w:r>
            <w:r w:rsidRPr="00666537">
              <w:rPr>
                <w:rFonts w:ascii="Calibri" w:eastAsia="Times New Roman" w:hAnsi="Calibri" w:cs="Times New Roman"/>
                <w:bCs/>
                <w:lang w:val="en-GB" w:eastAsia="en-GB"/>
              </w:rPr>
              <w:t>]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F85" w:rsidRPr="00CB4513" w:rsidRDefault="007C7C8F" w:rsidP="0039090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lang w:val="en-GB" w:eastAsia="en-GB"/>
              </w:rPr>
              <w:t xml:space="preserve">1543 </w:t>
            </w:r>
            <w:proofErr w:type="spellStart"/>
            <w:r>
              <w:rPr>
                <w:rFonts w:eastAsia="Times New Roman" w:cstheme="minorHAnsi"/>
                <w:i/>
                <w:color w:val="000000"/>
                <w:lang w:val="en-GB" w:eastAsia="en-GB"/>
              </w:rPr>
              <w:t>ktoe</w:t>
            </w:r>
            <w:proofErr w:type="spellEnd"/>
          </w:p>
        </w:tc>
      </w:tr>
      <w:tr w:rsidR="00666537" w:rsidRPr="007C7C8F" w:rsidTr="00666537">
        <w:trPr>
          <w:trHeight w:val="458"/>
          <w:jc w:val="center"/>
        </w:trPr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666537" w:rsidRPr="00EA36C4" w:rsidRDefault="00EA36C4" w:rsidP="00046F85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bCs/>
                <w:lang w:val="sr-Latn-CS" w:eastAsia="en-GB"/>
              </w:rPr>
            </w:pPr>
            <w:r w:rsidRPr="00EA36C4">
              <w:rPr>
                <w:rFonts w:ascii="Calibri" w:eastAsia="Times New Roman" w:hAnsi="Calibri" w:cs="Times New Roman"/>
                <w:bCs/>
                <w:lang w:val="sr-Latn-CS" w:eastAsia="en-GB"/>
              </w:rPr>
              <w:t>Molimo objasnite glavne faktore koji utiču na postizanje/</w:t>
            </w:r>
            <w:proofErr w:type="spellStart"/>
            <w:r w:rsidRPr="00EA36C4">
              <w:rPr>
                <w:rFonts w:ascii="Calibri" w:eastAsia="Times New Roman" w:hAnsi="Calibri" w:cs="Times New Roman"/>
                <w:bCs/>
                <w:lang w:val="sr-Latn-CS" w:eastAsia="en-GB"/>
              </w:rPr>
              <w:t>nepostizanje</w:t>
            </w:r>
            <w:proofErr w:type="spellEnd"/>
            <w:r w:rsidRPr="00EA36C4">
              <w:rPr>
                <w:rFonts w:ascii="Calibri" w:eastAsia="Times New Roman" w:hAnsi="Calibri" w:cs="Times New Roman"/>
                <w:bCs/>
                <w:lang w:val="sr-Latn-CS" w:eastAsia="en-GB"/>
              </w:rPr>
              <w:t xml:space="preserve"> cilja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537" w:rsidRPr="00666537" w:rsidRDefault="00EA36C4" w:rsidP="00EA3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EA36C4">
              <w:rPr>
                <w:rFonts w:eastAsia="Times New Roman" w:cstheme="minorHAnsi"/>
                <w:color w:val="000000"/>
                <w:lang w:val="sr-Latn-CS" w:eastAsia="en-GB"/>
              </w:rPr>
              <w:t>Zbog nedostatka investicija i ekonomske krize (pandemijska situacija covid-19)</w:t>
            </w:r>
            <w:r>
              <w:rPr>
                <w:rFonts w:eastAsia="Times New Roman" w:cstheme="minorHAnsi"/>
                <w:color w:val="000000"/>
                <w:lang w:val="sr-Latn-CS" w:eastAsia="en-GB"/>
              </w:rPr>
              <w:t>,</w:t>
            </w:r>
            <w:r w:rsidRPr="00EA36C4">
              <w:rPr>
                <w:rFonts w:eastAsia="Times New Roman" w:cstheme="minorHAnsi"/>
                <w:color w:val="000000"/>
                <w:lang w:val="sr-Latn-CS" w:eastAsia="en-GB"/>
              </w:rPr>
              <w:t xml:space="preserve"> ne </w:t>
            </w:r>
            <w:r>
              <w:rPr>
                <w:rFonts w:eastAsia="Times New Roman" w:cstheme="minorHAnsi"/>
                <w:color w:val="000000"/>
                <w:lang w:val="sr-Latn-CS" w:eastAsia="en-GB"/>
              </w:rPr>
              <w:t xml:space="preserve">može se porediti ostvareni cilj, </w:t>
            </w:r>
            <w:r w:rsidRPr="00EA36C4">
              <w:rPr>
                <w:rFonts w:eastAsia="Times New Roman" w:cstheme="minorHAnsi"/>
                <w:color w:val="000000"/>
                <w:lang w:val="sr-Latn-CS" w:eastAsia="en-GB"/>
              </w:rPr>
              <w:t>jer nije postavljen cilj za 2021. Za ovaj izveštajni period približna godišnja ušteda energije za period 2019. i 2020. iznosila je 10,21</w:t>
            </w:r>
            <w:r w:rsidR="005B236E">
              <w:rPr>
                <w:rFonts w:eastAsia="Times New Roman" w:cstheme="minorHAnsi"/>
                <w:color w:val="000000"/>
                <w:lang w:val="sr-Latn-CS" w:eastAsia="en-GB"/>
              </w:rPr>
              <w:t xml:space="preserve"> </w:t>
            </w:r>
            <w:proofErr w:type="spellStart"/>
            <w:r w:rsidRPr="00EA36C4">
              <w:rPr>
                <w:rFonts w:eastAsia="Times New Roman" w:cstheme="minorHAnsi"/>
                <w:color w:val="000000"/>
                <w:lang w:val="sr-Latn-CS" w:eastAsia="en-GB"/>
              </w:rPr>
              <w:t>ktoe</w:t>
            </w:r>
            <w:proofErr w:type="spellEnd"/>
            <w:r w:rsidRPr="00EA36C4">
              <w:rPr>
                <w:rFonts w:eastAsia="Times New Roman" w:cstheme="minorHAnsi"/>
                <w:color w:val="000000"/>
                <w:lang w:val="sr-Latn-CS" w:eastAsia="en-GB"/>
              </w:rPr>
              <w:t>. Ista putanja se kre</w:t>
            </w:r>
            <w:r>
              <w:rPr>
                <w:rFonts w:eastAsia="Times New Roman" w:cstheme="minorHAnsi"/>
                <w:color w:val="000000"/>
                <w:lang w:val="sr-Latn-CS" w:eastAsia="en-GB"/>
              </w:rPr>
              <w:t>ć</w:t>
            </w:r>
            <w:r w:rsidRPr="00EA36C4">
              <w:rPr>
                <w:rFonts w:eastAsia="Times New Roman" w:cstheme="minorHAnsi"/>
                <w:color w:val="000000"/>
                <w:lang w:val="sr-Latn-CS" w:eastAsia="en-GB"/>
              </w:rPr>
              <w:t>e i za 2021. godinu</w:t>
            </w:r>
            <w:r w:rsidR="00B61BFB">
              <w:rPr>
                <w:rFonts w:eastAsia="Times New Roman" w:cstheme="minorHAnsi"/>
                <w:color w:val="000000"/>
                <w:lang w:val="en-GB" w:eastAsia="en-GB"/>
              </w:rPr>
              <w:t>.</w:t>
            </w:r>
          </w:p>
        </w:tc>
      </w:tr>
    </w:tbl>
    <w:p w:rsidR="000A3E46" w:rsidRPr="006F453A" w:rsidRDefault="006F453A" w:rsidP="00F576C2">
      <w:pPr>
        <w:pStyle w:val="Heading1"/>
        <w:rPr>
          <w:lang w:val="sr-Latn-CS"/>
        </w:rPr>
      </w:pPr>
      <w:r w:rsidRPr="006F453A">
        <w:rPr>
          <w:lang w:val="sr-Latn-CS"/>
        </w:rPr>
        <w:t>Ažuriranja o glavnim merama energetske efikasnosti</w:t>
      </w:r>
      <w:r w:rsidR="000A3E46" w:rsidRPr="006F453A">
        <w:rPr>
          <w:lang w:val="sr-Latn-CS"/>
        </w:rPr>
        <w:t xml:space="preserve"> </w:t>
      </w:r>
    </w:p>
    <w:p w:rsidR="008B074D" w:rsidRPr="00E82D7D" w:rsidRDefault="00E82D7D" w:rsidP="008B074D">
      <w:pPr>
        <w:spacing w:after="0" w:line="240" w:lineRule="auto"/>
        <w:jc w:val="both"/>
        <w:rPr>
          <w:rFonts w:cstheme="minorHAnsi"/>
          <w:lang w:val="sr-Latn-CS"/>
        </w:rPr>
      </w:pPr>
      <w:r w:rsidRPr="00E82D7D">
        <w:rPr>
          <w:rFonts w:cstheme="minorHAnsi"/>
          <w:lang w:val="sr-Latn-CS"/>
        </w:rPr>
        <w:t xml:space="preserve">Tokom 2021. </w:t>
      </w:r>
      <w:r>
        <w:rPr>
          <w:rFonts w:cstheme="minorHAnsi"/>
          <w:lang w:val="sr-Latn-CS"/>
        </w:rPr>
        <w:t>g</w:t>
      </w:r>
      <w:r w:rsidRPr="00E82D7D">
        <w:rPr>
          <w:rFonts w:cstheme="minorHAnsi"/>
          <w:lang w:val="sr-Latn-CS"/>
        </w:rPr>
        <w:t>odine</w:t>
      </w:r>
      <w:r>
        <w:rPr>
          <w:rFonts w:cstheme="minorHAnsi"/>
          <w:lang w:val="sr-Latn-CS"/>
        </w:rPr>
        <w:t>,</w:t>
      </w:r>
      <w:r w:rsidRPr="00E82D7D">
        <w:rPr>
          <w:rFonts w:cstheme="minorHAnsi"/>
          <w:lang w:val="sr-Latn-CS"/>
        </w:rPr>
        <w:t xml:space="preserve"> primena mere energetske efikasnosti stagnira zbog ograničenja COVID-a i smanjen</w:t>
      </w:r>
      <w:r>
        <w:rPr>
          <w:rFonts w:cstheme="minorHAnsi"/>
          <w:lang w:val="sr-Latn-CS"/>
        </w:rPr>
        <w:t>ih građevinskih aktivnosti. Već</w:t>
      </w:r>
      <w:r w:rsidRPr="00E82D7D">
        <w:rPr>
          <w:rFonts w:cstheme="minorHAnsi"/>
          <w:lang w:val="sr-Latn-CS"/>
        </w:rPr>
        <w:t xml:space="preserve">ina projekata koji se planiraju za realizaciju </w:t>
      </w:r>
      <w:r w:rsidR="00E74CDA">
        <w:rPr>
          <w:rFonts w:cstheme="minorHAnsi"/>
          <w:lang w:val="sr-Latn-CS"/>
        </w:rPr>
        <w:t xml:space="preserve">su </w:t>
      </w:r>
      <w:r w:rsidRPr="00E82D7D">
        <w:rPr>
          <w:rFonts w:cstheme="minorHAnsi"/>
          <w:lang w:val="sr-Latn-CS"/>
        </w:rPr>
        <w:t xml:space="preserve">odloženi za 2022. godinu zbog ograničenja </w:t>
      </w:r>
      <w:r w:rsidR="00E74CDA">
        <w:rPr>
          <w:rFonts w:cstheme="minorHAnsi"/>
          <w:lang w:val="sr-Latn-CS"/>
        </w:rPr>
        <w:t>c</w:t>
      </w:r>
      <w:r w:rsidRPr="00E82D7D">
        <w:rPr>
          <w:rFonts w:cstheme="minorHAnsi"/>
          <w:lang w:val="sr-Latn-CS"/>
        </w:rPr>
        <w:t>ovid</w:t>
      </w:r>
      <w:r w:rsidR="00E74CDA">
        <w:rPr>
          <w:rFonts w:cstheme="minorHAnsi"/>
          <w:lang w:val="sr-Latn-CS"/>
        </w:rPr>
        <w:t>-</w:t>
      </w:r>
      <w:r w:rsidRPr="00E82D7D">
        <w:rPr>
          <w:rFonts w:cstheme="minorHAnsi"/>
          <w:lang w:val="sr-Latn-CS"/>
        </w:rPr>
        <w:t>a. Fond za energetsku efikasnost je pokrenuo procedure za implementaciju EE u javnim zgradama. Više od 77 javnih zgrada na opštinskom nivou je podvrgnuto energetskoj reviziji, a detaljni projekat za implementaciju je završen do danas</w:t>
      </w:r>
      <w:r w:rsidR="00B3759F" w:rsidRPr="00E82D7D">
        <w:rPr>
          <w:rFonts w:cstheme="minorHAnsi"/>
          <w:lang w:val="sr-Latn-CS"/>
        </w:rPr>
        <w:t xml:space="preserve">. </w:t>
      </w:r>
    </w:p>
    <w:p w:rsidR="000A3E46" w:rsidRPr="00F71188" w:rsidRDefault="00F71188" w:rsidP="00F576C2">
      <w:pPr>
        <w:pStyle w:val="Heading2"/>
        <w:numPr>
          <w:ilvl w:val="0"/>
          <w:numId w:val="4"/>
        </w:numPr>
        <w:spacing w:after="120"/>
        <w:ind w:left="714" w:hanging="357"/>
        <w:rPr>
          <w:b w:val="0"/>
          <w:bCs w:val="0"/>
          <w:color w:val="auto"/>
          <w:sz w:val="22"/>
          <w:szCs w:val="22"/>
          <w:lang w:val="sr-Latn-CS"/>
        </w:rPr>
      </w:pPr>
      <w:r w:rsidRPr="00F71188">
        <w:rPr>
          <w:b w:val="0"/>
          <w:bCs w:val="0"/>
          <w:color w:val="auto"/>
          <w:sz w:val="22"/>
          <w:szCs w:val="22"/>
          <w:lang w:val="sr-Latn-CS"/>
        </w:rPr>
        <w:t>Zakonodavne mere</w:t>
      </w:r>
    </w:p>
    <w:p w:rsidR="00193F14" w:rsidRPr="00193F14" w:rsidRDefault="00F71188" w:rsidP="00193F14">
      <w:pPr>
        <w:pStyle w:val="ListParagraph"/>
        <w:numPr>
          <w:ilvl w:val="0"/>
          <w:numId w:val="4"/>
        </w:numPr>
        <w:jc w:val="both"/>
        <w:rPr>
          <w:iCs/>
          <w:lang w:val="en-GB"/>
        </w:rPr>
      </w:pPr>
      <w:r w:rsidRPr="00F71188">
        <w:rPr>
          <w:iCs/>
          <w:lang w:val="sr-Latn-CS"/>
        </w:rPr>
        <w:t>Spisak novih primarnih zakona (ažuriranj</w:t>
      </w:r>
      <w:r>
        <w:rPr>
          <w:iCs/>
          <w:lang w:val="sr-Latn-CS"/>
        </w:rPr>
        <w:t>e</w:t>
      </w:r>
      <w:r w:rsidRPr="00F71188">
        <w:rPr>
          <w:iCs/>
          <w:lang w:val="sr-Latn-CS"/>
        </w:rPr>
        <w:t xml:space="preserve"> zakona o energetici ili energetskoj efikasnosti) i drugih akata (pravilnici, </w:t>
      </w:r>
      <w:r>
        <w:rPr>
          <w:iCs/>
          <w:lang w:val="sr-Latn-CS"/>
        </w:rPr>
        <w:t>uredbe</w:t>
      </w:r>
      <w:r w:rsidRPr="00F71188">
        <w:rPr>
          <w:iCs/>
          <w:lang w:val="sr-Latn-CS"/>
        </w:rPr>
        <w:t>, uputstva) je dat u tabeli ispod</w:t>
      </w:r>
      <w:r w:rsidR="00193F14" w:rsidRPr="00193F14">
        <w:rPr>
          <w:iCs/>
          <w:lang w:val="en-GB"/>
        </w:rPr>
        <w:t>.</w:t>
      </w:r>
    </w:p>
    <w:p w:rsidR="00B3759F" w:rsidRDefault="003628AB" w:rsidP="000A3E46">
      <w:pPr>
        <w:jc w:val="both"/>
        <w:rPr>
          <w:iCs/>
          <w:lang w:val="en-GB"/>
        </w:rPr>
      </w:pPr>
      <w:r w:rsidRPr="003628AB">
        <w:rPr>
          <w:iCs/>
          <w:lang w:val="sr-Latn-CS"/>
        </w:rPr>
        <w:t xml:space="preserve">Tokom ovog izveštajnog perioda </w:t>
      </w:r>
      <w:r>
        <w:rPr>
          <w:iCs/>
          <w:lang w:val="sr-Latn-CS"/>
        </w:rPr>
        <w:t xml:space="preserve">su </w:t>
      </w:r>
      <w:r w:rsidRPr="003628AB">
        <w:rPr>
          <w:iCs/>
          <w:lang w:val="sr-Latn-CS"/>
        </w:rPr>
        <w:t>usvojeni i sprovode se sledeći zakonski i regulatorni akti</w:t>
      </w:r>
      <w:r w:rsidR="00B3759F">
        <w:rPr>
          <w:iCs/>
          <w:lang w:val="en-GB"/>
        </w:rPr>
        <w:t xml:space="preserve">; </w:t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5155"/>
      </w:tblGrid>
      <w:tr w:rsidR="008631BE" w:rsidRPr="000B3BAC" w:rsidTr="008631BE">
        <w:trPr>
          <w:trHeight w:val="412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631BE" w:rsidRPr="003628AB" w:rsidRDefault="003628AB" w:rsidP="00BD3BB0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sr-Latn-CS" w:eastAsia="en-GB"/>
              </w:rPr>
            </w:pPr>
            <w:r w:rsidRPr="003628AB">
              <w:rPr>
                <w:rFonts w:ascii="Calibri" w:eastAsia="Times New Roman" w:hAnsi="Calibri" w:cs="Times New Roman"/>
                <w:bCs/>
                <w:sz w:val="20"/>
                <w:szCs w:val="20"/>
                <w:lang w:val="sr-Latn-CS" w:eastAsia="en-GB"/>
              </w:rPr>
              <w:t>ZAKONODAVNA MERA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631BE" w:rsidRPr="00E17BFE" w:rsidRDefault="00E17BFE" w:rsidP="00BD3B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Latn-CS" w:eastAsia="en-GB"/>
              </w:rPr>
            </w:pPr>
            <w:r w:rsidRPr="00E17BFE">
              <w:rPr>
                <w:rFonts w:eastAsia="Times New Roman" w:cstheme="minorHAnsi"/>
                <w:color w:val="000000"/>
                <w:sz w:val="20"/>
                <w:szCs w:val="20"/>
                <w:lang w:val="sr-Latn-CS" w:eastAsia="en-GB"/>
              </w:rPr>
              <w:t>DATUM OBJAVLJIVANJA / IZVOR</w:t>
            </w:r>
          </w:p>
        </w:tc>
      </w:tr>
      <w:tr w:rsidR="00B3759F" w:rsidRPr="007C7C8F" w:rsidTr="00B3759F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9F" w:rsidRPr="00E204DF" w:rsidRDefault="00E204DF" w:rsidP="00B3759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E204D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Administrativno uputstvo (ME) BR. 01/2021 o zahtevima energetske efikasnosti za operatora prenosnog sistema i operatora distributivnog sistema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9F" w:rsidRPr="00BD3BB0" w:rsidRDefault="00000000" w:rsidP="00B375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hyperlink r:id="rId11" w:history="1">
              <w:r w:rsidR="00B3759F" w:rsidRPr="0070321E">
                <w:rPr>
                  <w:rStyle w:val="Hyperlink"/>
                  <w:rFonts w:eastAsia="Times New Roman" w:cstheme="minorHAnsi"/>
                  <w:i/>
                  <w:sz w:val="18"/>
                  <w:szCs w:val="18"/>
                  <w:lang w:val="en-GB" w:eastAsia="en-GB"/>
                </w:rPr>
                <w:t>https://me.rks-gov.net/repository/docs/UDHeZIM_ADMINISTRATIV_(ME)_NR._01_2021_PeR_KeRKESAT_E_EFI%C3%87IENCeS_Se_ENERGJISe_PeR_OPERATORIN_E_SISTEMIT_Te_TRANSMETIMIT_DHE_OPERATORIN_E_SISTEMIT_Te_S___.pdf</w:t>
              </w:r>
            </w:hyperlink>
          </w:p>
        </w:tc>
      </w:tr>
      <w:tr w:rsidR="00B3759F" w:rsidRPr="007C7C8F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9F" w:rsidRPr="00E204DF" w:rsidRDefault="00E204DF" w:rsidP="00E204DF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E204D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lastRenderedPageBreak/>
              <w:t>Administrativno uputstvo (ME) BR. 02/2021 o kriterijumima energetske efikasnosti za regulisanje energetske mreže i tarife električne mreže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9F" w:rsidRPr="00976830" w:rsidRDefault="00000000" w:rsidP="00B3759F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hyperlink r:id="rId12" w:history="1">
              <w:r w:rsidR="00B3759F" w:rsidRPr="009D7414">
                <w:rPr>
                  <w:rStyle w:val="Hyperlink"/>
                  <w:rFonts w:eastAsia="Times New Roman" w:cstheme="minorHAnsi"/>
                  <w:i/>
                  <w:sz w:val="16"/>
                  <w:szCs w:val="16"/>
                  <w:lang w:val="en-GB" w:eastAsia="en-GB"/>
                </w:rPr>
                <w:t>https://me.rks-gov.net/repository/docs/2_UDHEZIM_ADMINISTRATIV_(ME)_NR.02_2021_PER_KRITERET_E_EFI%C3%87IENCES_SE_ENERGJISE_PER_RREGULLIMIN_E_RRJETIT_TE_ENERGJISE_DHE_PER_TARIFAT_E_RRJETIT_TE_ENERG___.pdf</w:t>
              </w:r>
            </w:hyperlink>
          </w:p>
        </w:tc>
      </w:tr>
      <w:tr w:rsidR="00E6431D" w:rsidRPr="007C7C8F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E204DF" w:rsidRDefault="00E204DF" w:rsidP="00C35A2D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E204D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Administrativno uputstvo (ME) BR. 04/2021 </w:t>
            </w:r>
            <w:r w:rsidR="004951D3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o</w:t>
            </w:r>
            <w:r w:rsidRPr="00E204D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 izmen</w:t>
            </w:r>
            <w:r w:rsidR="004951D3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ama</w:t>
            </w:r>
            <w:r w:rsidRPr="00E204D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 i dopun</w:t>
            </w:r>
            <w:r w:rsidR="004951D3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ama</w:t>
            </w:r>
            <w:r w:rsidRPr="00E204D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 Administrativnog uputstva (MER) br. 03/2019 o energetskom sadržaju goriva </w:t>
            </w:r>
            <w:r w:rsidR="00C35A2D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namenjenih </w:t>
            </w:r>
            <w:r w:rsidRPr="00E204D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za krajnju upotrebu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9D7414" w:rsidRDefault="00000000" w:rsidP="00E643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hyperlink r:id="rId13" w:history="1">
              <w:r w:rsidR="00E6431D" w:rsidRPr="009D7414">
                <w:rPr>
                  <w:rStyle w:val="Hyperlink"/>
                  <w:rFonts w:eastAsia="Times New Roman" w:cstheme="minorHAnsi"/>
                  <w:i/>
                  <w:sz w:val="16"/>
                  <w:szCs w:val="16"/>
                  <w:lang w:val="en-GB" w:eastAsia="en-GB"/>
                </w:rPr>
                <w:t>https://me.rks-gov.net/repository/docs/3_UDHEZIM_ADMINISTRATIV_(ME)_NR.04_2021_PER_NDRYSHIMIN_DHE_PLOTESIMIN_E_UDHEZIMIT_ADMINISTRATIV__(MZHE)_NR._03_2019_PER_PERMBAJTJEN_ENERGJISE_SE_LENDEVE___.pdf</w:t>
              </w:r>
            </w:hyperlink>
          </w:p>
        </w:tc>
      </w:tr>
      <w:tr w:rsidR="00E6431D" w:rsidRPr="007C7C8F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862DD6" w:rsidRDefault="00862DD6" w:rsidP="00E6431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862DD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Administrativno uputstvo (ME) BR. 05/2021 o opštem okviru izveštavanja o energetskoj efikasnosti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9D7414" w:rsidRDefault="00000000" w:rsidP="00E6431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  <w:hyperlink r:id="rId14" w:history="1">
              <w:r w:rsidR="00E6431D" w:rsidRPr="009D7414">
                <w:rPr>
                  <w:rStyle w:val="Hyperlink"/>
                  <w:rFonts w:eastAsia="Times New Roman" w:cstheme="minorHAnsi"/>
                  <w:sz w:val="16"/>
                  <w:szCs w:val="16"/>
                  <w:lang w:val="en-GB" w:eastAsia="en-GB"/>
                </w:rPr>
                <w:t>https://me.rks-gov.net/repository/docs/4_UDHEZIM_ADMINISTRATIV_(ME)_Nr.05_2021_PER_KORNIZEN_E_PERGJITHSHME_TE_RAPORTIMIT_PER_EFI%C3%87IENCE_TE_ENERGJISE.pdf</w:t>
              </w:r>
            </w:hyperlink>
          </w:p>
        </w:tc>
      </w:tr>
      <w:tr w:rsidR="00E6431D" w:rsidRPr="007C7C8F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BD3BB0" w:rsidRDefault="00862DD6" w:rsidP="00E6431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 w:rsidRPr="00862DD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Administrativno uputstvo (ME) BR. 06/2021 o energetskim uslugama</w:t>
            </w:r>
            <w:r w:rsidRPr="00862DD6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 xml:space="preserve"> </w:t>
            </w:r>
            <w:r w:rsidR="00E6431D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(ESCO)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9D7414" w:rsidRDefault="00000000" w:rsidP="00E6431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  <w:hyperlink r:id="rId15" w:history="1">
              <w:r w:rsidR="00E6431D" w:rsidRPr="009D7414">
                <w:rPr>
                  <w:rStyle w:val="Hyperlink"/>
                  <w:rFonts w:eastAsia="Times New Roman" w:cstheme="minorHAnsi"/>
                  <w:sz w:val="16"/>
                  <w:szCs w:val="16"/>
                  <w:lang w:val="en-GB" w:eastAsia="en-GB"/>
                </w:rPr>
                <w:t>https://me.rks-gov.net/repository/docs/5_UDHEZIM_ADMINISTRATIV_(ME)_NR.06_2021_PER_SHERBIMET_E_ENERGJISE_(ESCO).pdf</w:t>
              </w:r>
            </w:hyperlink>
          </w:p>
        </w:tc>
      </w:tr>
      <w:tr w:rsidR="00E6431D" w:rsidRPr="007C7C8F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ED5182" w:rsidRDefault="00ED5182" w:rsidP="00E6431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ED5182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Koncept dokument za reviziju Zakona o energetskoj efikasnosti br. 06/L-079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173FAC" w:rsidRDefault="00173FAC" w:rsidP="00E6431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r-Latn-CS" w:eastAsia="en-GB"/>
              </w:rPr>
            </w:pPr>
            <w:r w:rsidRPr="00173FAC">
              <w:rPr>
                <w:rFonts w:eastAsia="Times New Roman" w:cstheme="minorHAnsi"/>
                <w:i/>
                <w:color w:val="000000"/>
                <w:sz w:val="16"/>
                <w:szCs w:val="16"/>
                <w:lang w:val="sr-Latn-CS" w:eastAsia="en-GB"/>
              </w:rPr>
              <w:t>Pokrenut je postupak za ažuriranje Zakona o energetskoj efikasnosti</w:t>
            </w:r>
          </w:p>
        </w:tc>
      </w:tr>
      <w:tr w:rsidR="00E6431D" w:rsidRPr="007C7C8F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113559" w:rsidRDefault="00113559" w:rsidP="00E6431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113559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Energetska strategija Kosova za period 2022 – 2031 je dostupna kao nacrt i prošla je javnu konsultaciju</w:t>
            </w:r>
            <w:r w:rsidR="00E6431D" w:rsidRPr="00113559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9D7414" w:rsidRDefault="00000000" w:rsidP="00E6431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  <w:hyperlink r:id="rId16" w:history="1">
              <w:r w:rsidR="00E6431D" w:rsidRPr="009D7414">
                <w:rPr>
                  <w:rStyle w:val="Hyperlink"/>
                  <w:rFonts w:eastAsia="Times New Roman" w:cstheme="minorHAnsi"/>
                  <w:i/>
                  <w:sz w:val="16"/>
                  <w:szCs w:val="16"/>
                  <w:lang w:val="en-GB" w:eastAsia="en-GB"/>
                </w:rPr>
                <w:t>https://konsultimet.rks-gov.net/viewConsult.php?ConsultationID=41426</w:t>
              </w:r>
            </w:hyperlink>
          </w:p>
        </w:tc>
      </w:tr>
      <w:tr w:rsidR="009C6105" w:rsidRPr="00071E80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05" w:rsidRPr="00D421CC" w:rsidRDefault="00D421CC" w:rsidP="00E6431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D421CC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Nacionalni akcioni plan za energetsku efikasnost za period (2022-2024) je u procesu </w:t>
            </w:r>
            <w:proofErr w:type="spellStart"/>
            <w:r w:rsidRPr="00D421CC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finalizacije</w:t>
            </w:r>
            <w:proofErr w:type="spellEnd"/>
            <w:r w:rsidR="009C6105" w:rsidRPr="00D421CC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05" w:rsidRPr="00D421CC" w:rsidRDefault="00D421CC" w:rsidP="00E6431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val="sr-Latn-CS" w:eastAsia="en-GB"/>
              </w:rPr>
            </w:pPr>
            <w:r w:rsidRPr="00D421CC">
              <w:rPr>
                <w:rFonts w:eastAsia="Times New Roman" w:cstheme="minorHAnsi"/>
                <w:i/>
                <w:color w:val="000000"/>
                <w:sz w:val="18"/>
                <w:szCs w:val="18"/>
                <w:lang w:val="sr-Latn-CS" w:eastAsia="en-GB"/>
              </w:rPr>
              <w:t>U postupku izrade</w:t>
            </w:r>
          </w:p>
        </w:tc>
      </w:tr>
      <w:tr w:rsidR="009C6105" w:rsidRPr="00071E80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05" w:rsidRPr="008E3D45" w:rsidRDefault="008E3D45" w:rsidP="008E3D45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8E3D45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Zakon o energetskim performansama 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zgrada</w:t>
            </w:r>
            <w:r w:rsidRPr="008E3D45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 je revidiran u s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kladu sa izmenama u preinačenoj </w:t>
            </w:r>
            <w:r w:rsidRPr="008E3D45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D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EPZ</w:t>
            </w:r>
            <w:r w:rsidRPr="008E3D45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 (Direktiva 2018/844/EU) uporedo sa usklađivanjem odgovarajućih podzakonskih akata</w:t>
            </w:r>
            <w:r w:rsidR="002D7EC0" w:rsidRPr="008E3D45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05" w:rsidRPr="008E3D45" w:rsidRDefault="008E3D45" w:rsidP="00E6431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val="sr-Latn-CS" w:eastAsia="en-GB"/>
              </w:rPr>
            </w:pPr>
            <w:r w:rsidRPr="008E3D45">
              <w:rPr>
                <w:rFonts w:eastAsia="Times New Roman" w:cstheme="minorHAnsi"/>
                <w:i/>
                <w:color w:val="000000"/>
                <w:sz w:val="18"/>
                <w:szCs w:val="18"/>
                <w:lang w:val="sr-Latn-CS" w:eastAsia="en-GB"/>
              </w:rPr>
              <w:t>U postupku izrade</w:t>
            </w:r>
          </w:p>
        </w:tc>
      </w:tr>
      <w:tr w:rsidR="00193F14" w:rsidRPr="007C7C8F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14" w:rsidRDefault="00024C24" w:rsidP="00A4215E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 w:rsidRPr="00024C24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Izrada šablona i smernica za integrisane opštinske akcione planove za energetsku efikasnost i klimu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 xml:space="preserve"> </w:t>
            </w:r>
            <w:r w:rsidR="00A4215E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(OAPEE</w:t>
            </w:r>
            <w:r w:rsidR="00685D76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K</w:t>
            </w:r>
            <w:r w:rsidR="00D33770" w:rsidRPr="009D7414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14" w:rsidRPr="00685D76" w:rsidRDefault="00685D76" w:rsidP="00E6431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685D7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U procesu izrade i pilotiranja u 6 opština. Dečane, Glogovac, Uroševac, Gnjilane, Podujevo i Prizren</w:t>
            </w:r>
            <w:r w:rsidR="00D33770" w:rsidRPr="00685D7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.</w:t>
            </w:r>
          </w:p>
        </w:tc>
      </w:tr>
      <w:tr w:rsidR="00193F14" w:rsidRPr="00071E80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14" w:rsidRPr="00685D76" w:rsidRDefault="00685D76" w:rsidP="00E6431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proofErr w:type="spellStart"/>
            <w:r w:rsidRPr="00685D7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Finalizacija</w:t>
            </w:r>
            <w:proofErr w:type="spellEnd"/>
            <w:r w:rsidRPr="00685D7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 Nacionalnog plana za povećanje broja zgrada sa skoro nultom potrošnjom energije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14" w:rsidRPr="00685D76" w:rsidRDefault="00685D76" w:rsidP="00E6431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685D7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Nacrt</w:t>
            </w:r>
          </w:p>
        </w:tc>
      </w:tr>
      <w:tr w:rsidR="00193F14" w:rsidRPr="00071E80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14" w:rsidRPr="00685D76" w:rsidRDefault="00685D76" w:rsidP="00E6431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proofErr w:type="spellStart"/>
            <w:r w:rsidRPr="00685D7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Finalizacija</w:t>
            </w:r>
            <w:proofErr w:type="spellEnd"/>
            <w:r w:rsidRPr="00685D7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 smernica za postavljanje minimalnih zahteva za energetskim karakteristikama zgrada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14" w:rsidRPr="00685D76" w:rsidRDefault="00685D76" w:rsidP="00E6431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685D7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Nacrt</w:t>
            </w:r>
          </w:p>
        </w:tc>
      </w:tr>
      <w:tr w:rsidR="00193F14" w:rsidRPr="00071E80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14" w:rsidRDefault="00D33770" w:rsidP="00E6431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 w:rsidRPr="009D7414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“</w:t>
            </w:r>
            <w:r w:rsidR="00446EE4" w:rsidRPr="00446EE4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Mehanizmi finansiranja za promociju implementacije EE i RE mera u stambenim i privatnim građevinskim sektorima na Kosovu</w:t>
            </w:r>
            <w:r w:rsidRPr="009D7414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”.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14" w:rsidRPr="009D7414" w:rsidRDefault="00446EE4" w:rsidP="00E6431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 w:rsidRPr="00685D7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Nacrt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 </w:t>
            </w:r>
          </w:p>
        </w:tc>
      </w:tr>
      <w:tr w:rsidR="00193F14" w:rsidRPr="007C7C8F" w:rsidTr="008631BE">
        <w:trPr>
          <w:trHeight w:val="45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70" w:rsidRPr="00BB6F2E" w:rsidRDefault="00BB6F2E" w:rsidP="00D33770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BB6F2E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Publikacija: „Tipologija i energetske performanse stambenih zgrada u Republici Kosovo</w:t>
            </w:r>
            <w:r w:rsidR="00D33770" w:rsidRPr="00BB6F2E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"</w:t>
            </w:r>
          </w:p>
          <w:p w:rsidR="00193F14" w:rsidRDefault="00193F14" w:rsidP="00D33770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14" w:rsidRPr="009D7414" w:rsidRDefault="00193F14" w:rsidP="00E6431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</w:p>
        </w:tc>
      </w:tr>
    </w:tbl>
    <w:p w:rsidR="009D7414" w:rsidRDefault="009D7414" w:rsidP="000A3E46">
      <w:pPr>
        <w:jc w:val="both"/>
        <w:rPr>
          <w:i/>
          <w:color w:val="0070C0"/>
          <w:lang w:val="en-GB"/>
        </w:rPr>
      </w:pPr>
    </w:p>
    <w:p w:rsidR="000A3E46" w:rsidRPr="00A37FAF" w:rsidRDefault="00A37FAF" w:rsidP="00F576C2">
      <w:pPr>
        <w:pStyle w:val="Heading2"/>
        <w:numPr>
          <w:ilvl w:val="0"/>
          <w:numId w:val="4"/>
        </w:numPr>
        <w:spacing w:after="120"/>
        <w:ind w:left="714" w:hanging="357"/>
        <w:rPr>
          <w:sz w:val="24"/>
          <w:szCs w:val="24"/>
          <w:lang w:val="sr-Latn-CS"/>
        </w:rPr>
      </w:pPr>
      <w:proofErr w:type="spellStart"/>
      <w:r w:rsidRPr="00A37FAF">
        <w:rPr>
          <w:sz w:val="24"/>
          <w:szCs w:val="24"/>
          <w:lang w:val="sr-Latn-CS"/>
        </w:rPr>
        <w:t>Nezakonodavne</w:t>
      </w:r>
      <w:proofErr w:type="spellEnd"/>
      <w:r w:rsidRPr="00A37FAF">
        <w:rPr>
          <w:sz w:val="24"/>
          <w:szCs w:val="24"/>
          <w:lang w:val="sr-Latn-CS"/>
        </w:rPr>
        <w:t xml:space="preserve"> mere</w:t>
      </w:r>
    </w:p>
    <w:p w:rsidR="00E6431D" w:rsidRDefault="00A37FAF" w:rsidP="000A3E46">
      <w:pPr>
        <w:jc w:val="both"/>
        <w:rPr>
          <w:i/>
          <w:color w:val="0070C0"/>
          <w:lang w:val="en-GB"/>
        </w:rPr>
      </w:pPr>
      <w:r w:rsidRPr="00A37FAF">
        <w:rPr>
          <w:iCs/>
          <w:lang w:val="sr-Latn-CS"/>
        </w:rPr>
        <w:t xml:space="preserve">U tabeli ispod su navedene </w:t>
      </w:r>
      <w:proofErr w:type="spellStart"/>
      <w:r w:rsidRPr="00A37FAF">
        <w:rPr>
          <w:iCs/>
          <w:lang w:val="sr-Latn-CS"/>
        </w:rPr>
        <w:t>nezakonodavne</w:t>
      </w:r>
      <w:proofErr w:type="spellEnd"/>
      <w:r w:rsidRPr="00A37FAF">
        <w:rPr>
          <w:iCs/>
          <w:lang w:val="sr-Latn-CS"/>
        </w:rPr>
        <w:t xml:space="preserve"> mere preduzete sa centralnog i lokalnog nivoa</w:t>
      </w:r>
      <w:r w:rsidR="00826186">
        <w:rPr>
          <w:iCs/>
          <w:lang w:val="en-GB"/>
        </w:rPr>
        <w:t xml:space="preserve">. </w:t>
      </w:r>
    </w:p>
    <w:tbl>
      <w:tblPr>
        <w:tblpPr w:leftFromText="180" w:rightFromText="180" w:vertAnchor="text" w:horzAnchor="margin" w:tblpY="170"/>
        <w:tblW w:w="5135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2"/>
        <w:gridCol w:w="3962"/>
        <w:gridCol w:w="1201"/>
        <w:gridCol w:w="1565"/>
        <w:gridCol w:w="1288"/>
      </w:tblGrid>
      <w:tr w:rsidR="00A906C2" w:rsidRPr="007C7C8F" w:rsidTr="00A906C2">
        <w:trPr>
          <w:trHeight w:val="412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04CA1" w:rsidRPr="00227FF8" w:rsidRDefault="00227FF8" w:rsidP="00F04CA1">
            <w:pPr>
              <w:spacing w:after="0" w:line="240" w:lineRule="auto"/>
              <w:ind w:left="142"/>
              <w:jc w:val="center"/>
              <w:rPr>
                <w:rFonts w:eastAsia="Times New Roman" w:cstheme="minorHAnsi"/>
                <w:bCs/>
                <w:sz w:val="18"/>
                <w:szCs w:val="18"/>
                <w:lang w:val="sr-Latn-CS" w:eastAsia="en-GB"/>
              </w:rPr>
            </w:pPr>
            <w:r w:rsidRPr="00227FF8">
              <w:rPr>
                <w:rFonts w:eastAsia="Times New Roman" w:cstheme="minorHAnsi"/>
                <w:bCs/>
                <w:sz w:val="18"/>
                <w:szCs w:val="18"/>
                <w:lang w:val="sr-Latn-CS" w:eastAsia="en-GB"/>
              </w:rPr>
              <w:t>NAZIV MERE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04CA1" w:rsidRPr="00227FF8" w:rsidRDefault="00227FF8" w:rsidP="00F04C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227FF8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KRATAK OPIS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04CA1" w:rsidRPr="00227FF8" w:rsidRDefault="00F04CA1" w:rsidP="00F04C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227FF8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PERIOD</w:t>
            </w:r>
            <w:r w:rsidR="00227FF8" w:rsidRPr="00227FF8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 xml:space="preserve"> IMPLEMENTACIJE</w:t>
            </w:r>
          </w:p>
          <w:p w:rsidR="00F04CA1" w:rsidRPr="009A000F" w:rsidRDefault="00F04CA1" w:rsidP="00F04C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(YYYY-YYYY)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04CA1" w:rsidRPr="00BC28D9" w:rsidRDefault="00BC28D9" w:rsidP="00BC28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BC28D9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PROCENA UŠTEDE ENERGIJE ZA 2020. (KTOE), SMANJENJA GHG (KT CO2-EKVIVALENTA) I % DOPRINOSA CILJU EE ZA 2020. GODINU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04CA1" w:rsidRPr="005254AC" w:rsidRDefault="005254AC" w:rsidP="00633A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5254AC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IZVOR GDE JE DOSTUPNO VIŠE DETALJA</w:t>
            </w:r>
          </w:p>
        </w:tc>
      </w:tr>
      <w:tr w:rsidR="00A906C2" w:rsidRPr="009A000F" w:rsidTr="00A906C2">
        <w:trPr>
          <w:trHeight w:val="127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CA1" w:rsidRPr="005254AC" w:rsidRDefault="009D3458" w:rsidP="009C6105">
            <w:pPr>
              <w:spacing w:after="0" w:line="240" w:lineRule="auto"/>
              <w:ind w:left="60"/>
              <w:rPr>
                <w:rFonts w:eastAsia="Times New Roman" w:cstheme="minorHAnsi"/>
                <w:bCs/>
                <w:sz w:val="18"/>
                <w:szCs w:val="18"/>
                <w:lang w:val="sr-Latn-CS" w:eastAsia="en-GB"/>
              </w:rPr>
            </w:pPr>
            <w:r w:rsidRPr="009D3458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Implementacija</w:t>
            </w:r>
            <w:r w:rsidRPr="005254AC">
              <w:rPr>
                <w:rFonts w:eastAsia="Times New Roman" w:cstheme="minorHAnsi"/>
                <w:bCs/>
                <w:sz w:val="18"/>
                <w:szCs w:val="18"/>
                <w:lang w:val="sr-Latn-CS" w:eastAsia="en-GB"/>
              </w:rPr>
              <w:t xml:space="preserve"> </w:t>
            </w:r>
            <w:r w:rsidR="005254AC" w:rsidRPr="005254AC">
              <w:rPr>
                <w:rFonts w:eastAsia="Times New Roman" w:cstheme="minorHAnsi"/>
                <w:bCs/>
                <w:sz w:val="18"/>
                <w:szCs w:val="18"/>
                <w:lang w:val="sr-Latn-CS" w:eastAsia="en-GB"/>
              </w:rPr>
              <w:t xml:space="preserve"> mera energetske efikasnosti u javnim zgradama u sledećim opštinama: (Oblić, Kamenica, Gračanica, Peć i Dragaš</w:t>
            </w:r>
            <w:r w:rsidR="00C61EAA" w:rsidRPr="005254AC">
              <w:rPr>
                <w:rFonts w:eastAsia="Times New Roman" w:cstheme="minorHAnsi"/>
                <w:bCs/>
                <w:sz w:val="18"/>
                <w:szCs w:val="18"/>
                <w:lang w:val="sr-Latn-CS" w:eastAsia="en-GB"/>
              </w:rPr>
              <w:t>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F50CA2" w:rsidRDefault="00F50CA2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sr-Latn-CS" w:eastAsia="en-GB"/>
              </w:rPr>
            </w:pPr>
            <w:r w:rsidRPr="00F50CA2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 xml:space="preserve">Implementacija mera EE u zgradama se sastoji od sledećeg: </w:t>
            </w:r>
            <w:proofErr w:type="spellStart"/>
            <w:r w:rsidRPr="00F50CA2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Termoizolacija</w:t>
            </w:r>
            <w:proofErr w:type="spellEnd"/>
            <w:r w:rsidRPr="00F50CA2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 xml:space="preserve"> omotača zgrade, ugradnja efikasnog grejanja i rashladne instalacije, renoviranje javne ulične rasvete sa LED rasvetom, itd. Ukupna vrednost investicije je 0,96 </w:t>
            </w:r>
            <w:r w:rsidR="00892579" w:rsidRPr="009D3458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 xml:space="preserve"> miliona evra</w:t>
            </w:r>
            <w:r w:rsidR="00892579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5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9C6105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sz w:val="18"/>
                <w:szCs w:val="18"/>
                <w:lang w:val="en-GB" w:eastAsia="en-GB"/>
              </w:rPr>
              <w:t>2021</w:t>
            </w:r>
          </w:p>
          <w:p w:rsidR="009C6105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9C6105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9C6105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F04CA1" w:rsidRPr="009A000F" w:rsidRDefault="00F04CA1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1" w:rsidRPr="009A000F" w:rsidRDefault="00B356E1" w:rsidP="009C6105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B356E1" w:rsidRPr="009A000F" w:rsidRDefault="00B356E1" w:rsidP="009C6105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F04CA1" w:rsidRPr="009A000F" w:rsidRDefault="00B356E1" w:rsidP="009C6105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0.17 </w:t>
            </w:r>
            <w:proofErr w:type="spellStart"/>
            <w:r w:rsidRPr="009A000F">
              <w:rPr>
                <w:rFonts w:eastAsia="Times New Roman" w:cstheme="minorHAnsi"/>
                <w:sz w:val="18"/>
                <w:szCs w:val="18"/>
                <w:lang w:val="en-GB" w:eastAsia="en-GB"/>
              </w:rPr>
              <w:t>Ktoe</w:t>
            </w:r>
            <w:proofErr w:type="spellEnd"/>
          </w:p>
          <w:p w:rsidR="00B356E1" w:rsidRPr="009A000F" w:rsidRDefault="00B356E1" w:rsidP="009C6105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A1" w:rsidRPr="009A000F" w:rsidRDefault="00E001B3" w:rsidP="009C6105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sz w:val="18"/>
                <w:szCs w:val="18"/>
                <w:lang w:val="en-GB" w:eastAsia="en-GB"/>
              </w:rPr>
              <w:t>-</w:t>
            </w:r>
          </w:p>
        </w:tc>
      </w:tr>
      <w:tr w:rsidR="00A906C2" w:rsidRPr="009A000F" w:rsidTr="00A906C2">
        <w:trPr>
          <w:trHeight w:val="458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627ACD" w:rsidRDefault="009D3458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sr-Latn-CS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Implementacija</w:t>
            </w:r>
            <w:r w:rsidR="00627ACD" w:rsidRPr="00627ACD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 xml:space="preserve"> mera EE u zgradama centralne vlade (</w:t>
            </w:r>
            <w:proofErr w:type="spellStart"/>
            <w:r w:rsidR="00627ACD" w:rsidRPr="00627ACD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invest</w:t>
            </w:r>
            <w:proofErr w:type="spellEnd"/>
            <w:r w:rsidR="00627ACD" w:rsidRPr="00627ACD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. Ministarstvo pravde</w:t>
            </w:r>
            <w:r w:rsidR="00E6431D" w:rsidRPr="00627ACD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EC" w:rsidRPr="00697CEC" w:rsidRDefault="00697CEC" w:rsidP="00697CEC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sr-Latn-CS" w:eastAsia="en-GB"/>
              </w:rPr>
            </w:pPr>
            <w:r w:rsidRPr="00697CEC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Zamena unutrašnjeg sistema osvetljenja i nadogradnja na LED sijalice,</w:t>
            </w:r>
          </w:p>
          <w:p w:rsidR="00CB0D01" w:rsidRPr="009A000F" w:rsidRDefault="00697CEC" w:rsidP="00697CEC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697CEC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 xml:space="preserve">ukupna investicija je 1,08 </w:t>
            </w:r>
            <w:r w:rsidR="00892579" w:rsidRPr="009D3458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 xml:space="preserve"> miliona evra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D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sz w:val="18"/>
                <w:szCs w:val="18"/>
                <w:lang w:val="en-GB" w:eastAsia="en-GB"/>
              </w:rPr>
              <w:t>2021</w:t>
            </w:r>
          </w:p>
          <w:p w:rsidR="009C6105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9C6105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D" w:rsidRPr="009A000F" w:rsidRDefault="00B356E1" w:rsidP="009C6105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0.196 </w:t>
            </w:r>
            <w:proofErr w:type="spellStart"/>
            <w:r w:rsidRPr="009A000F">
              <w:rPr>
                <w:rFonts w:eastAsia="Times New Roman" w:cstheme="minorHAnsi"/>
                <w:sz w:val="18"/>
                <w:szCs w:val="18"/>
                <w:lang w:val="en-GB" w:eastAsia="en-GB"/>
              </w:rPr>
              <w:t>ktoe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9A000F" w:rsidRDefault="00E6431D" w:rsidP="009C6105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906C2" w:rsidRPr="009A000F" w:rsidTr="00A906C2">
        <w:trPr>
          <w:trHeight w:val="179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9D3458" w:rsidRDefault="009D3458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sr-Latn-CS" w:eastAsia="en-GB"/>
              </w:rPr>
            </w:pPr>
            <w:r w:rsidRPr="009D3458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Implementacija mera EE u sektoru poljoprivrede (</w:t>
            </w:r>
            <w:proofErr w:type="spellStart"/>
            <w:r w:rsidRPr="009D3458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invest</w:t>
            </w:r>
            <w:proofErr w:type="spellEnd"/>
            <w:r w:rsidRPr="009D3458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 xml:space="preserve">. </w:t>
            </w:r>
            <w:r w:rsidRPr="009D3458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lastRenderedPageBreak/>
              <w:t>Ministarstvo poljoprivrede</w:t>
            </w:r>
            <w:r w:rsidR="00E6431D" w:rsidRPr="009D3458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D" w:rsidRPr="009D3458" w:rsidRDefault="009D3458" w:rsidP="009D3458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sr-Latn-CS" w:eastAsia="en-GB"/>
              </w:rPr>
            </w:pPr>
            <w:r w:rsidRPr="009D3458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lastRenderedPageBreak/>
              <w:t xml:space="preserve">Implementacija mera EE u sektoru poljoprivrede kroz Program ruralnog razvoja 2014-2021. </w:t>
            </w:r>
            <w:r w:rsidRPr="009D3458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lastRenderedPageBreak/>
              <w:t>Ukupna investicija je 4,4 miliona evra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D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sz w:val="18"/>
                <w:szCs w:val="18"/>
                <w:lang w:val="en-GB" w:eastAsia="en-GB"/>
              </w:rPr>
              <w:lastRenderedPageBreak/>
              <w:t>2021</w:t>
            </w:r>
          </w:p>
          <w:p w:rsidR="009C6105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9C6105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9C6105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D" w:rsidRPr="009A000F" w:rsidRDefault="00B356E1" w:rsidP="009C6105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sz w:val="18"/>
                <w:szCs w:val="18"/>
                <w:lang w:val="en-GB" w:eastAsia="en-GB"/>
              </w:rPr>
              <w:lastRenderedPageBreak/>
              <w:t xml:space="preserve">0.8 </w:t>
            </w:r>
            <w:proofErr w:type="spellStart"/>
            <w:r w:rsidRPr="009A000F">
              <w:rPr>
                <w:rFonts w:eastAsia="Times New Roman" w:cstheme="minorHAnsi"/>
                <w:sz w:val="18"/>
                <w:szCs w:val="18"/>
                <w:lang w:val="en-GB" w:eastAsia="en-GB"/>
              </w:rPr>
              <w:t>ktoe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9A000F" w:rsidRDefault="00E6431D" w:rsidP="009C6105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906C2" w:rsidRPr="009A000F" w:rsidTr="00A906C2">
        <w:trPr>
          <w:trHeight w:val="458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503ED2" w:rsidRDefault="00503ED2" w:rsidP="009C6105">
            <w:pPr>
              <w:spacing w:after="0" w:line="240" w:lineRule="auto"/>
              <w:ind w:left="60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503ED2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Implementacija mera EE u javnim zgradama kroz Kosovski program energetske efikasnosti i obnovljive energije, KPEEOE, (</w:t>
            </w:r>
            <w:proofErr w:type="spellStart"/>
            <w:r w:rsidRPr="00503ED2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invest</w:t>
            </w:r>
            <w:proofErr w:type="spellEnd"/>
            <w:r w:rsidRPr="00503ED2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. Svetska banka</w:t>
            </w:r>
            <w:r w:rsidR="00B96EFC" w:rsidRPr="00503ED2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D" w:rsidRPr="00860630" w:rsidRDefault="00860630" w:rsidP="009C6105">
            <w:pPr>
              <w:spacing w:after="0" w:line="240" w:lineRule="auto"/>
              <w:ind w:left="60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860630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 xml:space="preserve">Implementacija EE mere u javnim zgradama koja se sastoji od sledećeg: </w:t>
            </w:r>
            <w:proofErr w:type="spellStart"/>
            <w:r w:rsidRPr="00860630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Termoizolacija</w:t>
            </w:r>
            <w:proofErr w:type="spellEnd"/>
            <w:r w:rsidRPr="00860630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 xml:space="preserve"> omotača zgrade, ugradnja efikasnog grejanja i hlađenja, zamena unutrašnje rasvete, itd. Ukupna investicija je 1.365.624 miliona evra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D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2021</w:t>
            </w:r>
          </w:p>
          <w:p w:rsidR="009C6105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  <w:p w:rsidR="009C6105" w:rsidRPr="009A000F" w:rsidRDefault="009C6105" w:rsidP="009C6105">
            <w:pPr>
              <w:spacing w:after="0" w:line="240" w:lineRule="auto"/>
              <w:ind w:left="60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D" w:rsidRPr="009A000F" w:rsidRDefault="00B356E1" w:rsidP="009C6105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 xml:space="preserve">0.25 </w:t>
            </w:r>
            <w:proofErr w:type="spellStart"/>
            <w:r w:rsidRPr="009A000F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Ktoe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9A000F" w:rsidRDefault="00E6431D" w:rsidP="009C6105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906C2" w:rsidRPr="009A000F" w:rsidTr="00A906C2">
        <w:trPr>
          <w:trHeight w:val="458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9B6C33" w:rsidRDefault="009B6C33" w:rsidP="002F2AC5">
            <w:pPr>
              <w:spacing w:after="0" w:line="240" w:lineRule="auto"/>
              <w:ind w:left="60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9B6C33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Implementacija mera EE u javnim zgradama kroz Kosovski fond za energetsku efikasnost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B" w:rsidRPr="001859CB" w:rsidRDefault="001859CB" w:rsidP="001859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1859CB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Implementacija mera EE u javnim zgradama je u fazi implementacije i ne može se proceniti ušteda, jer je projekat u toku.</w:t>
            </w:r>
          </w:p>
          <w:p w:rsidR="00E6431D" w:rsidRPr="009A000F" w:rsidRDefault="001859CB" w:rsidP="001859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1859CB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Ukupna investicija za izveštajni period iznosi: 5,06 miliona evra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D" w:rsidRPr="009A000F" w:rsidRDefault="009C6105" w:rsidP="00E6431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85" w:rsidRPr="009A000F" w:rsidRDefault="00DE2C85" w:rsidP="00E643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highlight w:val="yellow"/>
                <w:lang w:val="en-GB" w:eastAsia="en-GB"/>
              </w:rPr>
            </w:pPr>
          </w:p>
          <w:p w:rsidR="00E6431D" w:rsidRPr="009A000F" w:rsidRDefault="00B356E1" w:rsidP="00E643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CB4513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 xml:space="preserve">0.92 </w:t>
            </w:r>
            <w:proofErr w:type="spellStart"/>
            <w:r w:rsidRPr="00CB4513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ktoe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31D" w:rsidRPr="009A000F" w:rsidRDefault="00E6431D" w:rsidP="00E643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906C2" w:rsidRPr="009A000F" w:rsidTr="00A906C2">
        <w:trPr>
          <w:trHeight w:val="458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AC5" w:rsidRPr="002A6161" w:rsidRDefault="002A6161" w:rsidP="002F2AC5">
            <w:pPr>
              <w:pStyle w:val="Caption"/>
              <w:spacing w:line="240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Latn-CS" w:eastAsia="en-GB"/>
              </w:rPr>
            </w:pPr>
            <w:r w:rsidRPr="002A6161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Latn-CS" w:eastAsia="en-GB"/>
              </w:rPr>
              <w:t>EB</w:t>
            </w:r>
            <w:r w:rsidR="008F3EB0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Latn-CS" w:eastAsia="en-GB"/>
              </w:rPr>
              <w:t>OR</w:t>
            </w:r>
            <w:r w:rsidRPr="002A6161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Latn-CS" w:eastAsia="en-GB"/>
              </w:rPr>
              <w:t xml:space="preserve">-ov fond za finansiranje zelene ekonomije (FFZE) je nastavio da podržava mala i srednja preduzeća kroz </w:t>
            </w:r>
            <w:proofErr w:type="spellStart"/>
            <w:r w:rsidRPr="002A6161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Latn-CS" w:eastAsia="en-GB"/>
              </w:rPr>
              <w:t>mikrofinansijske</w:t>
            </w:r>
            <w:proofErr w:type="spellEnd"/>
            <w:r w:rsidRPr="002A6161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Latn-CS" w:eastAsia="en-GB"/>
              </w:rPr>
              <w:t xml:space="preserve"> institucije tokom 2021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Latn-CS" w:eastAsia="en-GB"/>
              </w:rPr>
              <w:t>.</w:t>
            </w:r>
            <w:r w:rsidR="002F2AC5" w:rsidRPr="002A6161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Latn-CS" w:eastAsia="en-GB"/>
              </w:rPr>
              <w:t xml:space="preserve"> </w:t>
            </w:r>
          </w:p>
          <w:p w:rsidR="002F2AC5" w:rsidRPr="009A000F" w:rsidRDefault="002F2AC5" w:rsidP="00E6431D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5" w:rsidRPr="008F3EB0" w:rsidRDefault="008F3EB0" w:rsidP="00E643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8F3EB0">
              <w:rPr>
                <w:rFonts w:cstheme="minorHAnsi"/>
                <w:bCs/>
                <w:color w:val="000000"/>
                <w:sz w:val="18"/>
                <w:szCs w:val="18"/>
                <w:lang w:val="sr-Latn-CS" w:eastAsia="en-GB"/>
              </w:rPr>
              <w:t>FFZE obezbeđuje finansijska sredstva za investicije u zelenu ekonomiju u privatnom sektoru, kao i za mala i srednja preduzeća za implementaciju proizvoda i usluga energetske efikasnosti i obnovljivih izvora energije</w:t>
            </w:r>
            <w:r w:rsidR="002F2AC5" w:rsidRPr="008F3EB0">
              <w:rPr>
                <w:rFonts w:cstheme="minorHAnsi"/>
                <w:bCs/>
                <w:color w:val="000000"/>
                <w:sz w:val="18"/>
                <w:szCs w:val="18"/>
                <w:lang w:val="sr-Latn-CS" w:eastAsia="en-GB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5" w:rsidRPr="009A000F" w:rsidRDefault="002F2AC5" w:rsidP="00E643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85" w:rsidRPr="009A000F" w:rsidRDefault="00DE2C85" w:rsidP="00E643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  <w:p w:rsidR="002F2AC5" w:rsidRPr="009A000F" w:rsidRDefault="00B356E1" w:rsidP="00E643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0.1</w:t>
            </w:r>
            <w:r w:rsidR="00C13EF4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9A000F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ktoe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AC5" w:rsidRPr="009A000F" w:rsidRDefault="002F2AC5" w:rsidP="00E643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906C2" w:rsidRPr="009A000F" w:rsidTr="00A906C2">
        <w:trPr>
          <w:trHeight w:val="458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FC" w:rsidRPr="004A3B27" w:rsidRDefault="004A3B27" w:rsidP="00C13EF4">
            <w:pPr>
              <w:spacing w:after="0" w:line="240" w:lineRule="auto"/>
              <w:ind w:left="142"/>
              <w:rPr>
                <w:rFonts w:eastAsia="Times New Roman" w:cstheme="minorHAnsi"/>
                <w:sz w:val="18"/>
                <w:szCs w:val="18"/>
                <w:lang w:val="sr-Latn-CS" w:eastAsia="en-GB"/>
              </w:rPr>
            </w:pPr>
            <w:r w:rsidRPr="004A3B27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 xml:space="preserve">Implementacija mera energetske efikasnosti u sektoru domaćinstava podržano od strane </w:t>
            </w:r>
            <w:r w:rsidR="00C13EF4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KIM</w:t>
            </w:r>
            <w:r w:rsidRPr="004A3B27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-a u okviru MFK programa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C" w:rsidRPr="00C13EF4" w:rsidRDefault="00C13EF4" w:rsidP="00E643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Latn-CS" w:eastAsia="en-GB"/>
              </w:rPr>
            </w:pPr>
            <w:r w:rsidRPr="00C13EF4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 xml:space="preserve">Implementacija mera EE u sektoru domaćinstava; </w:t>
            </w:r>
            <w:proofErr w:type="spellStart"/>
            <w:r w:rsidRPr="00C13EF4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termoizolacija</w:t>
            </w:r>
            <w:proofErr w:type="spellEnd"/>
            <w:r w:rsidRPr="00C13EF4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 xml:space="preserve"> omotača zgrade, zamena vrata i prozora, ugradnja efikasnog sistema grejanja i hlađenja, ugradnja efikasne rasvete, ugradnja solarnih termo panela za sanitarnu vodu. Ukupna investicija od oko 4,06 miliona evra je obavljena pod HER, AER i VEE prozorima. Programom je obuhvaćeno 175 objekata za domaćinstvo sa 43.935 m²</w:t>
            </w:r>
            <w:r w:rsidR="00B356E1" w:rsidRPr="00C13EF4">
              <w:rPr>
                <w:rFonts w:eastAsia="Times New Roman" w:cstheme="minorHAnsi"/>
                <w:sz w:val="18"/>
                <w:szCs w:val="18"/>
                <w:lang w:val="sr-Latn-CS" w:eastAsia="en-GB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C" w:rsidRPr="009A000F" w:rsidRDefault="009C6105" w:rsidP="00E643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85" w:rsidRPr="009A000F" w:rsidRDefault="00DE2C85" w:rsidP="00E643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  <w:p w:rsidR="00DE2C85" w:rsidRPr="009A000F" w:rsidRDefault="00DE2C85" w:rsidP="00E643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  <w:p w:rsidR="00B96EFC" w:rsidRPr="009A000F" w:rsidRDefault="00667FA4" w:rsidP="00E643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0.74</w:t>
            </w:r>
            <w:r w:rsidR="00C13EF4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9A000F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ktoe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FC" w:rsidRPr="009A000F" w:rsidRDefault="00B96EFC" w:rsidP="00E643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A906C2" w:rsidRPr="009A000F" w:rsidTr="00A906C2">
        <w:trPr>
          <w:trHeight w:val="458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F7" w:rsidRPr="00503F81" w:rsidRDefault="00503F81" w:rsidP="009E5CF7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503F81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Investicije komercijalnih banaka u zelenu energiju i energetsku efikasnost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7" w:rsidRPr="00A57759" w:rsidRDefault="00A57759" w:rsidP="00E643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A57759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 xml:space="preserve">Različiti </w:t>
            </w:r>
            <w:proofErr w:type="spellStart"/>
            <w:r w:rsidRPr="00A57759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lonašemi</w:t>
            </w:r>
            <w:proofErr w:type="spellEnd"/>
            <w:r w:rsidRPr="00A57759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 xml:space="preserve"> za finansiranje EE i </w:t>
            </w:r>
            <w:proofErr w:type="spellStart"/>
            <w:r w:rsidRPr="00A57759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res</w:t>
            </w:r>
            <w:proofErr w:type="spellEnd"/>
            <w:r w:rsidRPr="00A57759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 xml:space="preserve"> „Zelena energija i energetska efikasnost” sa ukupnom investicijom od 17,687,699.69 miliona evra.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7" w:rsidRPr="009A000F" w:rsidRDefault="00211444" w:rsidP="00E643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7" w:rsidRPr="009A000F" w:rsidRDefault="009E5CF7" w:rsidP="00E643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3.215 </w:t>
            </w:r>
            <w:proofErr w:type="spellStart"/>
            <w:r w:rsidRPr="009A000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ktoe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F7" w:rsidRPr="009A000F" w:rsidRDefault="009E5CF7" w:rsidP="00E643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11444" w:rsidRPr="009A000F" w:rsidTr="00A906C2">
        <w:trPr>
          <w:trHeight w:val="458"/>
        </w:trPr>
        <w:tc>
          <w:tcPr>
            <w:tcW w:w="3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444" w:rsidRPr="005A1A9B" w:rsidRDefault="005A1A9B" w:rsidP="002114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5A1A9B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Ukupno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4" w:rsidRPr="009A000F" w:rsidRDefault="00211444" w:rsidP="00E643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9A000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6.391</w:t>
            </w:r>
            <w:r w:rsidR="005A1A9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9A000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ktoe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444" w:rsidRPr="009A000F" w:rsidRDefault="00211444" w:rsidP="00E643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2F2AC5" w:rsidRDefault="002F2AC5" w:rsidP="009C00A0">
      <w:pPr>
        <w:pStyle w:val="ListParagraph"/>
        <w:ind w:left="1080"/>
        <w:jc w:val="both"/>
        <w:rPr>
          <w:rFonts w:cstheme="minorHAnsi"/>
          <w:lang w:val="en-GB"/>
        </w:rPr>
      </w:pPr>
    </w:p>
    <w:p w:rsidR="00211444" w:rsidRPr="00211444" w:rsidRDefault="00F24291" w:rsidP="00F31884">
      <w:pPr>
        <w:pStyle w:val="ListParagraph"/>
        <w:numPr>
          <w:ilvl w:val="0"/>
          <w:numId w:val="14"/>
        </w:numPr>
        <w:ind w:left="360"/>
        <w:jc w:val="both"/>
        <w:rPr>
          <w:rFonts w:ascii="Calibri" w:eastAsia="Times New Roman" w:hAnsi="Calibri" w:cs="Times New Roman"/>
          <w:bCs/>
          <w:sz w:val="18"/>
          <w:szCs w:val="18"/>
          <w:lang w:val="en-GB" w:eastAsia="en-GB"/>
        </w:rPr>
      </w:pPr>
      <w:r w:rsidRPr="00F24291">
        <w:rPr>
          <w:lang w:val="sr-Latn-CS"/>
        </w:rPr>
        <w:t>Pored toga, preduzete su aktivnosti tokom perioda izveštavanja koje se predviđaju za podršku implementaciji DEE ili Zakona o EE; Zakon o EE</w:t>
      </w:r>
      <w:r w:rsidR="00211444" w:rsidRPr="00976830">
        <w:rPr>
          <w:lang w:val="en-US"/>
        </w:rPr>
        <w:t>;</w:t>
      </w:r>
    </w:p>
    <w:p w:rsidR="003F4559" w:rsidRPr="003F4559" w:rsidRDefault="000E331B" w:rsidP="003F4559">
      <w:pPr>
        <w:pStyle w:val="ListParagraph"/>
        <w:numPr>
          <w:ilvl w:val="0"/>
          <w:numId w:val="14"/>
        </w:numPr>
        <w:jc w:val="both"/>
        <w:rPr>
          <w:rFonts w:ascii="Calibri" w:eastAsia="Times New Roman" w:hAnsi="Calibri" w:cs="Times New Roman"/>
          <w:bCs/>
          <w:sz w:val="18"/>
          <w:szCs w:val="18"/>
          <w:lang w:val="en-GB" w:eastAsia="en-GB"/>
        </w:rPr>
      </w:pPr>
      <w:r w:rsidRPr="000E331B">
        <w:rPr>
          <w:rFonts w:ascii="Calibri" w:eastAsia="Times New Roman" w:hAnsi="Calibri" w:cs="Times New Roman"/>
          <w:bCs/>
          <w:sz w:val="18"/>
          <w:szCs w:val="18"/>
          <w:lang w:val="sr-Latn-CS" w:eastAsia="en-GB"/>
        </w:rPr>
        <w:t xml:space="preserve">U okviru projekata tehničke pomoći koje sprovodi GIZ, ostvaren je značajan napredak u pripremi sistema digitalizacije za procedure za sertifikaciju energetskih karakteristika u zgradama. Softver za proračun i platforma za upravljanje podacima su u fazi </w:t>
      </w:r>
      <w:proofErr w:type="spellStart"/>
      <w:r w:rsidRPr="000E331B">
        <w:rPr>
          <w:rFonts w:ascii="Calibri" w:eastAsia="Times New Roman" w:hAnsi="Calibri" w:cs="Times New Roman"/>
          <w:bCs/>
          <w:sz w:val="18"/>
          <w:szCs w:val="18"/>
          <w:lang w:val="sr-Latn-CS" w:eastAsia="en-GB"/>
        </w:rPr>
        <w:t>finalizacije</w:t>
      </w:r>
      <w:proofErr w:type="spellEnd"/>
      <w:r w:rsidRPr="000E331B">
        <w:rPr>
          <w:rFonts w:ascii="Calibri" w:eastAsia="Times New Roman" w:hAnsi="Calibri" w:cs="Times New Roman"/>
          <w:bCs/>
          <w:sz w:val="18"/>
          <w:szCs w:val="18"/>
          <w:lang w:val="sr-Latn-CS" w:eastAsia="en-GB"/>
        </w:rPr>
        <w:t>. Izra</w:t>
      </w:r>
      <w:r>
        <w:rPr>
          <w:rFonts w:ascii="Calibri" w:eastAsia="Times New Roman" w:hAnsi="Calibri" w:cs="Times New Roman"/>
          <w:bCs/>
          <w:sz w:val="18"/>
          <w:szCs w:val="18"/>
          <w:lang w:val="sr-Latn-CS" w:eastAsia="en-GB"/>
        </w:rPr>
        <w:t>đeni su i tehnički zahtevi i sm</w:t>
      </w:r>
      <w:r w:rsidRPr="000E331B">
        <w:rPr>
          <w:rFonts w:ascii="Calibri" w:eastAsia="Times New Roman" w:hAnsi="Calibri" w:cs="Times New Roman"/>
          <w:bCs/>
          <w:sz w:val="18"/>
          <w:szCs w:val="18"/>
          <w:lang w:val="sr-Latn-CS" w:eastAsia="en-GB"/>
        </w:rPr>
        <w:t>ernice za implementaciju energetske efikasnosti u različitim sektorima. Programi razvoja kapaciteta se sprovode, ciljajući na opštinske energetske menadžere za planiranje, implementaciju i praćenje (za sve kosovske opštine</w:t>
      </w:r>
      <w:r w:rsidR="003F4559" w:rsidRPr="003F4559">
        <w:rPr>
          <w:rFonts w:ascii="Calibri" w:eastAsia="Times New Roman" w:hAnsi="Calibri" w:cs="Times New Roman"/>
          <w:bCs/>
          <w:sz w:val="18"/>
          <w:szCs w:val="18"/>
          <w:lang w:val="en-GB" w:eastAsia="en-GB"/>
        </w:rPr>
        <w:t xml:space="preserve">)   </w:t>
      </w:r>
    </w:p>
    <w:p w:rsidR="003F4559" w:rsidRPr="003F4559" w:rsidRDefault="000E331B" w:rsidP="003F4559">
      <w:pPr>
        <w:pStyle w:val="ListParagraph"/>
        <w:numPr>
          <w:ilvl w:val="0"/>
          <w:numId w:val="14"/>
        </w:numPr>
        <w:jc w:val="both"/>
        <w:rPr>
          <w:rFonts w:ascii="Calibri" w:eastAsia="Times New Roman" w:hAnsi="Calibri" w:cs="Times New Roman"/>
          <w:bCs/>
          <w:sz w:val="18"/>
          <w:szCs w:val="18"/>
          <w:lang w:val="en-GB" w:eastAsia="en-GB"/>
        </w:rPr>
      </w:pPr>
      <w:r w:rsidRPr="000E331B">
        <w:rPr>
          <w:rFonts w:ascii="Calibri" w:eastAsia="Times New Roman" w:hAnsi="Calibri" w:cs="Times New Roman"/>
          <w:bCs/>
          <w:sz w:val="18"/>
          <w:szCs w:val="18"/>
          <w:lang w:val="sr-Latn-CS" w:eastAsia="en-GB"/>
        </w:rPr>
        <w:t>Program za obuku energetskih revizora je nastavio Centar za energiju i održivost CES na Univerzitetu u Prištini i pruža obuku za energetske revizore</w:t>
      </w:r>
      <w:r w:rsidR="003F4559" w:rsidRPr="003F4559">
        <w:rPr>
          <w:rFonts w:ascii="Calibri" w:eastAsia="Times New Roman" w:hAnsi="Calibri" w:cs="Times New Roman"/>
          <w:bCs/>
          <w:sz w:val="18"/>
          <w:szCs w:val="18"/>
          <w:lang w:val="en-GB" w:eastAsia="en-GB"/>
        </w:rPr>
        <w:t xml:space="preserve">. </w:t>
      </w:r>
    </w:p>
    <w:p w:rsidR="003F4559" w:rsidRPr="003F4559" w:rsidRDefault="000E331B" w:rsidP="003F4559">
      <w:pPr>
        <w:pStyle w:val="ListParagraph"/>
        <w:numPr>
          <w:ilvl w:val="0"/>
          <w:numId w:val="14"/>
        </w:numPr>
        <w:jc w:val="both"/>
        <w:rPr>
          <w:rFonts w:ascii="Calibri" w:eastAsia="Times New Roman" w:hAnsi="Calibri" w:cs="Times New Roman"/>
          <w:bCs/>
          <w:sz w:val="18"/>
          <w:szCs w:val="18"/>
          <w:lang w:val="en-GB" w:eastAsia="en-GB"/>
        </w:rPr>
      </w:pPr>
      <w:r w:rsidRPr="000E331B">
        <w:rPr>
          <w:rFonts w:ascii="Calibri" w:eastAsia="Times New Roman" w:hAnsi="Calibri" w:cs="Times New Roman"/>
          <w:bCs/>
          <w:sz w:val="18"/>
          <w:szCs w:val="18"/>
          <w:lang w:val="sr-Latn-CS" w:eastAsia="en-GB"/>
        </w:rPr>
        <w:t>Aktivnosti na rodnim aspektima se sprovode sa lokalnim nevladinim organizacijama koje donose pregled rodne raznolikosti u energetskom sektoru</w:t>
      </w:r>
      <w:r w:rsidR="003F4559" w:rsidRPr="003F4559">
        <w:rPr>
          <w:rFonts w:ascii="Calibri" w:eastAsia="Times New Roman" w:hAnsi="Calibri" w:cs="Times New Roman"/>
          <w:bCs/>
          <w:sz w:val="18"/>
          <w:szCs w:val="18"/>
          <w:lang w:val="en-GB" w:eastAsia="en-GB"/>
        </w:rPr>
        <w:t>.</w:t>
      </w:r>
    </w:p>
    <w:p w:rsidR="003F4559" w:rsidRDefault="000E331B" w:rsidP="003F4559">
      <w:pPr>
        <w:pStyle w:val="ListParagraph"/>
        <w:numPr>
          <w:ilvl w:val="0"/>
          <w:numId w:val="14"/>
        </w:numPr>
        <w:jc w:val="both"/>
        <w:rPr>
          <w:rFonts w:ascii="Calibri" w:eastAsia="Times New Roman" w:hAnsi="Calibri" w:cs="Times New Roman"/>
          <w:bCs/>
          <w:sz w:val="18"/>
          <w:szCs w:val="18"/>
          <w:lang w:val="en-GB" w:eastAsia="en-GB"/>
        </w:rPr>
      </w:pPr>
      <w:r w:rsidRPr="000E331B">
        <w:rPr>
          <w:rFonts w:ascii="Calibri" w:eastAsia="Times New Roman" w:hAnsi="Calibri" w:cs="Times New Roman"/>
          <w:bCs/>
          <w:sz w:val="18"/>
          <w:szCs w:val="18"/>
          <w:lang w:val="sr-Latn-CS" w:eastAsia="en-GB"/>
        </w:rPr>
        <w:t>Nedelja održivog razvoja Kosova (NORK), njeno pet</w:t>
      </w:r>
      <w:r>
        <w:rPr>
          <w:rFonts w:ascii="Calibri" w:eastAsia="Times New Roman" w:hAnsi="Calibri" w:cs="Times New Roman"/>
          <w:bCs/>
          <w:sz w:val="18"/>
          <w:szCs w:val="18"/>
          <w:lang w:val="sr-Latn-CS" w:eastAsia="en-GB"/>
        </w:rPr>
        <w:t>o izdanje organizuje ME, MŽSPPI i</w:t>
      </w:r>
      <w:r w:rsidRPr="000E331B">
        <w:rPr>
          <w:rFonts w:ascii="Calibri" w:eastAsia="Times New Roman" w:hAnsi="Calibri" w:cs="Times New Roman"/>
          <w:bCs/>
          <w:sz w:val="18"/>
          <w:szCs w:val="18"/>
          <w:lang w:val="sr-Latn-CS" w:eastAsia="en-GB"/>
        </w:rPr>
        <w:t xml:space="preserve"> MRR uz podršku EU, GIZ, INDEP i BGF: Kompletna verzija preporuka NORK 2021 može se naći na veb stranici NORK-a:</w:t>
      </w:r>
      <w:r w:rsidR="003F4559" w:rsidRPr="002552C0">
        <w:rPr>
          <w:rFonts w:ascii="Calibri" w:eastAsia="Times New Roman" w:hAnsi="Calibri" w:cs="Times New Roman"/>
          <w:bCs/>
          <w:sz w:val="18"/>
          <w:szCs w:val="18"/>
          <w:lang w:val="en-GB" w:eastAsia="en-GB"/>
        </w:rPr>
        <w:t xml:space="preserve"> </w:t>
      </w:r>
      <w:hyperlink r:id="rId17" w:history="1">
        <w:r w:rsidR="003F4559" w:rsidRPr="002552C0">
          <w:rPr>
            <w:rStyle w:val="Hyperlink"/>
            <w:sz w:val="18"/>
            <w:szCs w:val="18"/>
            <w:lang w:val="en-US"/>
          </w:rPr>
          <w:t>https://ksdw.rks-gov.net/storage/app/media/KSDW2021_Report_ENG-min.pdf</w:t>
        </w:r>
      </w:hyperlink>
    </w:p>
    <w:p w:rsidR="00327909" w:rsidRDefault="00513573" w:rsidP="003F4559">
      <w:pPr>
        <w:pStyle w:val="Heading1"/>
      </w:pPr>
      <w:r w:rsidRPr="00513573">
        <w:rPr>
          <w:lang w:val="sr-Latn-CS"/>
        </w:rPr>
        <w:t>Zgrade centralne vlade (DEE, član 5) i zgrade sa skoro nultom potrošnjom energije (</w:t>
      </w:r>
      <w:r w:rsidR="00D37FAE">
        <w:rPr>
          <w:lang w:val="sr-Latn-CS"/>
        </w:rPr>
        <w:t>DEPZ,</w:t>
      </w:r>
      <w:r w:rsidRPr="00513573">
        <w:rPr>
          <w:lang w:val="sr-Latn-CS"/>
        </w:rPr>
        <w:t xml:space="preserve"> član 9</w:t>
      </w:r>
      <w:r w:rsidR="0029765F">
        <w:t>)</w:t>
      </w:r>
    </w:p>
    <w:p w:rsidR="003E7655" w:rsidRPr="00D6295D" w:rsidRDefault="00D37FAE" w:rsidP="00AE50F6">
      <w:pPr>
        <w:spacing w:after="0" w:line="240" w:lineRule="auto"/>
        <w:jc w:val="both"/>
        <w:rPr>
          <w:rFonts w:cstheme="minorHAnsi"/>
          <w:lang w:val="en-GB"/>
        </w:rPr>
      </w:pPr>
      <w:r w:rsidRPr="00D6295D">
        <w:rPr>
          <w:rFonts w:cstheme="minorHAnsi"/>
          <w:lang w:val="sr-Latn-CS"/>
        </w:rPr>
        <w:t>Program za renoviranje zgrada centralne vlade je u toku kroz Kosovski program energetske efikasnosti i obnovljive energije (</w:t>
      </w:r>
      <w:r w:rsidR="00D6295D" w:rsidRPr="00D6295D">
        <w:rPr>
          <w:rFonts w:eastAsia="Times New Roman" w:cstheme="minorHAnsi"/>
          <w:color w:val="000000"/>
          <w:lang w:val="sr-Latn-CS" w:eastAsia="en-GB"/>
        </w:rPr>
        <w:t>KPEEOE</w:t>
      </w:r>
      <w:r w:rsidR="00FF04AF" w:rsidRPr="00D6295D">
        <w:rPr>
          <w:rFonts w:cstheme="minorHAnsi"/>
          <w:lang w:val="en-GB"/>
        </w:rPr>
        <w:t xml:space="preserve">) </w:t>
      </w:r>
    </w:p>
    <w:p w:rsidR="00FF04AF" w:rsidRPr="00BB79FF" w:rsidRDefault="00BB79FF" w:rsidP="00717B12">
      <w:pPr>
        <w:pStyle w:val="ListParagraph"/>
        <w:ind w:left="0"/>
        <w:jc w:val="both"/>
        <w:rPr>
          <w:rFonts w:cstheme="minorHAnsi"/>
          <w:lang w:val="sr-Latn-CS"/>
        </w:rPr>
      </w:pPr>
      <w:r w:rsidRPr="00BB79FF">
        <w:rPr>
          <w:rFonts w:cstheme="minorHAnsi"/>
          <w:lang w:val="sr-Latn-CS"/>
        </w:rPr>
        <w:lastRenderedPageBreak/>
        <w:t xml:space="preserve">Akcioni plan za zgradu sa skoro nultom potrošnjom energije je još uvek u nacrtu. Njegovo usvajanje se očekuje do kraja 2022. godine. Identifikovano je nekoliko projekata koji su u fazi razvoja, što uključuje i detaljni projekat za ispunjavanje zahteva </w:t>
      </w:r>
      <w:proofErr w:type="spellStart"/>
      <w:r w:rsidRPr="00BB79FF">
        <w:rPr>
          <w:rFonts w:cstheme="minorHAnsi"/>
          <w:lang w:val="sr-Latn-CS"/>
        </w:rPr>
        <w:t>nZEB</w:t>
      </w:r>
      <w:proofErr w:type="spellEnd"/>
      <w:r w:rsidRPr="00BB79FF">
        <w:rPr>
          <w:rFonts w:cstheme="minorHAnsi"/>
          <w:lang w:val="sr-Latn-CS"/>
        </w:rPr>
        <w:t>-a</w:t>
      </w:r>
      <w:r w:rsidR="003E7655" w:rsidRPr="00BB79FF">
        <w:rPr>
          <w:rFonts w:cstheme="minorHAnsi"/>
          <w:lang w:val="sr-Latn-CS"/>
        </w:rPr>
        <w:t xml:space="preserve">. </w:t>
      </w:r>
    </w:p>
    <w:p w:rsidR="00B673BC" w:rsidRDefault="00B673BC" w:rsidP="00FA24F5">
      <w:pPr>
        <w:pStyle w:val="ListParagraph"/>
        <w:ind w:left="0"/>
        <w:jc w:val="both"/>
        <w:rPr>
          <w:i/>
          <w:color w:val="0070C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2525"/>
        <w:gridCol w:w="3068"/>
      </w:tblGrid>
      <w:tr w:rsidR="000E5744" w:rsidRPr="0014266E" w:rsidTr="00B81907">
        <w:trPr>
          <w:trHeight w:val="570"/>
        </w:trPr>
        <w:tc>
          <w:tcPr>
            <w:tcW w:w="22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744" w:rsidRPr="0014266E" w:rsidRDefault="000E5744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E5744" w:rsidRPr="00BB79FF" w:rsidRDefault="000E5744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BB79F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1</w:t>
            </w:r>
            <w:r w:rsidR="00BB79FF" w:rsidRPr="00BB79F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. januara</w:t>
            </w:r>
            <w:r w:rsidRPr="00BB79F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 2020</w:t>
            </w:r>
            <w:r w:rsidR="00BB79FF" w:rsidRPr="00BB79F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. godine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E5744" w:rsidRPr="00BB79FF" w:rsidRDefault="00BB79FF" w:rsidP="00BB79F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BB79F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1. januara 2021. godine</w:t>
            </w:r>
          </w:p>
        </w:tc>
      </w:tr>
      <w:tr w:rsidR="000E5744" w:rsidRPr="00277F01" w:rsidTr="00B81907">
        <w:trPr>
          <w:trHeight w:val="60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E5744" w:rsidRPr="00CA52F6" w:rsidRDefault="00E52CFE" w:rsidP="00CA52F6">
            <w:pPr>
              <w:ind w:left="142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CA52F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Ukupna površina [m</w:t>
            </w:r>
            <w:r w:rsidR="00CA52F6">
              <w:rPr>
                <w:rFonts w:ascii="Calibri" w:eastAsia="Times New Roman" w:hAnsi="Calibri" w:cs="Calibri"/>
                <w:bCs/>
                <w:sz w:val="18"/>
                <w:szCs w:val="18"/>
                <w:lang w:val="sr-Latn-CS" w:eastAsia="en-GB"/>
              </w:rPr>
              <w:t>²</w:t>
            </w:r>
            <w:r w:rsidRPr="00CA52F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] zgrada sa ukupnom korisnom površinom od preko 250 m</w:t>
            </w:r>
            <w:r w:rsidR="00CA52F6">
              <w:rPr>
                <w:rFonts w:ascii="Calibri" w:eastAsia="Times New Roman" w:hAnsi="Calibri" w:cs="Calibri"/>
                <w:bCs/>
                <w:sz w:val="18"/>
                <w:szCs w:val="18"/>
                <w:lang w:val="sr-Latn-CS" w:eastAsia="en-GB"/>
              </w:rPr>
              <w:t>²</w:t>
            </w:r>
            <w:r w:rsidRPr="00CA52F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 u </w:t>
            </w:r>
            <w:r w:rsidR="00CA52F6" w:rsidRPr="00CA52F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posedu </w:t>
            </w:r>
            <w:r w:rsidRPr="00CA52F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i u vlasništvu centralne vlade ugovornih strana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vAlign w:val="center"/>
            <w:hideMark/>
          </w:tcPr>
          <w:p w:rsidR="000E5744" w:rsidRPr="0014266E" w:rsidRDefault="00984850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  <w:hideMark/>
          </w:tcPr>
          <w:p w:rsidR="000E5744" w:rsidRPr="0014266E" w:rsidRDefault="00984850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</w:tr>
      <w:tr w:rsidR="000E5744" w:rsidRPr="00277F01" w:rsidTr="00B81907">
        <w:trPr>
          <w:trHeight w:val="699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E5744" w:rsidRPr="00CA52F6" w:rsidRDefault="00CA52F6" w:rsidP="00CA52F6">
            <w:pPr>
              <w:ind w:left="142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CA52F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Ukupna površina [m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val="sr-Latn-CS" w:eastAsia="en-GB"/>
              </w:rPr>
              <w:t>²</w:t>
            </w:r>
            <w:r w:rsidRPr="00CA52F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] zgrada koje nisu ispunile zahteve energetskih performansi iz člana 5(1</w:t>
            </w:r>
            <w:r w:rsidR="00B81907" w:rsidRPr="00CA52F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)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E5744" w:rsidRPr="0014266E" w:rsidRDefault="003E7655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E5744" w:rsidRPr="0014266E" w:rsidRDefault="003E7655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NA</w:t>
            </w:r>
          </w:p>
        </w:tc>
      </w:tr>
      <w:tr w:rsidR="00B81907" w:rsidRPr="0014266E" w:rsidTr="00B81907">
        <w:trPr>
          <w:trHeight w:val="171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B81907" w:rsidRPr="00B81907" w:rsidRDefault="00B81907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26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81907" w:rsidRPr="0014266E" w:rsidRDefault="00B81907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20</w:t>
            </w:r>
            <w:r w:rsidR="00E001B3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81907" w:rsidRPr="0014266E" w:rsidRDefault="00B81907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202</w:t>
            </w:r>
            <w:r w:rsidR="00E001B3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1</w:t>
            </w:r>
          </w:p>
        </w:tc>
      </w:tr>
      <w:tr w:rsidR="00B81907" w:rsidRPr="00277F01" w:rsidTr="00B81907">
        <w:trPr>
          <w:trHeight w:val="614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B81907" w:rsidRPr="00B80D77" w:rsidRDefault="00B80D77" w:rsidP="00B80D77">
            <w:pPr>
              <w:ind w:left="142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B80D77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Ukupna površina [m</w:t>
            </w:r>
            <w:r w:rsidRPr="00B80D77">
              <w:rPr>
                <w:rFonts w:ascii="Calibri" w:eastAsia="Times New Roman" w:hAnsi="Calibri" w:cs="Calibri"/>
                <w:bCs/>
                <w:sz w:val="18"/>
                <w:szCs w:val="18"/>
                <w:lang w:val="sr-Latn-CS" w:eastAsia="en-GB"/>
              </w:rPr>
              <w:t>²</w:t>
            </w:r>
            <w:r w:rsidRPr="00B80D77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] renoviranih zgrada kako je navedeno u članu 5(1</w:t>
            </w:r>
            <w:r w:rsidR="00B81907" w:rsidRPr="00B80D77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)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vAlign w:val="center"/>
          </w:tcPr>
          <w:p w:rsidR="00B81907" w:rsidRPr="0014266E" w:rsidRDefault="00984850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:rsidR="00B81907" w:rsidRPr="0014266E" w:rsidRDefault="00984850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</w:tr>
      <w:tr w:rsidR="00B81907" w:rsidRPr="00277F01" w:rsidTr="0029765F">
        <w:trPr>
          <w:trHeight w:val="551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81907" w:rsidRPr="008A266F" w:rsidRDefault="008A266F" w:rsidP="00B81907">
            <w:pPr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8A266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Iznos uštede energije [</w:t>
            </w:r>
            <w:proofErr w:type="spellStart"/>
            <w:r w:rsidRPr="008A266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ktoe</w:t>
            </w:r>
            <w:proofErr w:type="spellEnd"/>
            <w:r w:rsidRPr="008A266F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] ostvaren u datoj godini u podobnim zgradama koje su u vlasništvu i koje koristi njihova centralna vlada zbog renoviranja zgrada kao što je navedeno u članu 5(1), izraženo u primarnoj ili finalnoj energiji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907" w:rsidRPr="0014266E" w:rsidRDefault="00984850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907" w:rsidRPr="0014266E" w:rsidRDefault="00984850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</w:tr>
      <w:tr w:rsidR="0029765F" w:rsidRPr="00277F01" w:rsidTr="00B81907">
        <w:trPr>
          <w:trHeight w:val="551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9765F" w:rsidRPr="00536B27" w:rsidRDefault="00536B27" w:rsidP="00536B27">
            <w:pPr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536B27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Broj i površina [m</w:t>
            </w:r>
            <w:r w:rsidRPr="00536B27">
              <w:rPr>
                <w:rFonts w:ascii="Calibri" w:eastAsia="Times New Roman" w:hAnsi="Calibri" w:cs="Calibri"/>
                <w:bCs/>
                <w:sz w:val="18"/>
                <w:szCs w:val="18"/>
                <w:lang w:val="sr-Latn-CS" w:eastAsia="en-GB"/>
              </w:rPr>
              <w:t>²</w:t>
            </w:r>
            <w:r w:rsidRPr="00536B27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] novih i renoviranih skoro nulto energetskih zgrada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vAlign w:val="center"/>
          </w:tcPr>
          <w:p w:rsidR="0029765F" w:rsidRPr="0014266E" w:rsidRDefault="00984850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:rsidR="0029765F" w:rsidRPr="0014266E" w:rsidRDefault="00984850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</w:tr>
    </w:tbl>
    <w:p w:rsidR="00900C3A" w:rsidRPr="009309D2" w:rsidRDefault="00094DF7" w:rsidP="00F576C2">
      <w:pPr>
        <w:pStyle w:val="Heading1"/>
      </w:pPr>
      <w:r w:rsidRPr="00094DF7">
        <w:rPr>
          <w:lang w:val="sr-Latn-CS"/>
        </w:rPr>
        <w:t>Obaveze energetske efikasnosti (član</w:t>
      </w:r>
      <w:r>
        <w:t xml:space="preserve"> 7</w:t>
      </w:r>
      <w:r w:rsidR="00D96966" w:rsidRPr="009309D2">
        <w:t>)</w:t>
      </w:r>
    </w:p>
    <w:p w:rsidR="00633E46" w:rsidRPr="009A000F" w:rsidRDefault="00EE0C1A" w:rsidP="00633E46">
      <w:pPr>
        <w:pStyle w:val="ECABodyText"/>
        <w:jc w:val="both"/>
        <w:rPr>
          <w:rFonts w:asciiTheme="minorHAnsi" w:hAnsiTheme="minorHAnsi" w:cstheme="minorHAnsi"/>
        </w:rPr>
      </w:pPr>
      <w:r w:rsidRPr="00EE0C1A">
        <w:rPr>
          <w:rFonts w:asciiTheme="minorHAnsi" w:hAnsiTheme="minorHAnsi" w:cstheme="minorHAnsi"/>
          <w:lang w:val="sr-Latn-CS"/>
        </w:rPr>
        <w:t xml:space="preserve">Zakon o energetskoj efikasnosti predviđa kombinaciju šeme obaveza EE efikasnosti i/ili alternativnih mera. U okviru Programa regionalne energetske efikasnosti Zapadnog Balkana, faza II – dijalog o politikama, prozor 1(a) (REEP </w:t>
      </w:r>
      <w:r w:rsidR="0057794A">
        <w:rPr>
          <w:rFonts w:asciiTheme="minorHAnsi" w:hAnsiTheme="minorHAnsi" w:cstheme="minorHAnsi"/>
          <w:lang w:val="sr-Latn-CS"/>
        </w:rPr>
        <w:t>Plus)</w:t>
      </w:r>
      <w:r w:rsidR="00D255A6">
        <w:rPr>
          <w:rFonts w:asciiTheme="minorHAnsi" w:hAnsiTheme="minorHAnsi" w:cstheme="minorHAnsi"/>
          <w:lang w:val="sr-Latn-CS"/>
        </w:rPr>
        <w:t>,</w:t>
      </w:r>
      <w:r w:rsidR="0057794A">
        <w:rPr>
          <w:rFonts w:asciiTheme="minorHAnsi" w:hAnsiTheme="minorHAnsi" w:cstheme="minorHAnsi"/>
          <w:lang w:val="sr-Latn-CS"/>
        </w:rPr>
        <w:t xml:space="preserve"> pružena je tehnička pomoć</w:t>
      </w:r>
      <w:r w:rsidRPr="00EE0C1A">
        <w:rPr>
          <w:rFonts w:asciiTheme="minorHAnsi" w:hAnsiTheme="minorHAnsi" w:cstheme="minorHAnsi"/>
          <w:lang w:val="sr-Latn-CS"/>
        </w:rPr>
        <w:t xml:space="preserve"> Ministarstvu za </w:t>
      </w:r>
      <w:r w:rsidR="00C9302E">
        <w:rPr>
          <w:rFonts w:asciiTheme="minorHAnsi" w:hAnsiTheme="minorHAnsi" w:cstheme="minorHAnsi"/>
          <w:lang w:val="sr-Latn-CS"/>
        </w:rPr>
        <w:t>regionalni</w:t>
      </w:r>
      <w:r w:rsidRPr="00EE0C1A">
        <w:rPr>
          <w:rFonts w:asciiTheme="minorHAnsi" w:hAnsiTheme="minorHAnsi" w:cstheme="minorHAnsi"/>
          <w:lang w:val="sr-Latn-CS"/>
        </w:rPr>
        <w:t xml:space="preserve"> razvoj u razvijanju svoje političke pozicije i implementaciji takvih politika za ispunjavanje obaveza iz člana 7. Direktive 2012/ 27/EU. Izveštaj je naveo tri alte</w:t>
      </w:r>
      <w:r w:rsidR="0057794A">
        <w:rPr>
          <w:rFonts w:asciiTheme="minorHAnsi" w:hAnsiTheme="minorHAnsi" w:cstheme="minorHAnsi"/>
          <w:lang w:val="sr-Latn-CS"/>
        </w:rPr>
        <w:t>rnativne mere koje imaju najveć</w:t>
      </w:r>
      <w:r w:rsidRPr="00EE0C1A">
        <w:rPr>
          <w:rFonts w:asciiTheme="minorHAnsi" w:hAnsiTheme="minorHAnsi" w:cstheme="minorHAnsi"/>
          <w:lang w:val="sr-Latn-CS"/>
        </w:rPr>
        <w:t xml:space="preserve">i </w:t>
      </w:r>
      <w:r>
        <w:rPr>
          <w:rFonts w:asciiTheme="minorHAnsi" w:hAnsiTheme="minorHAnsi" w:cstheme="minorHAnsi"/>
          <w:lang w:val="sr-Latn-CS"/>
        </w:rPr>
        <w:t>potencijal za pomoć</w:t>
      </w:r>
      <w:r w:rsidRPr="00EE0C1A">
        <w:rPr>
          <w:rFonts w:asciiTheme="minorHAnsi" w:hAnsiTheme="minorHAnsi" w:cstheme="minorHAnsi"/>
          <w:lang w:val="sr-Latn-CS"/>
        </w:rPr>
        <w:t xml:space="preserve"> Kosovu da ispuni svoje očekivane obaveze iz člana 7 prema članu 7: (Fond za energetsku efikasnost, dobrovoljni sporazumi i propisi o </w:t>
      </w:r>
      <w:proofErr w:type="spellStart"/>
      <w:r w:rsidRPr="00EE0C1A">
        <w:rPr>
          <w:rFonts w:asciiTheme="minorHAnsi" w:hAnsiTheme="minorHAnsi" w:cstheme="minorHAnsi"/>
          <w:lang w:val="sr-Latn-CS"/>
        </w:rPr>
        <w:t>eko</w:t>
      </w:r>
      <w:proofErr w:type="spellEnd"/>
      <w:r w:rsidRPr="00EE0C1A">
        <w:rPr>
          <w:rFonts w:asciiTheme="minorHAnsi" w:hAnsiTheme="minorHAnsi" w:cstheme="minorHAnsi"/>
          <w:lang w:val="sr-Latn-CS"/>
        </w:rPr>
        <w:t>-dizajnu</w:t>
      </w:r>
      <w:r w:rsidR="00D255A6">
        <w:rPr>
          <w:rFonts w:asciiTheme="minorHAnsi" w:hAnsiTheme="minorHAnsi" w:cstheme="minorHAnsi"/>
          <w:lang w:val="sr-Latn-CS"/>
        </w:rPr>
        <w:t>)</w:t>
      </w:r>
      <w:r w:rsidR="00633E46" w:rsidRPr="009A000F">
        <w:rPr>
          <w:rFonts w:asciiTheme="minorHAnsi" w:hAnsiTheme="minorHAnsi" w:cstheme="minorHAnsi"/>
        </w:rPr>
        <w:t xml:space="preserve">. </w:t>
      </w:r>
    </w:p>
    <w:p w:rsidR="004A4ABB" w:rsidRPr="00A906C2" w:rsidRDefault="004F4CD4" w:rsidP="004A4ABB">
      <w:pPr>
        <w:spacing w:after="0" w:line="240" w:lineRule="auto"/>
        <w:jc w:val="both"/>
        <w:rPr>
          <w:rFonts w:eastAsia="Times New Roman" w:cstheme="minorHAnsi"/>
          <w:szCs w:val="20"/>
          <w:lang w:val="en-GB"/>
        </w:rPr>
      </w:pPr>
      <w:r w:rsidRPr="004F4CD4">
        <w:rPr>
          <w:rFonts w:eastAsia="Times New Roman" w:cstheme="minorHAnsi"/>
          <w:szCs w:val="20"/>
          <w:lang w:val="sr-Latn-CS"/>
        </w:rPr>
        <w:t>Kosovo je odlučilo da primeni alternativne mere politike koje imaju za cilj smanjenje finalne potrošnje energije umesto šeme obaveza</w:t>
      </w:r>
      <w:r w:rsidR="004A4ABB" w:rsidRPr="00A906C2">
        <w:rPr>
          <w:rFonts w:eastAsia="Times New Roman" w:cstheme="minorHAnsi"/>
          <w:szCs w:val="20"/>
          <w:lang w:val="en-GB"/>
        </w:rPr>
        <w:t xml:space="preserve">. </w:t>
      </w:r>
    </w:p>
    <w:p w:rsidR="004F4CD4" w:rsidRPr="004F4CD4" w:rsidRDefault="004F4CD4" w:rsidP="004F4CD4">
      <w:pPr>
        <w:spacing w:after="0" w:line="240" w:lineRule="auto"/>
        <w:jc w:val="both"/>
        <w:rPr>
          <w:rFonts w:eastAsia="Times New Roman" w:cstheme="minorHAnsi"/>
          <w:szCs w:val="20"/>
          <w:lang w:val="sr-Latn-CS"/>
        </w:rPr>
      </w:pPr>
      <w:r w:rsidRPr="004F4CD4">
        <w:rPr>
          <w:rFonts w:eastAsia="Times New Roman" w:cstheme="minorHAnsi"/>
          <w:szCs w:val="20"/>
          <w:lang w:val="sr-Latn-CS"/>
        </w:rPr>
        <w:t>Mere uključuju osnivanje Fon</w:t>
      </w:r>
      <w:r>
        <w:rPr>
          <w:rFonts w:eastAsia="Times New Roman" w:cstheme="minorHAnsi"/>
          <w:szCs w:val="20"/>
          <w:lang w:val="sr-Latn-CS"/>
        </w:rPr>
        <w:t>da za energetsku efikasnost (FEE</w:t>
      </w:r>
      <w:r w:rsidRPr="004F4CD4">
        <w:rPr>
          <w:rFonts w:eastAsia="Times New Roman" w:cstheme="minorHAnsi"/>
          <w:szCs w:val="20"/>
          <w:lang w:val="sr-Latn-CS"/>
        </w:rPr>
        <w:t>) koji je u funkciji od 2019. godine.</w:t>
      </w:r>
    </w:p>
    <w:p w:rsidR="004A4ABB" w:rsidRDefault="004F4CD4" w:rsidP="004F4CD4">
      <w:pPr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4F4CD4">
        <w:rPr>
          <w:rFonts w:eastAsia="Times New Roman" w:cstheme="minorHAnsi"/>
          <w:szCs w:val="20"/>
          <w:lang w:val="sr-Latn-CS"/>
        </w:rPr>
        <w:t>F</w:t>
      </w:r>
      <w:r w:rsidR="00EB3ECE">
        <w:rPr>
          <w:rFonts w:eastAsia="Times New Roman" w:cstheme="minorHAnsi"/>
          <w:szCs w:val="20"/>
          <w:lang w:val="sr-Latn-CS"/>
        </w:rPr>
        <w:t>EE</w:t>
      </w:r>
      <w:r w:rsidRPr="004F4CD4">
        <w:rPr>
          <w:rFonts w:eastAsia="Times New Roman" w:cstheme="minorHAnsi"/>
          <w:szCs w:val="20"/>
          <w:lang w:val="sr-Latn-CS"/>
        </w:rPr>
        <w:t xml:space="preserve"> je tokom 2021. godine u okviru „paketa 6“ za renoviranje javnih zgrada sproveo mere EE u 17 javnih zgrada. Pored toga, razvijen je i funkcionalizovan mehanizam za obuku i sertifikaciju energetskih revizora i energetskih procenitelja sa Prištinskim univerzitetom</w:t>
      </w:r>
      <w:r w:rsidR="009A000F">
        <w:rPr>
          <w:rFonts w:eastAsia="Times New Roman" w:cstheme="minorHAnsi"/>
          <w:szCs w:val="20"/>
          <w:lang w:val="en-GB"/>
        </w:rPr>
        <w:t>.</w:t>
      </w:r>
    </w:p>
    <w:p w:rsidR="007A7C7D" w:rsidRPr="007A7C7D" w:rsidRDefault="00EB3ECE" w:rsidP="007A7C7D">
      <w:pPr>
        <w:pStyle w:val="ECABodyText"/>
        <w:jc w:val="both"/>
        <w:rPr>
          <w:rFonts w:asciiTheme="minorHAnsi" w:hAnsiTheme="minorHAnsi" w:cstheme="minorHAnsi"/>
        </w:rPr>
      </w:pPr>
      <w:r w:rsidRPr="00EB3ECE">
        <w:rPr>
          <w:rFonts w:asciiTheme="minorHAnsi" w:hAnsiTheme="minorHAnsi" w:cstheme="minorHAnsi"/>
          <w:b/>
          <w:lang w:val="sr-Latn-CS"/>
        </w:rPr>
        <w:t xml:space="preserve">Propisi o </w:t>
      </w:r>
      <w:proofErr w:type="spellStart"/>
      <w:r w:rsidRPr="00EB3ECE">
        <w:rPr>
          <w:rFonts w:asciiTheme="minorHAnsi" w:hAnsiTheme="minorHAnsi" w:cstheme="minorHAnsi"/>
          <w:b/>
          <w:lang w:val="sr-Latn-CS"/>
        </w:rPr>
        <w:t>eko</w:t>
      </w:r>
      <w:proofErr w:type="spellEnd"/>
      <w:r w:rsidRPr="00EB3ECE">
        <w:rPr>
          <w:rFonts w:asciiTheme="minorHAnsi" w:hAnsiTheme="minorHAnsi" w:cstheme="minorHAnsi"/>
          <w:b/>
          <w:lang w:val="sr-Latn-CS"/>
        </w:rPr>
        <w:t>-dizajnu</w:t>
      </w:r>
      <w:r w:rsidRPr="00EB3ECE">
        <w:rPr>
          <w:rFonts w:asciiTheme="minorHAnsi" w:hAnsiTheme="minorHAnsi" w:cstheme="minorHAnsi"/>
          <w:lang w:val="sr-Latn-CS"/>
        </w:rPr>
        <w:t xml:space="preserve">, koji postavljaju minimalne standarde performansi u pogledu potrošnje energije za različite uobičajene grupe proizvoda, još nisu transponovani u nacionalno zakonodavstvo, </w:t>
      </w:r>
      <w:r w:rsidR="00AE6A2B">
        <w:rPr>
          <w:rFonts w:asciiTheme="minorHAnsi" w:hAnsiTheme="minorHAnsi" w:cstheme="minorHAnsi"/>
          <w:lang w:val="sr-Latn-CS"/>
        </w:rPr>
        <w:t xml:space="preserve">a </w:t>
      </w:r>
      <w:r w:rsidRPr="00EB3ECE">
        <w:rPr>
          <w:rFonts w:asciiTheme="minorHAnsi" w:hAnsiTheme="minorHAnsi" w:cstheme="minorHAnsi"/>
          <w:lang w:val="sr-Latn-CS"/>
        </w:rPr>
        <w:t>njihovo prenošenje je uključeno od strane T</w:t>
      </w:r>
      <w:r>
        <w:rPr>
          <w:rFonts w:asciiTheme="minorHAnsi" w:hAnsiTheme="minorHAnsi" w:cstheme="minorHAnsi"/>
          <w:lang w:val="sr-Latn-CS"/>
        </w:rPr>
        <w:t>W</w:t>
      </w:r>
      <w:r w:rsidRPr="00EB3ECE">
        <w:rPr>
          <w:rFonts w:asciiTheme="minorHAnsi" w:hAnsiTheme="minorHAnsi" w:cstheme="minorHAnsi"/>
          <w:lang w:val="sr-Latn-CS"/>
        </w:rPr>
        <w:t>G uporedo sa usvajanjem NECP-a koji pokriva period 2023/2030</w:t>
      </w:r>
      <w:r>
        <w:rPr>
          <w:rFonts w:asciiTheme="minorHAnsi" w:hAnsiTheme="minorHAnsi" w:cstheme="minorHAnsi"/>
        </w:rPr>
        <w:t>.</w:t>
      </w:r>
      <w:r w:rsidR="00633E46" w:rsidRPr="007A7C7D">
        <w:rPr>
          <w:rFonts w:asciiTheme="minorHAnsi" w:hAnsiTheme="minorHAnsi" w:cstheme="minorHAnsi"/>
        </w:rPr>
        <w:t xml:space="preserve"> </w:t>
      </w:r>
    </w:p>
    <w:p w:rsidR="00B979D3" w:rsidRDefault="00B979D3" w:rsidP="00F75966">
      <w:pPr>
        <w:jc w:val="both"/>
        <w:rPr>
          <w:i/>
          <w:color w:val="0070C0"/>
          <w:lang w:val="en-GB"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9"/>
        <w:gridCol w:w="3102"/>
        <w:gridCol w:w="801"/>
        <w:gridCol w:w="814"/>
        <w:gridCol w:w="812"/>
        <w:gridCol w:w="678"/>
        <w:gridCol w:w="1491"/>
        <w:gridCol w:w="1023"/>
      </w:tblGrid>
      <w:tr w:rsidR="007851AD" w:rsidRPr="00666537" w:rsidTr="007851AD">
        <w:trPr>
          <w:trHeight w:val="145"/>
          <w:jc w:val="center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851AD" w:rsidRPr="00D03E86" w:rsidRDefault="003F7945" w:rsidP="007851A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D03E8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VRSTA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51AD" w:rsidRPr="00D03E86" w:rsidRDefault="007851AD" w:rsidP="0081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51AD" w:rsidRPr="00D03E86" w:rsidRDefault="003F7945" w:rsidP="0081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D03E86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GODIŠNJA UŠTEDA</w:t>
            </w:r>
            <w:r w:rsidR="007851AD" w:rsidRPr="00D03E86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 xml:space="preserve"> (KTOE)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51AD" w:rsidRPr="00D03E86" w:rsidRDefault="003F7945" w:rsidP="00785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D03E86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 xml:space="preserve">KUMULATIVNO UKUPNO </w:t>
            </w:r>
            <w:r w:rsidR="007851AD" w:rsidRPr="00D03E86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>(KTOE)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51AD" w:rsidRPr="00D03E86" w:rsidRDefault="007851AD" w:rsidP="00D03E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</w:pPr>
            <w:r w:rsidRPr="00D03E86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 xml:space="preserve">% </w:t>
            </w:r>
            <w:r w:rsidR="00D03E86" w:rsidRPr="00D03E86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 xml:space="preserve">CILJA </w:t>
            </w:r>
            <w:r w:rsidRPr="00D03E86">
              <w:rPr>
                <w:rFonts w:eastAsia="Times New Roman" w:cstheme="minorHAnsi"/>
                <w:color w:val="000000"/>
                <w:sz w:val="18"/>
                <w:szCs w:val="18"/>
                <w:lang w:val="sr-Latn-CS" w:eastAsia="en-GB"/>
              </w:rPr>
              <w:t xml:space="preserve">EEO </w:t>
            </w:r>
          </w:p>
        </w:tc>
      </w:tr>
      <w:tr w:rsidR="007851AD" w:rsidRPr="00666537" w:rsidTr="007851AD">
        <w:trPr>
          <w:trHeight w:val="50"/>
          <w:jc w:val="center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51AD" w:rsidRDefault="007851AD" w:rsidP="00811D7F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51AD" w:rsidRDefault="003F7945" w:rsidP="0081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NAZIV MERE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51AD" w:rsidRDefault="007851AD" w:rsidP="0081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2017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51AD" w:rsidRDefault="007851AD" w:rsidP="0081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51AD" w:rsidRDefault="007851AD" w:rsidP="0081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51AD" w:rsidRDefault="007851AD" w:rsidP="0081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2020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51AD" w:rsidRPr="004D4C01" w:rsidRDefault="007851AD" w:rsidP="007851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51AD" w:rsidRPr="004D4C01" w:rsidRDefault="007851AD" w:rsidP="0081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851AD" w:rsidRPr="008631BE" w:rsidTr="007851AD">
        <w:trPr>
          <w:trHeight w:val="458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AD" w:rsidRPr="004D4C01" w:rsidRDefault="007851AD" w:rsidP="0008676B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 w:rsidRPr="0008676B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EEOS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851AD" w:rsidRPr="008631BE" w:rsidTr="007851AD">
        <w:trPr>
          <w:trHeight w:val="458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AD" w:rsidRPr="00D03E86" w:rsidRDefault="00D03E86" w:rsidP="00811D7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D03E8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Alternativna mera</w:t>
            </w:r>
            <w:r w:rsidR="007851AD" w:rsidRPr="00D03E8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 1: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851AD" w:rsidRPr="008631BE" w:rsidTr="007851AD">
        <w:trPr>
          <w:trHeight w:val="458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AD" w:rsidRPr="00D03E86" w:rsidRDefault="00D03E86" w:rsidP="00811D7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D03E8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Alternativna mera</w:t>
            </w:r>
            <w:r w:rsidR="007851AD" w:rsidRPr="00D03E8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 2: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851AD" w:rsidRPr="008631BE" w:rsidTr="007851AD">
        <w:trPr>
          <w:trHeight w:val="458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AD" w:rsidRPr="004D4C01" w:rsidRDefault="00234584" w:rsidP="00811D7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 w:rsidRPr="00D03E8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lastRenderedPageBreak/>
              <w:t xml:space="preserve">Alternativna mera </w:t>
            </w:r>
            <w:r w:rsidR="007851AD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3: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851AD" w:rsidRPr="008631BE" w:rsidTr="007851AD">
        <w:trPr>
          <w:trHeight w:val="458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AD" w:rsidRPr="004D4C01" w:rsidRDefault="00234584" w:rsidP="00811D7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 w:rsidRPr="00D03E8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Alternativna mera </w:t>
            </w:r>
            <w:r w:rsidR="007851AD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4: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851AD" w:rsidRPr="00976830" w:rsidTr="007851AD">
        <w:trPr>
          <w:trHeight w:val="458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AD" w:rsidRPr="004D4C01" w:rsidRDefault="00234584" w:rsidP="00811D7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 w:rsidRPr="00D03E86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 xml:space="preserve">Alternativna mera </w:t>
            </w:r>
            <w:r w:rsidR="007851AD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5: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851AD" w:rsidRPr="008631BE" w:rsidTr="007851AD">
        <w:trPr>
          <w:trHeight w:val="458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51AD" w:rsidRPr="00234584" w:rsidRDefault="00234584" w:rsidP="007851AD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234584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UKUPNO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AD" w:rsidRPr="004D4C01" w:rsidRDefault="007851AD" w:rsidP="0008676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FD7C2F" w:rsidRDefault="00FD7C2F" w:rsidP="00F1229B">
      <w:pPr>
        <w:jc w:val="both"/>
        <w:rPr>
          <w:b/>
          <w:i/>
          <w:color w:val="0070C0"/>
          <w:lang w:val="en-GB"/>
        </w:rPr>
      </w:pPr>
    </w:p>
    <w:p w:rsidR="0014266E" w:rsidRPr="009309D2" w:rsidRDefault="00884401" w:rsidP="00B81907">
      <w:pPr>
        <w:pStyle w:val="Heading1"/>
      </w:pPr>
      <w:r w:rsidRPr="00884401">
        <w:rPr>
          <w:lang w:val="sr-Latn-CS"/>
        </w:rPr>
        <w:t>Energetsk</w:t>
      </w:r>
      <w:r>
        <w:rPr>
          <w:lang w:val="sr-Latn-CS"/>
        </w:rPr>
        <w:t>i</w:t>
      </w:r>
      <w:r w:rsidRPr="00884401">
        <w:rPr>
          <w:lang w:val="sr-Latn-CS"/>
        </w:rPr>
        <w:t xml:space="preserve"> </w:t>
      </w:r>
      <w:r>
        <w:rPr>
          <w:lang w:val="sr-Latn-CS"/>
        </w:rPr>
        <w:t>pregledi</w:t>
      </w:r>
      <w:r w:rsidRPr="00884401">
        <w:rPr>
          <w:lang w:val="sr-Latn-CS"/>
        </w:rPr>
        <w:t xml:space="preserve"> (član 8) i energetske usluge (član 18</w:t>
      </w:r>
      <w:r w:rsidR="0029765F">
        <w:t>)</w:t>
      </w:r>
    </w:p>
    <w:p w:rsidR="00FC5256" w:rsidRDefault="00884401" w:rsidP="00B8190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4401">
        <w:rPr>
          <w:rFonts w:cstheme="minorHAnsi"/>
          <w:lang w:val="sr-Latn-CS"/>
        </w:rPr>
        <w:t>Tokom 2020. i 2021. godine raspisan je tender za izradu Energetskog pregleda za opštinski nivo. Izvršeno je 77 energetskih pregleda i procenjena je ušteda na emisiji CO2 od 3237,18 tona/god. Tokom 2021. godine centar za održivost Prištinskog univerziteta “Hasan Priština”, obučio je i certificirao dodatno 59 energetskih revizora</w:t>
      </w:r>
      <w:r w:rsidRPr="00884401">
        <w:rPr>
          <w:rFonts w:cstheme="minorHAnsi"/>
          <w:lang w:val="en-US"/>
        </w:rPr>
        <w:t xml:space="preserve"> </w:t>
      </w:r>
      <w:r w:rsidR="009E5CF7">
        <w:rPr>
          <w:rFonts w:cstheme="minorHAnsi"/>
          <w:lang w:val="en-US"/>
        </w:rPr>
        <w:t>(</w:t>
      </w:r>
      <w:hyperlink r:id="rId18" w:history="1">
        <w:r w:rsidR="00FC5256" w:rsidRPr="0070321E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https://fkee-rks.net/en/</w:t>
        </w:r>
      </w:hyperlink>
      <w:r w:rsidR="009E5CF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E3153F" w:rsidRPr="00E3153F" w:rsidRDefault="00884401" w:rsidP="00E3153F">
      <w:pPr>
        <w:jc w:val="both"/>
        <w:rPr>
          <w:rFonts w:ascii="Calibri" w:eastAsia="Times New Roman" w:hAnsi="Calibri" w:cs="Calibri"/>
          <w:color w:val="000000"/>
          <w:lang w:val="sq-AL" w:eastAsia="sq-AL"/>
        </w:rPr>
      </w:pPr>
      <w:r w:rsidRPr="00884401">
        <w:rPr>
          <w:iCs/>
          <w:lang w:val="sr-Latn-CS"/>
        </w:rPr>
        <w:t>Napomen</w:t>
      </w:r>
      <w:r w:rsidR="00695922">
        <w:rPr>
          <w:iCs/>
          <w:lang w:val="sr-Latn-CS"/>
        </w:rPr>
        <w:t>a</w:t>
      </w:r>
      <w:r w:rsidRPr="00884401">
        <w:rPr>
          <w:iCs/>
          <w:lang w:val="sr-Latn-CS"/>
        </w:rPr>
        <w:t>: Uvezeno je za popis ulaganja komercijalnih banaka u mere zelene energije i energetske efikasnosti i ukupan iznos investicije je 17.687.699,69 miliona evra</w:t>
      </w:r>
      <w:r w:rsidR="00E3153F">
        <w:rPr>
          <w:rFonts w:ascii="Calibri" w:eastAsia="Times New Roman" w:hAnsi="Calibri" w:cs="Calibri"/>
          <w:color w:val="000000"/>
          <w:lang w:val="sq-AL" w:eastAsia="sq-AL"/>
        </w:rPr>
        <w:t>.</w:t>
      </w:r>
    </w:p>
    <w:p w:rsidR="00633A85" w:rsidRDefault="00695922" w:rsidP="0014266E">
      <w:pPr>
        <w:jc w:val="both"/>
        <w:rPr>
          <w:i/>
          <w:color w:val="0070C0"/>
          <w:lang w:val="en-GB"/>
        </w:rPr>
      </w:pPr>
      <w:r w:rsidRPr="00695922">
        <w:rPr>
          <w:i/>
          <w:color w:val="0070C0"/>
          <w:lang w:val="sr-Latn-CS"/>
        </w:rPr>
        <w:t>Molimo navedite informacije u tabeli ispod</w:t>
      </w:r>
      <w:r w:rsidR="0014266E" w:rsidRPr="0014266E">
        <w:rPr>
          <w:i/>
          <w:color w:val="0070C0"/>
          <w:lang w:val="en-GB"/>
        </w:rPr>
        <w:t xml:space="preserve">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2525"/>
        <w:gridCol w:w="3068"/>
      </w:tblGrid>
      <w:tr w:rsidR="005B2EDD" w:rsidRPr="0014266E" w:rsidTr="00B81907">
        <w:trPr>
          <w:trHeight w:val="570"/>
        </w:trPr>
        <w:tc>
          <w:tcPr>
            <w:tcW w:w="22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2EDD" w:rsidRPr="0014266E" w:rsidRDefault="005B2EDD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B2EDD" w:rsidRPr="0014266E" w:rsidRDefault="005B2EDD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 w:rsidRPr="0014266E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20</w:t>
            </w:r>
            <w:r w:rsidR="00A968F1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B2EDD" w:rsidRPr="0014266E" w:rsidRDefault="005B2EDD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 w:rsidRPr="0014266E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202</w:t>
            </w:r>
            <w:r w:rsidR="00A968F1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1</w:t>
            </w:r>
          </w:p>
        </w:tc>
      </w:tr>
      <w:tr w:rsidR="005B2EDD" w:rsidRPr="00277F01" w:rsidTr="00B81907">
        <w:trPr>
          <w:trHeight w:val="60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B2EDD" w:rsidRPr="00695922" w:rsidRDefault="00695922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695922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Broj sprovedenih energetskih pregleda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vAlign w:val="center"/>
            <w:hideMark/>
          </w:tcPr>
          <w:p w:rsidR="005B2EDD" w:rsidRPr="0014266E" w:rsidRDefault="00633A85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  <w:hideMark/>
          </w:tcPr>
          <w:p w:rsidR="005B2EDD" w:rsidRPr="0014266E" w:rsidRDefault="00633A85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77</w:t>
            </w:r>
          </w:p>
        </w:tc>
      </w:tr>
      <w:tr w:rsidR="005B2EDD" w:rsidRPr="00277F01" w:rsidTr="00B81907">
        <w:trPr>
          <w:trHeight w:val="180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B2EDD" w:rsidRPr="00695922" w:rsidRDefault="00695922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695922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Ukupan procenjeni broj velikih kompanija na teritoriji KP na koje se primenjuje član 8(4) Direktive 2012/27/EU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vAlign w:val="center"/>
            <w:hideMark/>
          </w:tcPr>
          <w:p w:rsidR="005B2EDD" w:rsidRPr="0014266E" w:rsidRDefault="00A906C2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  <w:hideMark/>
          </w:tcPr>
          <w:p w:rsidR="005B2EDD" w:rsidRPr="0014266E" w:rsidRDefault="00B02406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</w:tr>
      <w:tr w:rsidR="005B2EDD" w:rsidRPr="00277F01" w:rsidTr="00B81907">
        <w:trPr>
          <w:trHeight w:val="90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B2EDD" w:rsidRPr="00FC4B69" w:rsidRDefault="00FC4B69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FC4B69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Broj izvršenih energetskih pregleda u tim preduzećima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2EDD" w:rsidRPr="0014266E" w:rsidRDefault="00B02406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2EDD" w:rsidRPr="0014266E" w:rsidRDefault="00B02406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</w:tr>
      <w:tr w:rsidR="00B81907" w:rsidRPr="007C7C8F" w:rsidTr="00B81907">
        <w:trPr>
          <w:trHeight w:val="90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B81907" w:rsidRPr="004507CC" w:rsidRDefault="004507CC" w:rsidP="00B81907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4507CC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Internet veza do veb stranice na kojoj se nalazi lista ili interfejs pružalaca energetskih usluga</w:t>
            </w:r>
          </w:p>
        </w:tc>
        <w:tc>
          <w:tcPr>
            <w:tcW w:w="2716" w:type="pct"/>
            <w:gridSpan w:val="2"/>
            <w:tcBorders>
              <w:top w:val="single" w:sz="4" w:space="0" w:color="auto"/>
            </w:tcBorders>
            <w:vAlign w:val="center"/>
          </w:tcPr>
          <w:p w:rsidR="00B81907" w:rsidRPr="00CB3649" w:rsidRDefault="00CB3649" w:rsidP="00811D7F">
            <w:pPr>
              <w:ind w:left="142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</w:pPr>
            <w:r w:rsidRPr="00CB3649">
              <w:rPr>
                <w:rFonts w:ascii="Calibri" w:eastAsia="Times New Roman" w:hAnsi="Calibri" w:cs="Times New Roman"/>
                <w:bCs/>
                <w:sz w:val="18"/>
                <w:szCs w:val="18"/>
                <w:lang w:val="sr-Latn-CS" w:eastAsia="en-GB"/>
              </w:rPr>
              <w:t>Tokom izveštajnog perioda nije osnovana nijedna ESCO kompanija</w:t>
            </w:r>
          </w:p>
        </w:tc>
      </w:tr>
    </w:tbl>
    <w:p w:rsidR="005B2EDD" w:rsidRPr="009309D2" w:rsidRDefault="00E76017" w:rsidP="005B2EDD">
      <w:pPr>
        <w:pStyle w:val="Heading1"/>
        <w:ind w:left="714" w:hanging="357"/>
      </w:pPr>
      <w:r w:rsidRPr="00E76017">
        <w:rPr>
          <w:lang w:val="sr-Latn-CS"/>
        </w:rPr>
        <w:t>Faktori konverzije (DEE Aneks IV</w:t>
      </w:r>
      <w:r w:rsidR="005B2EDD" w:rsidRPr="009309D2">
        <w:t>)</w:t>
      </w:r>
    </w:p>
    <w:p w:rsidR="005B2EDD" w:rsidRPr="00E76017" w:rsidRDefault="00E76017" w:rsidP="005B2EDD">
      <w:pPr>
        <w:jc w:val="both"/>
        <w:rPr>
          <w:rFonts w:ascii="Times New Roman" w:hAnsi="Times New Roman" w:cs="Times New Roman"/>
          <w:iCs/>
          <w:sz w:val="24"/>
          <w:szCs w:val="24"/>
          <w:lang w:val="sr-Latn-CS"/>
        </w:rPr>
      </w:pPr>
      <w:r w:rsidRPr="00E76017">
        <w:rPr>
          <w:rFonts w:ascii="Times New Roman" w:hAnsi="Times New Roman" w:cs="Times New Roman"/>
          <w:iCs/>
          <w:sz w:val="24"/>
          <w:szCs w:val="24"/>
          <w:lang w:val="sr-Latn-CS"/>
        </w:rPr>
        <w:t>Potvrđujemo da je nacionalni faktor primarne energije za električnu energiju primenjen kao u Aneksu IV Direktive 2012/27/EU</w:t>
      </w:r>
      <w:r w:rsidR="00B02406" w:rsidRPr="00E76017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. </w:t>
      </w:r>
    </w:p>
    <w:p w:rsidR="00FD7C2F" w:rsidRDefault="00932CBB" w:rsidP="00F1229B">
      <w:pPr>
        <w:jc w:val="both"/>
        <w:rPr>
          <w:b/>
          <w:i/>
          <w:color w:val="0070C0"/>
          <w:lang w:val="en-GB"/>
        </w:rPr>
      </w:pPr>
      <w:r w:rsidRPr="00932CBB">
        <w:rPr>
          <w:b/>
          <w:i/>
          <w:color w:val="0070C0"/>
          <w:lang w:val="sr-Latn-CS"/>
        </w:rPr>
        <w:t>NAPOMENA</w:t>
      </w:r>
      <w:r w:rsidR="00F1229B">
        <w:rPr>
          <w:b/>
          <w:i/>
          <w:color w:val="0070C0"/>
          <w:lang w:val="en-GB"/>
        </w:rPr>
        <w:t xml:space="preserve">: </w:t>
      </w:r>
    </w:p>
    <w:p w:rsidR="00900C3A" w:rsidRPr="00E52CFE" w:rsidRDefault="00932CBB" w:rsidP="00DA4990">
      <w:pPr>
        <w:jc w:val="both"/>
        <w:rPr>
          <w:b/>
          <w:i/>
          <w:color w:val="0070C0"/>
          <w:lang w:val="en-GB"/>
        </w:rPr>
      </w:pPr>
      <w:r w:rsidRPr="00932CBB">
        <w:rPr>
          <w:b/>
          <w:i/>
          <w:color w:val="0070C0"/>
          <w:lang w:val="sr-Latn-CS"/>
        </w:rPr>
        <w:t>Podatke o potrošnji primarne i finalne energije u 2020. godini treba uneti u MS Excel tabelu (vidi Deo 2 Izveštaja</w:t>
      </w:r>
      <w:r w:rsidR="00F1229B" w:rsidRPr="00F1229B">
        <w:rPr>
          <w:b/>
          <w:i/>
          <w:color w:val="0070C0"/>
          <w:lang w:val="en-GB"/>
        </w:rPr>
        <w:t>)!</w:t>
      </w:r>
    </w:p>
    <w:sectPr w:rsidR="00900C3A" w:rsidRPr="00E52CFE" w:rsidSect="00211444">
      <w:headerReference w:type="default" r:id="rId19"/>
      <w:footerReference w:type="default" r:id="rId20"/>
      <w:pgSz w:w="11906" w:h="16838" w:code="9"/>
      <w:pgMar w:top="1440" w:right="926" w:bottom="1440" w:left="9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202C" w:rsidRDefault="00C5202C" w:rsidP="009255C9">
      <w:pPr>
        <w:spacing w:after="0" w:line="240" w:lineRule="auto"/>
      </w:pPr>
      <w:r>
        <w:separator/>
      </w:r>
    </w:p>
  </w:endnote>
  <w:endnote w:type="continuationSeparator" w:id="0">
    <w:p w:rsidR="00C5202C" w:rsidRDefault="00C5202C" w:rsidP="0092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689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F4B" w:rsidRDefault="00A77834">
        <w:pPr>
          <w:pStyle w:val="Footer"/>
          <w:jc w:val="right"/>
        </w:pPr>
        <w:r>
          <w:fldChar w:fldCharType="begin"/>
        </w:r>
        <w:r w:rsidR="00CB2F4B">
          <w:instrText xml:space="preserve"> PAGE   \* MERGEFORMAT </w:instrText>
        </w:r>
        <w:r>
          <w:fldChar w:fldCharType="separate"/>
        </w:r>
        <w:r w:rsidR="00932CB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B2F4B" w:rsidRDefault="00CB2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202C" w:rsidRDefault="00C5202C" w:rsidP="009255C9">
      <w:pPr>
        <w:spacing w:after="0" w:line="240" w:lineRule="auto"/>
      </w:pPr>
      <w:r>
        <w:separator/>
      </w:r>
    </w:p>
  </w:footnote>
  <w:footnote w:type="continuationSeparator" w:id="0">
    <w:p w:rsidR="00C5202C" w:rsidRDefault="00C5202C" w:rsidP="0092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96F" w:rsidRDefault="0060796F">
    <w:pPr>
      <w:pStyle w:val="Header"/>
    </w:pPr>
  </w:p>
  <w:p w:rsidR="009255C9" w:rsidRDefault="00925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2237"/>
    <w:multiLevelType w:val="hybridMultilevel"/>
    <w:tmpl w:val="F030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516A"/>
    <w:multiLevelType w:val="hybridMultilevel"/>
    <w:tmpl w:val="2D824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7D06"/>
    <w:multiLevelType w:val="hybridMultilevel"/>
    <w:tmpl w:val="4CCC8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32F9"/>
    <w:multiLevelType w:val="hybridMultilevel"/>
    <w:tmpl w:val="19ECB4BA"/>
    <w:lvl w:ilvl="0" w:tplc="FB767BC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940"/>
    <w:multiLevelType w:val="hybridMultilevel"/>
    <w:tmpl w:val="16946D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3749"/>
    <w:multiLevelType w:val="hybridMultilevel"/>
    <w:tmpl w:val="3AC89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F4524"/>
    <w:multiLevelType w:val="hybridMultilevel"/>
    <w:tmpl w:val="8EBC3F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D2E5E"/>
    <w:multiLevelType w:val="hybridMultilevel"/>
    <w:tmpl w:val="646AA420"/>
    <w:lvl w:ilvl="0" w:tplc="D104091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  <w:sz w:val="18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85752"/>
    <w:multiLevelType w:val="hybridMultilevel"/>
    <w:tmpl w:val="ABE894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20FD0"/>
    <w:multiLevelType w:val="multilevel"/>
    <w:tmpl w:val="924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4E7DDE"/>
    <w:multiLevelType w:val="hybridMultilevel"/>
    <w:tmpl w:val="115E8E48"/>
    <w:lvl w:ilvl="0" w:tplc="8EA6DB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574D2E"/>
    <w:multiLevelType w:val="multilevel"/>
    <w:tmpl w:val="3B3E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DF70BD"/>
    <w:multiLevelType w:val="hybridMultilevel"/>
    <w:tmpl w:val="8A70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47795">
    <w:abstractNumId w:val="2"/>
  </w:num>
  <w:num w:numId="2" w16cid:durableId="267736193">
    <w:abstractNumId w:val="3"/>
  </w:num>
  <w:num w:numId="3" w16cid:durableId="1623342070">
    <w:abstractNumId w:val="4"/>
  </w:num>
  <w:num w:numId="4" w16cid:durableId="970129684">
    <w:abstractNumId w:val="0"/>
  </w:num>
  <w:num w:numId="5" w16cid:durableId="2136369013">
    <w:abstractNumId w:val="1"/>
  </w:num>
  <w:num w:numId="6" w16cid:durableId="452292824">
    <w:abstractNumId w:val="5"/>
  </w:num>
  <w:num w:numId="7" w16cid:durableId="1346403904">
    <w:abstractNumId w:val="12"/>
  </w:num>
  <w:num w:numId="8" w16cid:durableId="2053072665">
    <w:abstractNumId w:val="8"/>
  </w:num>
  <w:num w:numId="9" w16cid:durableId="292904988">
    <w:abstractNumId w:val="3"/>
    <w:lvlOverride w:ilvl="0">
      <w:startOverride w:val="1"/>
    </w:lvlOverride>
  </w:num>
  <w:num w:numId="10" w16cid:durableId="155803202">
    <w:abstractNumId w:val="3"/>
  </w:num>
  <w:num w:numId="11" w16cid:durableId="1031882765">
    <w:abstractNumId w:val="3"/>
    <w:lvlOverride w:ilvl="0">
      <w:startOverride w:val="1"/>
    </w:lvlOverride>
  </w:num>
  <w:num w:numId="12" w16cid:durableId="1004629073">
    <w:abstractNumId w:val="3"/>
  </w:num>
  <w:num w:numId="13" w16cid:durableId="1227105415">
    <w:abstractNumId w:val="7"/>
  </w:num>
  <w:num w:numId="14" w16cid:durableId="947615250">
    <w:abstractNumId w:val="10"/>
  </w:num>
  <w:num w:numId="15" w16cid:durableId="728964219">
    <w:abstractNumId w:val="6"/>
  </w:num>
  <w:num w:numId="16" w16cid:durableId="951400504">
    <w:abstractNumId w:val="9"/>
  </w:num>
  <w:num w:numId="17" w16cid:durableId="732888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MTE0MDewNLU0N7BQ0lEKTi0uzszPAykwrwUAEyuhOSwAAAA="/>
  </w:docVars>
  <w:rsids>
    <w:rsidRoot w:val="000921C1"/>
    <w:rsid w:val="0000117E"/>
    <w:rsid w:val="00007AC4"/>
    <w:rsid w:val="0001306E"/>
    <w:rsid w:val="00024C24"/>
    <w:rsid w:val="00031460"/>
    <w:rsid w:val="00035929"/>
    <w:rsid w:val="00043139"/>
    <w:rsid w:val="0004431A"/>
    <w:rsid w:val="00046F85"/>
    <w:rsid w:val="00050237"/>
    <w:rsid w:val="00057709"/>
    <w:rsid w:val="000625D6"/>
    <w:rsid w:val="000631CF"/>
    <w:rsid w:val="00070BEB"/>
    <w:rsid w:val="00071E80"/>
    <w:rsid w:val="00073CA6"/>
    <w:rsid w:val="0008676B"/>
    <w:rsid w:val="000921C1"/>
    <w:rsid w:val="00094DF7"/>
    <w:rsid w:val="000A11CB"/>
    <w:rsid w:val="000A3E46"/>
    <w:rsid w:val="000A71A4"/>
    <w:rsid w:val="000B2A31"/>
    <w:rsid w:val="000B319A"/>
    <w:rsid w:val="000B3BAC"/>
    <w:rsid w:val="000B7F7A"/>
    <w:rsid w:val="000C7022"/>
    <w:rsid w:val="000D156F"/>
    <w:rsid w:val="000D6B97"/>
    <w:rsid w:val="000E2C87"/>
    <w:rsid w:val="000E331B"/>
    <w:rsid w:val="000E4200"/>
    <w:rsid w:val="000E5744"/>
    <w:rsid w:val="000E649D"/>
    <w:rsid w:val="000E7DAB"/>
    <w:rsid w:val="000F7E87"/>
    <w:rsid w:val="00103B3D"/>
    <w:rsid w:val="00113559"/>
    <w:rsid w:val="00122CFD"/>
    <w:rsid w:val="00124F62"/>
    <w:rsid w:val="0012652E"/>
    <w:rsid w:val="00131602"/>
    <w:rsid w:val="0014266E"/>
    <w:rsid w:val="00173C4F"/>
    <w:rsid w:val="00173FAC"/>
    <w:rsid w:val="00184F4F"/>
    <w:rsid w:val="001859CB"/>
    <w:rsid w:val="00185EAD"/>
    <w:rsid w:val="00193F14"/>
    <w:rsid w:val="001A456C"/>
    <w:rsid w:val="001C1C34"/>
    <w:rsid w:val="001C49E1"/>
    <w:rsid w:val="001D6B04"/>
    <w:rsid w:val="001E3896"/>
    <w:rsid w:val="001F0C24"/>
    <w:rsid w:val="001F1370"/>
    <w:rsid w:val="001F3275"/>
    <w:rsid w:val="001F7C1A"/>
    <w:rsid w:val="00201696"/>
    <w:rsid w:val="00205F0A"/>
    <w:rsid w:val="002110FE"/>
    <w:rsid w:val="00211444"/>
    <w:rsid w:val="002126A1"/>
    <w:rsid w:val="00213B9F"/>
    <w:rsid w:val="00215526"/>
    <w:rsid w:val="00216FCF"/>
    <w:rsid w:val="00227FF8"/>
    <w:rsid w:val="00234584"/>
    <w:rsid w:val="00254C35"/>
    <w:rsid w:val="00266D38"/>
    <w:rsid w:val="002702D4"/>
    <w:rsid w:val="002740F4"/>
    <w:rsid w:val="00277F01"/>
    <w:rsid w:val="002804EC"/>
    <w:rsid w:val="00292868"/>
    <w:rsid w:val="0029765F"/>
    <w:rsid w:val="002A46DC"/>
    <w:rsid w:val="002A4BE4"/>
    <w:rsid w:val="002A6161"/>
    <w:rsid w:val="002D5129"/>
    <w:rsid w:val="002D7EC0"/>
    <w:rsid w:val="002F0CEC"/>
    <w:rsid w:val="002F2AC5"/>
    <w:rsid w:val="002F41BB"/>
    <w:rsid w:val="002F6954"/>
    <w:rsid w:val="0030167C"/>
    <w:rsid w:val="00324063"/>
    <w:rsid w:val="00327909"/>
    <w:rsid w:val="00327B8A"/>
    <w:rsid w:val="003406ED"/>
    <w:rsid w:val="003448DD"/>
    <w:rsid w:val="00354DD9"/>
    <w:rsid w:val="003628AB"/>
    <w:rsid w:val="0038674C"/>
    <w:rsid w:val="0039090F"/>
    <w:rsid w:val="00393FFC"/>
    <w:rsid w:val="003A3C80"/>
    <w:rsid w:val="003A564A"/>
    <w:rsid w:val="003B0299"/>
    <w:rsid w:val="003C1F04"/>
    <w:rsid w:val="003C7D20"/>
    <w:rsid w:val="003D2A8A"/>
    <w:rsid w:val="003E1BF7"/>
    <w:rsid w:val="003E3F20"/>
    <w:rsid w:val="003E7655"/>
    <w:rsid w:val="003F4559"/>
    <w:rsid w:val="003F75BE"/>
    <w:rsid w:val="003F7945"/>
    <w:rsid w:val="0040519F"/>
    <w:rsid w:val="00406C1A"/>
    <w:rsid w:val="00426C40"/>
    <w:rsid w:val="0043755B"/>
    <w:rsid w:val="00446EE4"/>
    <w:rsid w:val="00447E41"/>
    <w:rsid w:val="004507CC"/>
    <w:rsid w:val="00474150"/>
    <w:rsid w:val="00490845"/>
    <w:rsid w:val="004920AE"/>
    <w:rsid w:val="004951D3"/>
    <w:rsid w:val="00495BEC"/>
    <w:rsid w:val="004964E2"/>
    <w:rsid w:val="004A300C"/>
    <w:rsid w:val="004A3B27"/>
    <w:rsid w:val="004A4ABB"/>
    <w:rsid w:val="004A6432"/>
    <w:rsid w:val="004B2881"/>
    <w:rsid w:val="004C4E8B"/>
    <w:rsid w:val="004D144C"/>
    <w:rsid w:val="004D4C01"/>
    <w:rsid w:val="004E5454"/>
    <w:rsid w:val="004F400F"/>
    <w:rsid w:val="004F4CD4"/>
    <w:rsid w:val="00500421"/>
    <w:rsid w:val="00503ED2"/>
    <w:rsid w:val="00503F81"/>
    <w:rsid w:val="00513573"/>
    <w:rsid w:val="00522376"/>
    <w:rsid w:val="005254AC"/>
    <w:rsid w:val="005331FC"/>
    <w:rsid w:val="00536B27"/>
    <w:rsid w:val="00544622"/>
    <w:rsid w:val="005474C7"/>
    <w:rsid w:val="00551322"/>
    <w:rsid w:val="005733A6"/>
    <w:rsid w:val="0057794A"/>
    <w:rsid w:val="00587739"/>
    <w:rsid w:val="00591D27"/>
    <w:rsid w:val="00594EC2"/>
    <w:rsid w:val="00596D2C"/>
    <w:rsid w:val="0059719E"/>
    <w:rsid w:val="005A1479"/>
    <w:rsid w:val="005A1A9B"/>
    <w:rsid w:val="005A4CF9"/>
    <w:rsid w:val="005B02B8"/>
    <w:rsid w:val="005B236E"/>
    <w:rsid w:val="005B2EDD"/>
    <w:rsid w:val="005B3D17"/>
    <w:rsid w:val="005B64D3"/>
    <w:rsid w:val="005D67FB"/>
    <w:rsid w:val="005E13D6"/>
    <w:rsid w:val="005E4A94"/>
    <w:rsid w:val="005F50D0"/>
    <w:rsid w:val="005F534E"/>
    <w:rsid w:val="005F57F0"/>
    <w:rsid w:val="005F60A4"/>
    <w:rsid w:val="006015D4"/>
    <w:rsid w:val="0060436C"/>
    <w:rsid w:val="0060796F"/>
    <w:rsid w:val="00607C72"/>
    <w:rsid w:val="00617E10"/>
    <w:rsid w:val="00620A8B"/>
    <w:rsid w:val="006231AF"/>
    <w:rsid w:val="00625403"/>
    <w:rsid w:val="00625D5A"/>
    <w:rsid w:val="006268EE"/>
    <w:rsid w:val="00627ACD"/>
    <w:rsid w:val="0063148A"/>
    <w:rsid w:val="00633A85"/>
    <w:rsid w:val="00633E46"/>
    <w:rsid w:val="0063527B"/>
    <w:rsid w:val="00640A5B"/>
    <w:rsid w:val="00644338"/>
    <w:rsid w:val="0064588A"/>
    <w:rsid w:val="00647014"/>
    <w:rsid w:val="00652854"/>
    <w:rsid w:val="00655A51"/>
    <w:rsid w:val="00666537"/>
    <w:rsid w:val="00667FA4"/>
    <w:rsid w:val="00672651"/>
    <w:rsid w:val="00676542"/>
    <w:rsid w:val="00685D76"/>
    <w:rsid w:val="00692B67"/>
    <w:rsid w:val="00695880"/>
    <w:rsid w:val="00695922"/>
    <w:rsid w:val="0069608C"/>
    <w:rsid w:val="00697CEC"/>
    <w:rsid w:val="00697FD2"/>
    <w:rsid w:val="006A3130"/>
    <w:rsid w:val="006A5E2A"/>
    <w:rsid w:val="006C1AC4"/>
    <w:rsid w:val="006C4256"/>
    <w:rsid w:val="006E2D04"/>
    <w:rsid w:val="006E2DC3"/>
    <w:rsid w:val="006E3CE8"/>
    <w:rsid w:val="006E3D30"/>
    <w:rsid w:val="006F1FEF"/>
    <w:rsid w:val="006F453A"/>
    <w:rsid w:val="00711A9D"/>
    <w:rsid w:val="00712A3F"/>
    <w:rsid w:val="00717B12"/>
    <w:rsid w:val="0073010D"/>
    <w:rsid w:val="00732600"/>
    <w:rsid w:val="00732C59"/>
    <w:rsid w:val="00744C32"/>
    <w:rsid w:val="007455BB"/>
    <w:rsid w:val="007533DD"/>
    <w:rsid w:val="007851AD"/>
    <w:rsid w:val="00795F43"/>
    <w:rsid w:val="007A4F29"/>
    <w:rsid w:val="007A6339"/>
    <w:rsid w:val="007A7C7D"/>
    <w:rsid w:val="007B1383"/>
    <w:rsid w:val="007B43A4"/>
    <w:rsid w:val="007B60EB"/>
    <w:rsid w:val="007B6AD3"/>
    <w:rsid w:val="007C0E31"/>
    <w:rsid w:val="007C7C8F"/>
    <w:rsid w:val="007E7026"/>
    <w:rsid w:val="007E7E37"/>
    <w:rsid w:val="007F2F25"/>
    <w:rsid w:val="00800AF2"/>
    <w:rsid w:val="00811D7F"/>
    <w:rsid w:val="00820E27"/>
    <w:rsid w:val="00826186"/>
    <w:rsid w:val="00827F92"/>
    <w:rsid w:val="00830D6F"/>
    <w:rsid w:val="00836D31"/>
    <w:rsid w:val="00842AA3"/>
    <w:rsid w:val="008450CD"/>
    <w:rsid w:val="00860630"/>
    <w:rsid w:val="00860A86"/>
    <w:rsid w:val="00860BAD"/>
    <w:rsid w:val="00862DD6"/>
    <w:rsid w:val="008631BE"/>
    <w:rsid w:val="00871E59"/>
    <w:rsid w:val="0087662C"/>
    <w:rsid w:val="00877787"/>
    <w:rsid w:val="00884401"/>
    <w:rsid w:val="00892579"/>
    <w:rsid w:val="00897C68"/>
    <w:rsid w:val="008A266F"/>
    <w:rsid w:val="008B074D"/>
    <w:rsid w:val="008D4C01"/>
    <w:rsid w:val="008E2687"/>
    <w:rsid w:val="008E3D45"/>
    <w:rsid w:val="008E55BF"/>
    <w:rsid w:val="008F3EB0"/>
    <w:rsid w:val="00900C3A"/>
    <w:rsid w:val="00900ED0"/>
    <w:rsid w:val="009014F5"/>
    <w:rsid w:val="00912F4C"/>
    <w:rsid w:val="00914084"/>
    <w:rsid w:val="00920973"/>
    <w:rsid w:val="009255C9"/>
    <w:rsid w:val="00926E71"/>
    <w:rsid w:val="009309D2"/>
    <w:rsid w:val="00930DCF"/>
    <w:rsid w:val="00932CBB"/>
    <w:rsid w:val="00933A4C"/>
    <w:rsid w:val="009419E4"/>
    <w:rsid w:val="00946C32"/>
    <w:rsid w:val="00961F04"/>
    <w:rsid w:val="009649F6"/>
    <w:rsid w:val="00965437"/>
    <w:rsid w:val="00975878"/>
    <w:rsid w:val="00976830"/>
    <w:rsid w:val="0098114D"/>
    <w:rsid w:val="00984850"/>
    <w:rsid w:val="009912EF"/>
    <w:rsid w:val="00994FA9"/>
    <w:rsid w:val="00995CFF"/>
    <w:rsid w:val="009A000F"/>
    <w:rsid w:val="009B05FA"/>
    <w:rsid w:val="009B6C33"/>
    <w:rsid w:val="009C00A0"/>
    <w:rsid w:val="009C0BC7"/>
    <w:rsid w:val="009C1754"/>
    <w:rsid w:val="009C6105"/>
    <w:rsid w:val="009C6517"/>
    <w:rsid w:val="009D0A82"/>
    <w:rsid w:val="009D3458"/>
    <w:rsid w:val="009D36F4"/>
    <w:rsid w:val="009D7414"/>
    <w:rsid w:val="009E1E48"/>
    <w:rsid w:val="009E5CF7"/>
    <w:rsid w:val="009E7207"/>
    <w:rsid w:val="00A00FAC"/>
    <w:rsid w:val="00A02752"/>
    <w:rsid w:val="00A04456"/>
    <w:rsid w:val="00A17CEB"/>
    <w:rsid w:val="00A22010"/>
    <w:rsid w:val="00A22EEF"/>
    <w:rsid w:val="00A27642"/>
    <w:rsid w:val="00A30315"/>
    <w:rsid w:val="00A31229"/>
    <w:rsid w:val="00A37FAF"/>
    <w:rsid w:val="00A4215E"/>
    <w:rsid w:val="00A451E0"/>
    <w:rsid w:val="00A510D5"/>
    <w:rsid w:val="00A56D46"/>
    <w:rsid w:val="00A57759"/>
    <w:rsid w:val="00A6513A"/>
    <w:rsid w:val="00A66E36"/>
    <w:rsid w:val="00A77834"/>
    <w:rsid w:val="00A906C2"/>
    <w:rsid w:val="00A96570"/>
    <w:rsid w:val="00A968F1"/>
    <w:rsid w:val="00AA1E97"/>
    <w:rsid w:val="00AA2F6D"/>
    <w:rsid w:val="00AB65AE"/>
    <w:rsid w:val="00AD6BC5"/>
    <w:rsid w:val="00AE18CD"/>
    <w:rsid w:val="00AE2CF3"/>
    <w:rsid w:val="00AE50F6"/>
    <w:rsid w:val="00AE620D"/>
    <w:rsid w:val="00AE6A2B"/>
    <w:rsid w:val="00AF16A5"/>
    <w:rsid w:val="00B02406"/>
    <w:rsid w:val="00B07A24"/>
    <w:rsid w:val="00B14C19"/>
    <w:rsid w:val="00B25B64"/>
    <w:rsid w:val="00B356E1"/>
    <w:rsid w:val="00B3759F"/>
    <w:rsid w:val="00B47509"/>
    <w:rsid w:val="00B52AB9"/>
    <w:rsid w:val="00B53024"/>
    <w:rsid w:val="00B61BFB"/>
    <w:rsid w:val="00B6500F"/>
    <w:rsid w:val="00B673BC"/>
    <w:rsid w:val="00B80D77"/>
    <w:rsid w:val="00B81907"/>
    <w:rsid w:val="00B94C65"/>
    <w:rsid w:val="00B96EFC"/>
    <w:rsid w:val="00B979D3"/>
    <w:rsid w:val="00BA0A38"/>
    <w:rsid w:val="00BA43D6"/>
    <w:rsid w:val="00BA65FA"/>
    <w:rsid w:val="00BB167C"/>
    <w:rsid w:val="00BB6F2E"/>
    <w:rsid w:val="00BB79FF"/>
    <w:rsid w:val="00BC108F"/>
    <w:rsid w:val="00BC28D9"/>
    <w:rsid w:val="00BC4B04"/>
    <w:rsid w:val="00BD3BB0"/>
    <w:rsid w:val="00BD5CB8"/>
    <w:rsid w:val="00C02E2C"/>
    <w:rsid w:val="00C125D5"/>
    <w:rsid w:val="00C1292A"/>
    <w:rsid w:val="00C12AC2"/>
    <w:rsid w:val="00C13EF4"/>
    <w:rsid w:val="00C20B22"/>
    <w:rsid w:val="00C21FF0"/>
    <w:rsid w:val="00C26029"/>
    <w:rsid w:val="00C35A2D"/>
    <w:rsid w:val="00C40467"/>
    <w:rsid w:val="00C448BB"/>
    <w:rsid w:val="00C5202C"/>
    <w:rsid w:val="00C61EAA"/>
    <w:rsid w:val="00C65082"/>
    <w:rsid w:val="00C66491"/>
    <w:rsid w:val="00C6730B"/>
    <w:rsid w:val="00C80613"/>
    <w:rsid w:val="00C8073E"/>
    <w:rsid w:val="00C81B54"/>
    <w:rsid w:val="00C8286D"/>
    <w:rsid w:val="00C8537E"/>
    <w:rsid w:val="00C9302E"/>
    <w:rsid w:val="00CA05D7"/>
    <w:rsid w:val="00CA11FF"/>
    <w:rsid w:val="00CA3F9D"/>
    <w:rsid w:val="00CA52F6"/>
    <w:rsid w:val="00CA5689"/>
    <w:rsid w:val="00CA7C01"/>
    <w:rsid w:val="00CB0D01"/>
    <w:rsid w:val="00CB2F4B"/>
    <w:rsid w:val="00CB3649"/>
    <w:rsid w:val="00CB3B62"/>
    <w:rsid w:val="00CB400D"/>
    <w:rsid w:val="00CB4513"/>
    <w:rsid w:val="00CB6BE9"/>
    <w:rsid w:val="00CC30BB"/>
    <w:rsid w:val="00CC6160"/>
    <w:rsid w:val="00CD0E8C"/>
    <w:rsid w:val="00CE4FE4"/>
    <w:rsid w:val="00CF7B31"/>
    <w:rsid w:val="00D03E86"/>
    <w:rsid w:val="00D151C9"/>
    <w:rsid w:val="00D255A6"/>
    <w:rsid w:val="00D27EE2"/>
    <w:rsid w:val="00D33770"/>
    <w:rsid w:val="00D3625E"/>
    <w:rsid w:val="00D37FAE"/>
    <w:rsid w:val="00D421CC"/>
    <w:rsid w:val="00D421E4"/>
    <w:rsid w:val="00D54271"/>
    <w:rsid w:val="00D57DA6"/>
    <w:rsid w:val="00D6295D"/>
    <w:rsid w:val="00D756DF"/>
    <w:rsid w:val="00D75DB3"/>
    <w:rsid w:val="00D96966"/>
    <w:rsid w:val="00DA2C60"/>
    <w:rsid w:val="00DA4990"/>
    <w:rsid w:val="00DB119A"/>
    <w:rsid w:val="00DC036E"/>
    <w:rsid w:val="00DC21FF"/>
    <w:rsid w:val="00DD4D48"/>
    <w:rsid w:val="00DE1402"/>
    <w:rsid w:val="00DE2C85"/>
    <w:rsid w:val="00E001B3"/>
    <w:rsid w:val="00E05527"/>
    <w:rsid w:val="00E140AD"/>
    <w:rsid w:val="00E17BFE"/>
    <w:rsid w:val="00E204DF"/>
    <w:rsid w:val="00E22DFA"/>
    <w:rsid w:val="00E24320"/>
    <w:rsid w:val="00E246A9"/>
    <w:rsid w:val="00E3153F"/>
    <w:rsid w:val="00E37DB3"/>
    <w:rsid w:val="00E40F9B"/>
    <w:rsid w:val="00E51027"/>
    <w:rsid w:val="00E52CFE"/>
    <w:rsid w:val="00E6431D"/>
    <w:rsid w:val="00E74CDA"/>
    <w:rsid w:val="00E74F54"/>
    <w:rsid w:val="00E751A5"/>
    <w:rsid w:val="00E76017"/>
    <w:rsid w:val="00E76030"/>
    <w:rsid w:val="00E82D7D"/>
    <w:rsid w:val="00E83E61"/>
    <w:rsid w:val="00E84D14"/>
    <w:rsid w:val="00E95D9B"/>
    <w:rsid w:val="00EA36C4"/>
    <w:rsid w:val="00EB385B"/>
    <w:rsid w:val="00EB3ECE"/>
    <w:rsid w:val="00EC59C1"/>
    <w:rsid w:val="00ED5182"/>
    <w:rsid w:val="00ED7A74"/>
    <w:rsid w:val="00EE0C1A"/>
    <w:rsid w:val="00EE6380"/>
    <w:rsid w:val="00EF1451"/>
    <w:rsid w:val="00F04CA1"/>
    <w:rsid w:val="00F1229B"/>
    <w:rsid w:val="00F146B3"/>
    <w:rsid w:val="00F2028B"/>
    <w:rsid w:val="00F204E4"/>
    <w:rsid w:val="00F20F7A"/>
    <w:rsid w:val="00F21B85"/>
    <w:rsid w:val="00F22D5E"/>
    <w:rsid w:val="00F24291"/>
    <w:rsid w:val="00F3037D"/>
    <w:rsid w:val="00F31884"/>
    <w:rsid w:val="00F31EB8"/>
    <w:rsid w:val="00F42F81"/>
    <w:rsid w:val="00F43422"/>
    <w:rsid w:val="00F50CA2"/>
    <w:rsid w:val="00F538CB"/>
    <w:rsid w:val="00F555B7"/>
    <w:rsid w:val="00F576C2"/>
    <w:rsid w:val="00F63068"/>
    <w:rsid w:val="00F71188"/>
    <w:rsid w:val="00F74E68"/>
    <w:rsid w:val="00F75966"/>
    <w:rsid w:val="00F8521D"/>
    <w:rsid w:val="00F90BB7"/>
    <w:rsid w:val="00FA24F5"/>
    <w:rsid w:val="00FA684B"/>
    <w:rsid w:val="00FA7E12"/>
    <w:rsid w:val="00FC4B69"/>
    <w:rsid w:val="00FC5256"/>
    <w:rsid w:val="00FD7C2F"/>
    <w:rsid w:val="00FE36A0"/>
    <w:rsid w:val="00FE512F"/>
    <w:rsid w:val="00FF04AF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709DB"/>
  <w15:docId w15:val="{1F374FD0-A8A0-4C47-885E-B8D83167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44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6C2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0921C1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sti-art2">
    <w:name w:val="sti-art2"/>
    <w:basedOn w:val="Normal"/>
    <w:rsid w:val="000921C1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customStyle="1" w:styleId="ti-art2">
    <w:name w:val="ti-art2"/>
    <w:basedOn w:val="Normal"/>
    <w:rsid w:val="000921C1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3A"/>
    <w:rPr>
      <w:rFonts w:ascii="Tahoma" w:hAnsi="Tahoma" w:cs="Tahoma"/>
      <w:sz w:val="16"/>
      <w:szCs w:val="16"/>
      <w:lang w:val="de-AT"/>
    </w:rPr>
  </w:style>
  <w:style w:type="table" w:styleId="TableGrid">
    <w:name w:val="Table Grid"/>
    <w:basedOn w:val="TableNormal"/>
    <w:uiPriority w:val="59"/>
    <w:rsid w:val="0090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a,References,Bullet Points,Indent Paragraph,Numbered Para 1,Dot pt,No Spacing1,List Paragraph Char Char Char,Indicator Text,List Paragraph1,MAIN CONTENT,List Paragraph12,F5 List Paragraph,List Paragraph11,OBC Bullet,Normal numbered,L,lp1"/>
    <w:basedOn w:val="Normal"/>
    <w:link w:val="ListParagraphChar"/>
    <w:uiPriority w:val="34"/>
    <w:qFormat/>
    <w:rsid w:val="00620A8B"/>
    <w:pPr>
      <w:ind w:left="720"/>
      <w:contextualSpacing/>
    </w:pPr>
  </w:style>
  <w:style w:type="paragraph" w:customStyle="1" w:styleId="BodyText1">
    <w:name w:val="Body Text1"/>
    <w:rsid w:val="00620A8B"/>
    <w:pPr>
      <w:spacing w:after="12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7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styleId="Hyperlink">
    <w:name w:val="Hyperlink"/>
    <w:basedOn w:val="DefaultParagraphFont"/>
    <w:uiPriority w:val="99"/>
    <w:unhideWhenUsed/>
    <w:rsid w:val="00C67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3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C9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92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C9"/>
    <w:rPr>
      <w:lang w:val="de-A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5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5C9"/>
    <w:rPr>
      <w:sz w:val="20"/>
      <w:szCs w:val="20"/>
      <w:lang w:val="de-AT"/>
    </w:rPr>
  </w:style>
  <w:style w:type="character" w:styleId="FootnoteReference">
    <w:name w:val="footnote reference"/>
    <w:basedOn w:val="DefaultParagraphFont"/>
    <w:uiPriority w:val="99"/>
    <w:semiHidden/>
    <w:unhideWhenUsed/>
    <w:rsid w:val="009255C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FD2"/>
    <w:rPr>
      <w:sz w:val="20"/>
      <w:szCs w:val="20"/>
      <w:lang w:val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FD2"/>
    <w:rPr>
      <w:b/>
      <w:bCs/>
      <w:sz w:val="20"/>
      <w:szCs w:val="20"/>
      <w:lang w:val="de-A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E80"/>
    <w:rPr>
      <w:color w:val="605E5C"/>
      <w:shd w:val="clear" w:color="auto" w:fill="E1DFDD"/>
    </w:rPr>
  </w:style>
  <w:style w:type="paragraph" w:customStyle="1" w:styleId="ECABodyText">
    <w:name w:val="ECA Body Text"/>
    <w:link w:val="ECABodyTextChar"/>
    <w:qFormat/>
    <w:rsid w:val="00633E46"/>
    <w:pPr>
      <w:spacing w:after="240" w:line="240" w:lineRule="auto"/>
    </w:pPr>
    <w:rPr>
      <w:rFonts w:ascii="Book Antiqua" w:eastAsia="Times New Roman" w:hAnsi="Book Antiqua" w:cs="Times New Roman"/>
      <w:szCs w:val="20"/>
    </w:rPr>
  </w:style>
  <w:style w:type="character" w:customStyle="1" w:styleId="ECABodyTextChar">
    <w:name w:val="ECA Body Text Char"/>
    <w:basedOn w:val="DefaultParagraphFont"/>
    <w:link w:val="ECABodyText"/>
    <w:rsid w:val="00633E46"/>
    <w:rPr>
      <w:rFonts w:ascii="Book Antiqua" w:eastAsia="Times New Roman" w:hAnsi="Book Antiqua" w:cs="Times New Roman"/>
      <w:szCs w:val="20"/>
    </w:rPr>
  </w:style>
  <w:style w:type="character" w:customStyle="1" w:styleId="ListParagraphChar">
    <w:name w:val="List Paragraph Char"/>
    <w:aliases w:val="Ha Char,References Char,Bullet Points Char,Indent Paragraph Char,Numbered Para 1 Char,Dot pt Char,No Spacing1 Char,List Paragraph Char Char Char Char,Indicator Text Char,List Paragraph1 Char,MAIN CONTENT Char,List Paragraph12 Char"/>
    <w:basedOn w:val="DefaultParagraphFont"/>
    <w:link w:val="ListParagraph"/>
    <w:uiPriority w:val="34"/>
    <w:qFormat/>
    <w:rsid w:val="00826186"/>
    <w:rPr>
      <w:lang w:val="de-AT"/>
    </w:rPr>
  </w:style>
  <w:style w:type="paragraph" w:styleId="Caption">
    <w:name w:val="caption"/>
    <w:aliases w:val="Tabellen"/>
    <w:basedOn w:val="Normal"/>
    <w:next w:val="Normal"/>
    <w:qFormat/>
    <w:rsid w:val="00F538CB"/>
    <w:pPr>
      <w:spacing w:after="0"/>
      <w:ind w:left="357"/>
    </w:pPr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C7C8F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me.rks-gov.net/repository/docs/3_UDHEZIM_ADMINISTRATIV_(ME)_NR.04_2021_PER_NDRYSHIMIN_DHE_PLOTESIMIN_E_UDHEZIMIT_ADMINISTRATIV__(MZHE)_NR._03_2019_PER_PERMBAJTJEN_ENERGJISE_SE_LENDEVE___.pdf" TargetMode="External"/><Relationship Id="rId18" Type="http://schemas.openxmlformats.org/officeDocument/2006/relationships/hyperlink" Target="https://fkee-rks.net/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.rks-gov.net/repository/docs/2_UDHEZIM_ADMINISTRATIV_(ME)_NR.02_2021_PER_KRITERET_E_EFI%C3%87IENCES_SE_ENERGJISE_PER_RREGULLIMIN_E_RRJETIT_TE_ENERGJISE_DHE_PER_TARIFAT_E_RRJETIT_TE_ENERG___.pdf" TargetMode="External"/><Relationship Id="rId17" Type="http://schemas.openxmlformats.org/officeDocument/2006/relationships/hyperlink" Target="https://ksdw.rks-gov.net/storage/app/media/KSDW2021_Report_ENG-mi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nsultimet.rks-gov.net/viewConsult.php?ConsultationID=4142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.rks-gov.net/repository/docs/UDHeZIM_ADMINISTRATIV_(ME)_NR._01_2021_PeR_KeRKESAT_E_EFI%C3%87IENCeS_Se_ENERGJISe_PeR_OPERATORIN_E_SISTEMIT_Te_TRANSMETIMIT_DHE_OPERATORIN_E_SISTEMIT_Te_S__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.rks-gov.net/repository/docs/5_UDHEZIM_ADMINISTRATIV_(ME)_NR.06_2021_PER_SHERBIMET_E_ENERGJISE_(ESCO).pdf" TargetMode="Externa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me.rks-gov.net/repository/docs/4_UDHEZIM_ADMINISTRATIV_(ME)_Nr.05_2021_PER_KORNIZEN_E_PERGJITHSHME_TE_RAPORTIMIT_PER_EFI%C3%87IENCE_TE_ENERGJISE.pdf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plikimi%20GIZ%20Gusht%202021\Book1(AutoRecovered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plikimi%20GIZ%20Gusht%202021\Book1(AutoRecovered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di\AppData\Roaming\Microsoft\Excel\Book1(AutoRecovered)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Sheet1!$E$6</c:f>
              <c:strCache>
                <c:ptCount val="1"/>
                <c:pt idx="0">
                  <c:v>FEC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Sheet1!$D$7:$D$13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Sheet1!$E$7:$E$13</c:f>
              <c:numCache>
                <c:formatCode>General</c:formatCode>
                <c:ptCount val="7"/>
                <c:pt idx="0">
                  <c:v>1328</c:v>
                </c:pt>
                <c:pt idx="1">
                  <c:v>1432</c:v>
                </c:pt>
                <c:pt idx="2">
                  <c:v>1462</c:v>
                </c:pt>
                <c:pt idx="3">
                  <c:v>1442</c:v>
                </c:pt>
                <c:pt idx="4" formatCode="0">
                  <c:v>1508</c:v>
                </c:pt>
                <c:pt idx="5">
                  <c:v>1543</c:v>
                </c:pt>
                <c:pt idx="6">
                  <c:v>1596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52-4894-9A92-17BB2F561F92}"/>
            </c:ext>
          </c:extLst>
        </c:ser>
        <c:ser>
          <c:idx val="1"/>
          <c:order val="1"/>
          <c:tx>
            <c:strRef>
              <c:f>Sheet1!$F$6</c:f>
              <c:strCache>
                <c:ptCount val="1"/>
                <c:pt idx="0">
                  <c:v>PEC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Sheet1!$D$7:$D$13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Sheet1!$F$7:$F$13</c:f>
              <c:numCache>
                <c:formatCode>General</c:formatCode>
                <c:ptCount val="7"/>
                <c:pt idx="0">
                  <c:v>2511</c:v>
                </c:pt>
                <c:pt idx="1">
                  <c:v>2689</c:v>
                </c:pt>
                <c:pt idx="2">
                  <c:v>2534</c:v>
                </c:pt>
                <c:pt idx="3" formatCode="0">
                  <c:v>2524</c:v>
                </c:pt>
                <c:pt idx="4" formatCode="0">
                  <c:v>2707</c:v>
                </c:pt>
                <c:pt idx="5">
                  <c:v>2734</c:v>
                </c:pt>
                <c:pt idx="6">
                  <c:v>2874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52-4894-9A92-17BB2F561F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927488"/>
        <c:axId val="196929024"/>
      </c:barChart>
      <c:catAx>
        <c:axId val="19692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929024"/>
        <c:crosses val="autoZero"/>
        <c:auto val="1"/>
        <c:lblAlgn val="ctr"/>
        <c:lblOffset val="100"/>
        <c:noMultiLvlLbl val="0"/>
      </c:catAx>
      <c:valAx>
        <c:axId val="19692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Ktoe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92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Sheet1!$E$25</c:f>
              <c:strCache>
                <c:ptCount val="1"/>
                <c:pt idx="0">
                  <c:v>Houshold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B0F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Sheet1!$D$26:$D$32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Sheet1!$E$26:$E$32</c:f>
              <c:numCache>
                <c:formatCode>General</c:formatCode>
                <c:ptCount val="7"/>
                <c:pt idx="0">
                  <c:v>477.86</c:v>
                </c:pt>
                <c:pt idx="1">
                  <c:v>552.15</c:v>
                </c:pt>
                <c:pt idx="2">
                  <c:v>557.67999999999995</c:v>
                </c:pt>
                <c:pt idx="3">
                  <c:v>573.4</c:v>
                </c:pt>
                <c:pt idx="4">
                  <c:v>575.38</c:v>
                </c:pt>
                <c:pt idx="5">
                  <c:v>628.09</c:v>
                </c:pt>
                <c:pt idx="6">
                  <c:v>647.42999999999938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2F-4F8E-9943-41F305617036}"/>
            </c:ext>
          </c:extLst>
        </c:ser>
        <c:ser>
          <c:idx val="1"/>
          <c:order val="1"/>
          <c:tx>
            <c:strRef>
              <c:f>Sheet1!$F$25</c:f>
              <c:strCache>
                <c:ptCount val="1"/>
                <c:pt idx="0">
                  <c:v>Industry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Sheet1!$D$26:$D$32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Sheet1!$F$26:$F$32</c:f>
              <c:numCache>
                <c:formatCode>General</c:formatCode>
                <c:ptCount val="7"/>
                <c:pt idx="0">
                  <c:v>282.12</c:v>
                </c:pt>
                <c:pt idx="1">
                  <c:v>289.19</c:v>
                </c:pt>
                <c:pt idx="2">
                  <c:v>301.24</c:v>
                </c:pt>
                <c:pt idx="3">
                  <c:v>272.47000000000003</c:v>
                </c:pt>
                <c:pt idx="4">
                  <c:v>319.81</c:v>
                </c:pt>
                <c:pt idx="5">
                  <c:v>319.91999999999956</c:v>
                </c:pt>
                <c:pt idx="6">
                  <c:v>317.64999999999998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2F-4F8E-9943-41F305617036}"/>
            </c:ext>
          </c:extLst>
        </c:ser>
        <c:ser>
          <c:idx val="2"/>
          <c:order val="2"/>
          <c:tx>
            <c:strRef>
              <c:f>Sheet1!$G$25</c:f>
              <c:strCache>
                <c:ptCount val="1"/>
                <c:pt idx="0">
                  <c:v>Transport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Sheet1!$D$26:$D$32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Sheet1!$G$26:$G$32</c:f>
              <c:numCache>
                <c:formatCode>General</c:formatCode>
                <c:ptCount val="7"/>
                <c:pt idx="0">
                  <c:v>387.84000000000032</c:v>
                </c:pt>
                <c:pt idx="1">
                  <c:v>388.02</c:v>
                </c:pt>
                <c:pt idx="2">
                  <c:v>408.36</c:v>
                </c:pt>
                <c:pt idx="3">
                  <c:v>426.71</c:v>
                </c:pt>
                <c:pt idx="4">
                  <c:v>422.58</c:v>
                </c:pt>
                <c:pt idx="5">
                  <c:v>412.46</c:v>
                </c:pt>
                <c:pt idx="6">
                  <c:v>422.25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2F-4F8E-9943-41F305617036}"/>
            </c:ext>
          </c:extLst>
        </c:ser>
        <c:ser>
          <c:idx val="3"/>
          <c:order val="3"/>
          <c:tx>
            <c:strRef>
              <c:f>Sheet1!$H$25</c:f>
              <c:strCache>
                <c:ptCount val="1"/>
                <c:pt idx="0">
                  <c:v>Others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Sheet1!$D$26:$D$32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Sheet1!$H$26:$H$32</c:f>
              <c:numCache>
                <c:formatCode>General</c:formatCode>
                <c:ptCount val="7"/>
                <c:pt idx="0">
                  <c:v>179.68</c:v>
                </c:pt>
                <c:pt idx="1">
                  <c:v>202.94</c:v>
                </c:pt>
                <c:pt idx="2">
                  <c:v>194.12</c:v>
                </c:pt>
                <c:pt idx="3">
                  <c:v>168.92000000000004</c:v>
                </c:pt>
                <c:pt idx="4">
                  <c:v>190.23</c:v>
                </c:pt>
                <c:pt idx="5">
                  <c:v>225.23</c:v>
                </c:pt>
                <c:pt idx="6">
                  <c:v>208.79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2F-4F8E-9943-41F3056170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7088384"/>
        <c:axId val="197089920"/>
      </c:barChart>
      <c:catAx>
        <c:axId val="19708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089920"/>
        <c:crosses val="autoZero"/>
        <c:auto val="1"/>
        <c:lblAlgn val="ctr"/>
        <c:lblOffset val="100"/>
        <c:noMultiLvlLbl val="0"/>
      </c:catAx>
      <c:valAx>
        <c:axId val="19708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Ktoe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08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q-AL"/>
              <a:t>Potrošnja primarne energije </a:t>
            </a:r>
            <a:r>
              <a:rPr lang="en-US"/>
              <a:t>(2015-2021)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Sheet1!$F$6</c:f>
              <c:strCache>
                <c:ptCount val="1"/>
                <c:pt idx="0">
                  <c:v>PEC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Sheet1!$D$7:$D$13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Sheet1!$F$7:$F$13</c:f>
              <c:numCache>
                <c:formatCode>General</c:formatCode>
                <c:ptCount val="7"/>
                <c:pt idx="0">
                  <c:v>2511</c:v>
                </c:pt>
                <c:pt idx="1">
                  <c:v>2689</c:v>
                </c:pt>
                <c:pt idx="2">
                  <c:v>2534</c:v>
                </c:pt>
                <c:pt idx="3" formatCode="0">
                  <c:v>2524</c:v>
                </c:pt>
                <c:pt idx="4" formatCode="0">
                  <c:v>2707</c:v>
                </c:pt>
                <c:pt idx="5">
                  <c:v>2734</c:v>
                </c:pt>
                <c:pt idx="6">
                  <c:v>2874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BB-4F2F-8666-1A8BC36E8D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69056"/>
        <c:axId val="197124096"/>
      </c:lineChart>
      <c:catAx>
        <c:axId val="19706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124096"/>
        <c:crosses val="autoZero"/>
        <c:auto val="1"/>
        <c:lblAlgn val="ctr"/>
        <c:lblOffset val="100"/>
        <c:noMultiLvlLbl val="0"/>
      </c:catAx>
      <c:valAx>
        <c:axId val="19712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06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C79C-708C-4013-9B19-B9A93DE7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Teskeredzic</dc:creator>
  <cp:keywords/>
  <dc:description/>
  <cp:lastModifiedBy>PULSE Electronics</cp:lastModifiedBy>
  <cp:revision>115</cp:revision>
  <cp:lastPrinted>2017-05-10T13:36:00Z</cp:lastPrinted>
  <dcterms:created xsi:type="dcterms:W3CDTF">2023-05-16T11:23:00Z</dcterms:created>
  <dcterms:modified xsi:type="dcterms:W3CDTF">2023-05-29T07:29:00Z</dcterms:modified>
</cp:coreProperties>
</file>