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6542F" w14:textId="77777777" w:rsidR="00DA4990" w:rsidRDefault="00DA4990" w:rsidP="00122CFD">
      <w:pPr>
        <w:spacing w:after="0" w:line="240" w:lineRule="auto"/>
        <w:jc w:val="center"/>
        <w:rPr>
          <w:rFonts w:ascii="Times New Roman" w:hAnsi="Times New Roman" w:cs="Times New Roman"/>
          <w:b/>
          <w:sz w:val="44"/>
          <w:szCs w:val="44"/>
          <w:lang w:val="en-GB"/>
        </w:rPr>
      </w:pPr>
    </w:p>
    <w:p w14:paraId="461984C8" w14:textId="5C3D0EFC" w:rsidR="00122CFD" w:rsidRDefault="007B43A4" w:rsidP="00122CFD">
      <w:pPr>
        <w:spacing w:after="0" w:line="240" w:lineRule="auto"/>
        <w:jc w:val="center"/>
        <w:rPr>
          <w:rFonts w:ascii="Times New Roman" w:hAnsi="Times New Roman" w:cs="Times New Roman"/>
          <w:b/>
          <w:sz w:val="44"/>
          <w:szCs w:val="44"/>
        </w:rPr>
      </w:pPr>
      <w:r>
        <w:rPr>
          <w:rFonts w:ascii="Times New Roman" w:hAnsi="Times New Roman"/>
          <w:b/>
          <w:sz w:val="44"/>
          <w:szCs w:val="44"/>
        </w:rPr>
        <w:t>Raporti i 6</w:t>
      </w:r>
      <w:r>
        <w:rPr>
          <w:rFonts w:ascii="Times New Roman" w:hAnsi="Times New Roman"/>
          <w:b/>
          <w:sz w:val="44"/>
          <w:szCs w:val="44"/>
          <w:vertAlign w:val="superscript"/>
        </w:rPr>
        <w:t>-të</w:t>
      </w:r>
      <w:r>
        <w:rPr>
          <w:rFonts w:ascii="Times New Roman" w:hAnsi="Times New Roman"/>
          <w:b/>
          <w:sz w:val="44"/>
          <w:szCs w:val="44"/>
        </w:rPr>
        <w:t xml:space="preserve"> Vjetor </w:t>
      </w:r>
    </w:p>
    <w:p w14:paraId="5C07D268" w14:textId="77777777" w:rsidR="00122CFD" w:rsidRPr="009309D2" w:rsidRDefault="00122CFD" w:rsidP="00122CFD">
      <w:pPr>
        <w:spacing w:after="0" w:line="240" w:lineRule="auto"/>
        <w:jc w:val="center"/>
        <w:rPr>
          <w:rFonts w:ascii="Times New Roman" w:hAnsi="Times New Roman" w:cs="Times New Roman"/>
          <w:b/>
          <w:sz w:val="44"/>
          <w:szCs w:val="44"/>
        </w:rPr>
      </w:pPr>
      <w:r>
        <w:rPr>
          <w:rFonts w:ascii="Times New Roman" w:hAnsi="Times New Roman"/>
          <w:b/>
          <w:sz w:val="44"/>
          <w:szCs w:val="44"/>
        </w:rPr>
        <w:t>sipas Direktivës për Efiçiencë të Energjisë</w:t>
      </w:r>
    </w:p>
    <w:p w14:paraId="331FD33F" w14:textId="77777777" w:rsidR="00122CFD" w:rsidRPr="009309D2" w:rsidRDefault="00122CFD" w:rsidP="00122CFD">
      <w:pPr>
        <w:spacing w:after="0" w:line="240" w:lineRule="auto"/>
        <w:jc w:val="center"/>
        <w:rPr>
          <w:rFonts w:ascii="Times New Roman" w:hAnsi="Times New Roman" w:cs="Times New Roman"/>
          <w:sz w:val="36"/>
          <w:szCs w:val="36"/>
          <w:lang w:val="en-GB"/>
        </w:rPr>
      </w:pPr>
    </w:p>
    <w:p w14:paraId="5F0EF1AE" w14:textId="585CF092" w:rsidR="00122CFD" w:rsidRDefault="00122CFD" w:rsidP="00122CFD">
      <w:pPr>
        <w:spacing w:after="0" w:line="240" w:lineRule="auto"/>
        <w:jc w:val="center"/>
        <w:rPr>
          <w:rFonts w:ascii="Times New Roman" w:hAnsi="Times New Roman" w:cs="Times New Roman"/>
          <w:sz w:val="36"/>
          <w:szCs w:val="36"/>
          <w:lang w:val="en-GB"/>
        </w:rPr>
      </w:pPr>
    </w:p>
    <w:p w14:paraId="00860209" w14:textId="77777777" w:rsidR="003E3F20" w:rsidRDefault="003E3F20" w:rsidP="00122CFD">
      <w:pPr>
        <w:spacing w:after="0" w:line="240" w:lineRule="auto"/>
        <w:jc w:val="center"/>
        <w:rPr>
          <w:rFonts w:ascii="Times New Roman" w:hAnsi="Times New Roman" w:cs="Times New Roman"/>
          <w:sz w:val="36"/>
          <w:szCs w:val="36"/>
          <w:lang w:val="en-GB"/>
        </w:rPr>
      </w:pPr>
    </w:p>
    <w:p w14:paraId="59D0C5F7" w14:textId="77777777" w:rsidR="00122CFD" w:rsidRDefault="00122CFD" w:rsidP="00122CFD">
      <w:pPr>
        <w:spacing w:after="0" w:line="240" w:lineRule="auto"/>
        <w:jc w:val="center"/>
        <w:rPr>
          <w:rFonts w:ascii="Times New Roman" w:hAnsi="Times New Roman" w:cs="Times New Roman"/>
          <w:sz w:val="36"/>
          <w:szCs w:val="36"/>
          <w:lang w:val="en-GB"/>
        </w:rPr>
      </w:pPr>
    </w:p>
    <w:p w14:paraId="77F07A91" w14:textId="77777777" w:rsidR="002F0CEC" w:rsidRDefault="002F0CEC" w:rsidP="00122CFD">
      <w:pPr>
        <w:spacing w:after="0" w:line="240" w:lineRule="auto"/>
        <w:jc w:val="center"/>
        <w:rPr>
          <w:rFonts w:ascii="Times New Roman" w:hAnsi="Times New Roman" w:cs="Times New Roman"/>
          <w:sz w:val="36"/>
          <w:szCs w:val="36"/>
          <w:highlight w:val="lightGray"/>
          <w:lang w:val="en-GB"/>
        </w:rPr>
      </w:pPr>
    </w:p>
    <w:p w14:paraId="57D741AD" w14:textId="77777777" w:rsidR="002F0CEC" w:rsidRDefault="002F0CEC" w:rsidP="00122CFD">
      <w:pPr>
        <w:spacing w:after="0" w:line="240" w:lineRule="auto"/>
        <w:jc w:val="center"/>
        <w:rPr>
          <w:rFonts w:ascii="Times New Roman" w:hAnsi="Times New Roman" w:cs="Times New Roman"/>
          <w:sz w:val="36"/>
          <w:szCs w:val="36"/>
          <w:highlight w:val="lightGray"/>
          <w:lang w:val="en-GB"/>
        </w:rPr>
      </w:pPr>
    </w:p>
    <w:p w14:paraId="66F7EE34" w14:textId="706E6675" w:rsidR="00122CFD" w:rsidRDefault="00FE512F" w:rsidP="00122CFD">
      <w:pPr>
        <w:spacing w:after="0" w:line="240" w:lineRule="auto"/>
        <w:jc w:val="center"/>
        <w:rPr>
          <w:rFonts w:ascii="Times New Roman" w:hAnsi="Times New Roman" w:cs="Times New Roman"/>
          <w:sz w:val="36"/>
          <w:szCs w:val="36"/>
        </w:rPr>
      </w:pPr>
      <w:r>
        <w:rPr>
          <w:rFonts w:ascii="Times New Roman" w:hAnsi="Times New Roman"/>
          <w:sz w:val="36"/>
          <w:szCs w:val="36"/>
        </w:rPr>
        <w:t>Kosovë</w:t>
      </w:r>
    </w:p>
    <w:p w14:paraId="78A62494" w14:textId="18D62D37" w:rsidR="002F0CEC" w:rsidRDefault="002F0CEC" w:rsidP="00122CFD">
      <w:pPr>
        <w:spacing w:after="0" w:line="240" w:lineRule="auto"/>
        <w:jc w:val="center"/>
        <w:rPr>
          <w:rFonts w:ascii="Times New Roman" w:hAnsi="Times New Roman" w:cs="Times New Roman"/>
          <w:sz w:val="36"/>
          <w:szCs w:val="36"/>
          <w:lang w:val="en-GB"/>
        </w:rPr>
      </w:pPr>
    </w:p>
    <w:p w14:paraId="61D93681" w14:textId="6FE4101A" w:rsidR="002F0CEC" w:rsidRDefault="002F0CEC" w:rsidP="002F0CEC">
      <w:pPr>
        <w:spacing w:after="0" w:line="240" w:lineRule="auto"/>
        <w:jc w:val="center"/>
        <w:rPr>
          <w:rFonts w:ascii="Times New Roman" w:hAnsi="Times New Roman" w:cs="Times New Roman"/>
          <w:sz w:val="36"/>
          <w:szCs w:val="36"/>
        </w:rPr>
      </w:pPr>
      <w:r>
        <w:rPr>
          <w:rFonts w:ascii="Times New Roman" w:hAnsi="Times New Roman"/>
          <w:sz w:val="36"/>
          <w:szCs w:val="36"/>
        </w:rPr>
        <w:t xml:space="preserve">Përgatitur nga: </w:t>
      </w:r>
      <w:r>
        <w:rPr>
          <w:sz w:val="36"/>
          <w:szCs w:val="36"/>
        </w:rPr>
        <w:t>Agjencia e Kosovës për Efiçiencë të Energjisë</w:t>
      </w:r>
    </w:p>
    <w:p w14:paraId="6B915CBD" w14:textId="16A8B94B" w:rsidR="002F0CEC" w:rsidRDefault="002F0CEC" w:rsidP="00122CFD">
      <w:pPr>
        <w:spacing w:after="0" w:line="240" w:lineRule="auto"/>
        <w:jc w:val="center"/>
        <w:rPr>
          <w:rFonts w:ascii="Times New Roman" w:hAnsi="Times New Roman" w:cs="Times New Roman"/>
          <w:sz w:val="36"/>
          <w:szCs w:val="36"/>
          <w:lang w:val="en-GB"/>
        </w:rPr>
      </w:pPr>
    </w:p>
    <w:p w14:paraId="1F0161AF" w14:textId="77777777" w:rsidR="002F0CEC" w:rsidRDefault="002F0CEC" w:rsidP="00122CFD">
      <w:pPr>
        <w:spacing w:after="0" w:line="240" w:lineRule="auto"/>
        <w:jc w:val="center"/>
        <w:rPr>
          <w:rFonts w:ascii="Times New Roman" w:hAnsi="Times New Roman" w:cs="Times New Roman"/>
          <w:sz w:val="36"/>
          <w:szCs w:val="36"/>
          <w:lang w:val="en-GB"/>
        </w:rPr>
      </w:pPr>
    </w:p>
    <w:p w14:paraId="5FC26228" w14:textId="2E7A0900" w:rsidR="00122CFD" w:rsidRDefault="00122CFD" w:rsidP="00122CFD">
      <w:pPr>
        <w:spacing w:after="0" w:line="240" w:lineRule="auto"/>
        <w:jc w:val="center"/>
        <w:rPr>
          <w:rFonts w:ascii="Times New Roman" w:hAnsi="Times New Roman" w:cs="Times New Roman"/>
          <w:sz w:val="36"/>
          <w:szCs w:val="36"/>
          <w:lang w:val="en-GB"/>
        </w:rPr>
      </w:pPr>
    </w:p>
    <w:p w14:paraId="1AB80CDC" w14:textId="21D20ED1" w:rsidR="003E3F20" w:rsidRDefault="003E3F20" w:rsidP="00122CFD">
      <w:pPr>
        <w:spacing w:after="0" w:line="240" w:lineRule="auto"/>
        <w:jc w:val="center"/>
        <w:rPr>
          <w:rFonts w:ascii="Times New Roman" w:hAnsi="Times New Roman" w:cs="Times New Roman"/>
          <w:sz w:val="36"/>
          <w:szCs w:val="36"/>
          <w:lang w:val="en-GB"/>
        </w:rPr>
      </w:pPr>
    </w:p>
    <w:p w14:paraId="128F38ED" w14:textId="1B879D23" w:rsidR="003E3F20" w:rsidRDefault="003E3F20" w:rsidP="00122CFD">
      <w:pPr>
        <w:spacing w:after="0" w:line="240" w:lineRule="auto"/>
        <w:jc w:val="center"/>
        <w:rPr>
          <w:rFonts w:ascii="Times New Roman" w:hAnsi="Times New Roman" w:cs="Times New Roman"/>
          <w:sz w:val="36"/>
          <w:szCs w:val="36"/>
          <w:lang w:val="en-GB"/>
        </w:rPr>
      </w:pPr>
    </w:p>
    <w:p w14:paraId="3CA414AB" w14:textId="7DB9AC80" w:rsidR="003E3F20" w:rsidRDefault="003E3F20" w:rsidP="00122CFD">
      <w:pPr>
        <w:spacing w:after="0" w:line="240" w:lineRule="auto"/>
        <w:jc w:val="center"/>
        <w:rPr>
          <w:rFonts w:ascii="Times New Roman" w:hAnsi="Times New Roman" w:cs="Times New Roman"/>
          <w:sz w:val="36"/>
          <w:szCs w:val="36"/>
          <w:lang w:val="en-GB"/>
        </w:rPr>
      </w:pPr>
    </w:p>
    <w:p w14:paraId="571B962C" w14:textId="77777777" w:rsidR="003E3F20" w:rsidRDefault="003E3F20" w:rsidP="00122CFD">
      <w:pPr>
        <w:spacing w:after="0" w:line="240" w:lineRule="auto"/>
        <w:jc w:val="center"/>
        <w:rPr>
          <w:rFonts w:ascii="Times New Roman" w:hAnsi="Times New Roman" w:cs="Times New Roman"/>
          <w:sz w:val="36"/>
          <w:szCs w:val="36"/>
          <w:lang w:val="en-GB"/>
        </w:rPr>
      </w:pPr>
    </w:p>
    <w:p w14:paraId="6A317E85" w14:textId="77777777" w:rsidR="00122CFD" w:rsidRDefault="00122CFD" w:rsidP="00122CFD">
      <w:pPr>
        <w:spacing w:after="0" w:line="240" w:lineRule="auto"/>
        <w:jc w:val="center"/>
        <w:rPr>
          <w:rFonts w:ascii="Times New Roman" w:hAnsi="Times New Roman" w:cs="Times New Roman"/>
          <w:sz w:val="36"/>
          <w:szCs w:val="36"/>
          <w:lang w:val="en-GB"/>
        </w:rPr>
      </w:pPr>
    </w:p>
    <w:p w14:paraId="7E08A7A1" w14:textId="77777777" w:rsidR="00DA4990" w:rsidRDefault="00DA4990" w:rsidP="00122CFD">
      <w:pPr>
        <w:spacing w:after="0" w:line="240" w:lineRule="auto"/>
        <w:jc w:val="center"/>
        <w:rPr>
          <w:rFonts w:ascii="Times New Roman" w:hAnsi="Times New Roman" w:cs="Times New Roman"/>
          <w:sz w:val="36"/>
          <w:szCs w:val="36"/>
          <w:lang w:val="en-GB"/>
        </w:rPr>
      </w:pPr>
    </w:p>
    <w:p w14:paraId="6AC4FF1E" w14:textId="77777777" w:rsidR="00DA4990" w:rsidRDefault="00DA4990" w:rsidP="00122CFD">
      <w:pPr>
        <w:spacing w:after="0" w:line="240" w:lineRule="auto"/>
        <w:jc w:val="center"/>
        <w:rPr>
          <w:rFonts w:ascii="Times New Roman" w:hAnsi="Times New Roman" w:cs="Times New Roman"/>
          <w:sz w:val="36"/>
          <w:szCs w:val="36"/>
          <w:lang w:val="en-GB"/>
        </w:rPr>
      </w:pPr>
    </w:p>
    <w:p w14:paraId="0DCDC170" w14:textId="77777777" w:rsidR="00DA4990" w:rsidRDefault="00DA4990" w:rsidP="00122CFD">
      <w:pPr>
        <w:spacing w:after="0" w:line="240" w:lineRule="auto"/>
        <w:jc w:val="center"/>
        <w:rPr>
          <w:rFonts w:ascii="Times New Roman" w:hAnsi="Times New Roman" w:cs="Times New Roman"/>
          <w:sz w:val="36"/>
          <w:szCs w:val="36"/>
          <w:lang w:val="en-GB"/>
        </w:rPr>
      </w:pPr>
    </w:p>
    <w:p w14:paraId="5966C92B" w14:textId="77777777" w:rsidR="002F0CEC" w:rsidRDefault="002F0CEC" w:rsidP="00122CFD">
      <w:pPr>
        <w:spacing w:after="0" w:line="240" w:lineRule="auto"/>
        <w:jc w:val="center"/>
        <w:rPr>
          <w:rFonts w:ascii="Times New Roman" w:hAnsi="Times New Roman" w:cs="Times New Roman"/>
          <w:sz w:val="36"/>
          <w:szCs w:val="36"/>
          <w:lang w:val="en-GB"/>
        </w:rPr>
      </w:pPr>
    </w:p>
    <w:p w14:paraId="5B5B3985" w14:textId="77777777" w:rsidR="002F0CEC" w:rsidRDefault="002F0CEC" w:rsidP="00122CFD">
      <w:pPr>
        <w:spacing w:after="0" w:line="240" w:lineRule="auto"/>
        <w:jc w:val="center"/>
        <w:rPr>
          <w:rFonts w:ascii="Times New Roman" w:hAnsi="Times New Roman" w:cs="Times New Roman"/>
          <w:sz w:val="36"/>
          <w:szCs w:val="36"/>
          <w:lang w:val="en-GB"/>
        </w:rPr>
      </w:pPr>
    </w:p>
    <w:p w14:paraId="6D9CC1FF" w14:textId="77777777" w:rsidR="002F0CEC" w:rsidRDefault="002F0CEC" w:rsidP="00122CFD">
      <w:pPr>
        <w:spacing w:after="0" w:line="240" w:lineRule="auto"/>
        <w:jc w:val="center"/>
        <w:rPr>
          <w:rFonts w:ascii="Times New Roman" w:hAnsi="Times New Roman" w:cs="Times New Roman"/>
          <w:sz w:val="36"/>
          <w:szCs w:val="36"/>
          <w:lang w:val="en-GB"/>
        </w:rPr>
      </w:pPr>
    </w:p>
    <w:p w14:paraId="5C4B9FAB" w14:textId="77777777" w:rsidR="002F0CEC" w:rsidRDefault="002F0CEC" w:rsidP="00122CFD">
      <w:pPr>
        <w:spacing w:after="0" w:line="240" w:lineRule="auto"/>
        <w:jc w:val="center"/>
        <w:rPr>
          <w:rFonts w:ascii="Times New Roman" w:hAnsi="Times New Roman" w:cs="Times New Roman"/>
          <w:sz w:val="36"/>
          <w:szCs w:val="36"/>
          <w:lang w:val="en-GB"/>
        </w:rPr>
      </w:pPr>
    </w:p>
    <w:p w14:paraId="1B37D74B" w14:textId="77777777" w:rsidR="002F0CEC" w:rsidRDefault="002F0CEC" w:rsidP="00122CFD">
      <w:pPr>
        <w:spacing w:after="0" w:line="240" w:lineRule="auto"/>
        <w:jc w:val="center"/>
        <w:rPr>
          <w:rFonts w:ascii="Times New Roman" w:hAnsi="Times New Roman" w:cs="Times New Roman"/>
          <w:sz w:val="36"/>
          <w:szCs w:val="36"/>
          <w:lang w:val="en-GB"/>
        </w:rPr>
      </w:pPr>
    </w:p>
    <w:p w14:paraId="0152B24A" w14:textId="77777777" w:rsidR="002F0CEC" w:rsidRDefault="002F0CEC" w:rsidP="00122CFD">
      <w:pPr>
        <w:spacing w:after="0" w:line="240" w:lineRule="auto"/>
        <w:jc w:val="center"/>
        <w:rPr>
          <w:rFonts w:ascii="Times New Roman" w:hAnsi="Times New Roman" w:cs="Times New Roman"/>
          <w:sz w:val="36"/>
          <w:szCs w:val="36"/>
          <w:lang w:val="en-GB"/>
        </w:rPr>
      </w:pPr>
    </w:p>
    <w:p w14:paraId="5FE7A108" w14:textId="77777777" w:rsidR="002F0CEC" w:rsidRDefault="002F0CEC" w:rsidP="00122CFD">
      <w:pPr>
        <w:spacing w:after="0" w:line="240" w:lineRule="auto"/>
        <w:jc w:val="center"/>
        <w:rPr>
          <w:rFonts w:ascii="Times New Roman" w:hAnsi="Times New Roman" w:cs="Times New Roman"/>
          <w:sz w:val="36"/>
          <w:szCs w:val="36"/>
          <w:lang w:val="en-GB"/>
        </w:rPr>
      </w:pPr>
    </w:p>
    <w:p w14:paraId="10A2AE28" w14:textId="6B09D8C3" w:rsidR="00122CFD" w:rsidRDefault="005D67FB" w:rsidP="00122CFD">
      <w:pPr>
        <w:spacing w:after="0" w:line="240" w:lineRule="auto"/>
        <w:jc w:val="center"/>
        <w:rPr>
          <w:rFonts w:ascii="Times New Roman" w:hAnsi="Times New Roman" w:cs="Times New Roman"/>
          <w:sz w:val="36"/>
          <w:szCs w:val="36"/>
        </w:rPr>
      </w:pPr>
      <w:r>
        <w:rPr>
          <w:rFonts w:ascii="Times New Roman" w:hAnsi="Times New Roman"/>
          <w:sz w:val="36"/>
          <w:szCs w:val="36"/>
        </w:rPr>
        <w:t>Qershor 2022</w:t>
      </w:r>
    </w:p>
    <w:p w14:paraId="47DD715D" w14:textId="77777777" w:rsidR="00122CFD" w:rsidRPr="009309D2" w:rsidRDefault="00122CFD" w:rsidP="00122CFD">
      <w:pPr>
        <w:spacing w:after="0" w:line="240" w:lineRule="auto"/>
        <w:jc w:val="center"/>
        <w:rPr>
          <w:rFonts w:ascii="Times New Roman" w:hAnsi="Times New Roman" w:cs="Times New Roman"/>
          <w:sz w:val="36"/>
          <w:szCs w:val="36"/>
          <w:lang w:val="en-GB"/>
        </w:rPr>
      </w:pPr>
    </w:p>
    <w:p w14:paraId="4B694DF5" w14:textId="0EBA0737" w:rsidR="00B47509" w:rsidRDefault="00122CFD" w:rsidP="00933A4C">
      <w:pPr>
        <w:pStyle w:val="ti-art2"/>
        <w:shd w:val="clear" w:color="auto" w:fill="FFFFFF"/>
        <w:spacing w:before="0" w:after="0" w:line="240" w:lineRule="auto"/>
        <w:jc w:val="left"/>
        <w:rPr>
          <w:i w:val="0"/>
        </w:rPr>
      </w:pPr>
      <w:r>
        <w:br w:type="page"/>
      </w:r>
      <w:r>
        <w:rPr>
          <w:i w:val="0"/>
        </w:rPr>
        <w:lastRenderedPageBreak/>
        <w:t xml:space="preserve"> </w:t>
      </w:r>
    </w:p>
    <w:p w14:paraId="3B923A04" w14:textId="2100D54A" w:rsidR="00131602" w:rsidRPr="004561A0" w:rsidRDefault="00131602" w:rsidP="00131602">
      <w:pPr>
        <w:shd w:val="clear" w:color="auto" w:fill="FFFFFF"/>
        <w:spacing w:after="0" w:line="240" w:lineRule="auto"/>
        <w:jc w:val="both"/>
        <w:rPr>
          <w:rFonts w:cstheme="minorHAnsi"/>
          <w:iCs/>
          <w:sz w:val="24"/>
          <w:szCs w:val="24"/>
        </w:rPr>
      </w:pPr>
      <w:r>
        <w:rPr>
          <w:iCs/>
          <w:sz w:val="24"/>
          <w:szCs w:val="24"/>
        </w:rPr>
        <w:t>Ky është Raporti i 6</w:t>
      </w:r>
      <w:r>
        <w:rPr>
          <w:iCs/>
          <w:sz w:val="24"/>
          <w:szCs w:val="24"/>
          <w:vertAlign w:val="superscript"/>
        </w:rPr>
        <w:t>-të</w:t>
      </w:r>
      <w:r>
        <w:rPr>
          <w:iCs/>
          <w:sz w:val="24"/>
          <w:szCs w:val="24"/>
        </w:rPr>
        <w:t xml:space="preserve"> vjetor sipas Direktivës për Efiçiencë të Energjisë i përgatitur nga Kosova, bazuar në Modelin e propozuar nga Sekretariati i Komunitetit të Energjisë dhe është plotësisht në përputhje me kërkesat e Direktivës për Efiçiencë të Energjisë - EED (2012/27/EU). Shpjegimet për të gjithë numrat e dhënë në tabelën e mëposhtme janë dhënë më poshtë, duke përfshirë burimet e informacionit.</w:t>
      </w:r>
    </w:p>
    <w:p w14:paraId="60DB8A01" w14:textId="11B382AE" w:rsidR="00E246A9" w:rsidRPr="009309D2" w:rsidRDefault="00E246A9" w:rsidP="00975878">
      <w:pPr>
        <w:rPr>
          <w:i/>
          <w:color w:val="0070C0"/>
          <w:lang w:val="en-GB"/>
        </w:rPr>
      </w:pPr>
    </w:p>
    <w:tbl>
      <w:tblPr>
        <w:tblStyle w:val="TableGrid"/>
        <w:tblW w:w="0" w:type="auto"/>
        <w:tblLook w:val="04A0" w:firstRow="1" w:lastRow="0" w:firstColumn="1" w:lastColumn="0" w:noHBand="0" w:noVBand="1"/>
      </w:tblPr>
      <w:tblGrid>
        <w:gridCol w:w="6408"/>
        <w:gridCol w:w="1638"/>
        <w:gridCol w:w="1196"/>
      </w:tblGrid>
      <w:tr w:rsidR="00900C3A" w:rsidRPr="009309D2" w14:paraId="6373480B" w14:textId="77777777" w:rsidTr="00426C40">
        <w:trPr>
          <w:trHeight w:val="1070"/>
          <w:tblHeader/>
        </w:trPr>
        <w:tc>
          <w:tcPr>
            <w:tcW w:w="6408" w:type="dxa"/>
            <w:shd w:val="clear" w:color="auto" w:fill="C6D9F1" w:themeFill="text2" w:themeFillTint="33"/>
            <w:vAlign w:val="center"/>
          </w:tcPr>
          <w:p w14:paraId="614A35C2" w14:textId="0A1B3AB8" w:rsidR="00900C3A" w:rsidRPr="009309D2" w:rsidRDefault="00900C3A" w:rsidP="00B47509">
            <w:pPr>
              <w:rPr>
                <w:b/>
                <w:sz w:val="28"/>
                <w:szCs w:val="28"/>
              </w:rPr>
            </w:pPr>
            <w:bookmarkStart w:id="0" w:name="_Hlk116983229"/>
            <w:r>
              <w:rPr>
                <w:b/>
                <w:sz w:val="28"/>
                <w:szCs w:val="28"/>
              </w:rPr>
              <w:t>Vlerësimi i statistikave dhe treguesve kryesorë në vitin 2020</w:t>
            </w:r>
          </w:p>
        </w:tc>
        <w:tc>
          <w:tcPr>
            <w:tcW w:w="1638" w:type="dxa"/>
            <w:shd w:val="clear" w:color="auto" w:fill="C6D9F1" w:themeFill="text2" w:themeFillTint="33"/>
            <w:vAlign w:val="center"/>
          </w:tcPr>
          <w:p w14:paraId="76FD4BCF" w14:textId="77777777" w:rsidR="00900C3A" w:rsidRPr="009309D2" w:rsidRDefault="00900C3A" w:rsidP="00946C32">
            <w:pPr>
              <w:jc w:val="center"/>
              <w:rPr>
                <w:b/>
                <w:sz w:val="28"/>
                <w:szCs w:val="28"/>
              </w:rPr>
            </w:pPr>
            <w:r>
              <w:rPr>
                <w:b/>
                <w:sz w:val="28"/>
                <w:szCs w:val="28"/>
              </w:rPr>
              <w:t>Vlera</w:t>
            </w:r>
          </w:p>
        </w:tc>
        <w:tc>
          <w:tcPr>
            <w:tcW w:w="1196" w:type="dxa"/>
            <w:shd w:val="clear" w:color="auto" w:fill="C6D9F1" w:themeFill="text2" w:themeFillTint="33"/>
            <w:vAlign w:val="center"/>
          </w:tcPr>
          <w:p w14:paraId="6E523976" w14:textId="77777777" w:rsidR="00900C3A" w:rsidRPr="009309D2" w:rsidRDefault="00900C3A" w:rsidP="00946C32">
            <w:pPr>
              <w:jc w:val="center"/>
              <w:rPr>
                <w:b/>
                <w:sz w:val="28"/>
                <w:szCs w:val="28"/>
              </w:rPr>
            </w:pPr>
            <w:r>
              <w:rPr>
                <w:b/>
                <w:sz w:val="28"/>
                <w:szCs w:val="28"/>
              </w:rPr>
              <w:t>Njësia</w:t>
            </w:r>
          </w:p>
        </w:tc>
      </w:tr>
      <w:tr w:rsidR="00900C3A" w:rsidRPr="009309D2" w14:paraId="4E5DEB97" w14:textId="77777777" w:rsidTr="00426C40">
        <w:trPr>
          <w:cantSplit/>
          <w:trHeight w:val="576"/>
        </w:trPr>
        <w:tc>
          <w:tcPr>
            <w:tcW w:w="6408" w:type="dxa"/>
            <w:vAlign w:val="center"/>
          </w:tcPr>
          <w:p w14:paraId="589FC8A7" w14:textId="77777777" w:rsidR="00900C3A" w:rsidRPr="009309D2" w:rsidRDefault="00946C32" w:rsidP="00035929">
            <w:pPr>
              <w:rPr>
                <w:sz w:val="24"/>
                <w:szCs w:val="24"/>
              </w:rPr>
            </w:pPr>
            <w:r>
              <w:rPr>
                <w:sz w:val="24"/>
                <w:szCs w:val="24"/>
              </w:rPr>
              <w:t>Konsumi total i energjisë primare (*)</w:t>
            </w:r>
          </w:p>
        </w:tc>
        <w:tc>
          <w:tcPr>
            <w:tcW w:w="1638" w:type="dxa"/>
            <w:vAlign w:val="center"/>
          </w:tcPr>
          <w:p w14:paraId="04E195C6" w14:textId="28BF6BCA" w:rsidR="00900C3A" w:rsidRPr="009309D2" w:rsidRDefault="0039090F" w:rsidP="0039090F">
            <w:pPr>
              <w:rPr>
                <w:sz w:val="24"/>
                <w:szCs w:val="24"/>
              </w:rPr>
            </w:pPr>
            <w:r>
              <w:rPr>
                <w:sz w:val="24"/>
                <w:szCs w:val="24"/>
              </w:rPr>
              <w:t>2734</w:t>
            </w:r>
          </w:p>
        </w:tc>
        <w:tc>
          <w:tcPr>
            <w:tcW w:w="1196" w:type="dxa"/>
            <w:vAlign w:val="center"/>
          </w:tcPr>
          <w:p w14:paraId="5D3B7E02" w14:textId="571143E5" w:rsidR="00900C3A" w:rsidRPr="009309D2" w:rsidRDefault="00975878" w:rsidP="00946C32">
            <w:pPr>
              <w:rPr>
                <w:sz w:val="24"/>
                <w:szCs w:val="24"/>
              </w:rPr>
            </w:pPr>
            <w:r>
              <w:rPr>
                <w:sz w:val="24"/>
                <w:szCs w:val="24"/>
              </w:rPr>
              <w:t>ktoe</w:t>
            </w:r>
          </w:p>
        </w:tc>
      </w:tr>
      <w:tr w:rsidR="00900C3A" w:rsidRPr="009309D2" w14:paraId="01A5D85C" w14:textId="77777777" w:rsidTr="00426C40">
        <w:trPr>
          <w:cantSplit/>
          <w:trHeight w:val="576"/>
        </w:trPr>
        <w:tc>
          <w:tcPr>
            <w:tcW w:w="6408" w:type="dxa"/>
            <w:vAlign w:val="center"/>
          </w:tcPr>
          <w:p w14:paraId="0423EA08" w14:textId="77777777" w:rsidR="00900C3A" w:rsidRPr="009309D2" w:rsidRDefault="00946C32" w:rsidP="00035929">
            <w:pPr>
              <w:rPr>
                <w:sz w:val="24"/>
                <w:szCs w:val="24"/>
              </w:rPr>
            </w:pPr>
            <w:r>
              <w:rPr>
                <w:sz w:val="24"/>
                <w:szCs w:val="24"/>
              </w:rPr>
              <w:t>Konsumi total përfundimtar i energjisë (*)</w:t>
            </w:r>
          </w:p>
        </w:tc>
        <w:tc>
          <w:tcPr>
            <w:tcW w:w="1638" w:type="dxa"/>
            <w:vAlign w:val="center"/>
          </w:tcPr>
          <w:p w14:paraId="70D5F724" w14:textId="0452CA5B" w:rsidR="00900C3A" w:rsidRPr="009309D2" w:rsidRDefault="0039090F" w:rsidP="00946C32">
            <w:pPr>
              <w:rPr>
                <w:sz w:val="24"/>
                <w:szCs w:val="24"/>
              </w:rPr>
            </w:pPr>
            <w:r>
              <w:rPr>
                <w:sz w:val="24"/>
                <w:szCs w:val="24"/>
              </w:rPr>
              <w:t>1543</w:t>
            </w:r>
          </w:p>
        </w:tc>
        <w:tc>
          <w:tcPr>
            <w:tcW w:w="1196" w:type="dxa"/>
            <w:vAlign w:val="center"/>
          </w:tcPr>
          <w:p w14:paraId="5B770FCB" w14:textId="7A8C3BA2" w:rsidR="00900C3A" w:rsidRPr="009309D2" w:rsidRDefault="00975878" w:rsidP="00946C32">
            <w:pPr>
              <w:rPr>
                <w:sz w:val="24"/>
                <w:szCs w:val="24"/>
              </w:rPr>
            </w:pPr>
            <w:r>
              <w:rPr>
                <w:sz w:val="24"/>
                <w:szCs w:val="24"/>
              </w:rPr>
              <w:t>ktoe</w:t>
            </w:r>
          </w:p>
        </w:tc>
      </w:tr>
      <w:tr w:rsidR="00900C3A" w:rsidRPr="009309D2" w14:paraId="0FC0DBD4" w14:textId="77777777" w:rsidTr="00426C40">
        <w:trPr>
          <w:cantSplit/>
          <w:trHeight w:val="576"/>
        </w:trPr>
        <w:tc>
          <w:tcPr>
            <w:tcW w:w="6408" w:type="dxa"/>
            <w:vAlign w:val="center"/>
          </w:tcPr>
          <w:p w14:paraId="5269ED54" w14:textId="77777777" w:rsidR="00900C3A" w:rsidRPr="009309D2" w:rsidRDefault="00946C32" w:rsidP="002F6954">
            <w:pPr>
              <w:rPr>
                <w:sz w:val="24"/>
                <w:szCs w:val="24"/>
              </w:rPr>
            </w:pPr>
            <w:r>
              <w:rPr>
                <w:sz w:val="24"/>
                <w:szCs w:val="24"/>
              </w:rPr>
              <w:t>Konsumi përfundimtar i energjisë  – Transporti (*)</w:t>
            </w:r>
          </w:p>
        </w:tc>
        <w:tc>
          <w:tcPr>
            <w:tcW w:w="1638" w:type="dxa"/>
            <w:vAlign w:val="center"/>
          </w:tcPr>
          <w:p w14:paraId="44C29A4A" w14:textId="66FCB620" w:rsidR="00900C3A" w:rsidRPr="009309D2" w:rsidRDefault="0039090F" w:rsidP="0039090F">
            <w:pPr>
              <w:rPr>
                <w:sz w:val="24"/>
                <w:szCs w:val="24"/>
              </w:rPr>
            </w:pPr>
            <w:r>
              <w:rPr>
                <w:sz w:val="24"/>
                <w:szCs w:val="24"/>
              </w:rPr>
              <w:t>412.5</w:t>
            </w:r>
          </w:p>
        </w:tc>
        <w:tc>
          <w:tcPr>
            <w:tcW w:w="1196" w:type="dxa"/>
            <w:vAlign w:val="center"/>
          </w:tcPr>
          <w:p w14:paraId="78A5E7F7" w14:textId="251086F8" w:rsidR="00900C3A" w:rsidRPr="009309D2" w:rsidRDefault="00975878" w:rsidP="00946C32">
            <w:pPr>
              <w:rPr>
                <w:sz w:val="24"/>
                <w:szCs w:val="24"/>
              </w:rPr>
            </w:pPr>
            <w:r>
              <w:rPr>
                <w:sz w:val="24"/>
                <w:szCs w:val="24"/>
              </w:rPr>
              <w:t>ktoe</w:t>
            </w:r>
          </w:p>
        </w:tc>
      </w:tr>
      <w:tr w:rsidR="00975878" w:rsidRPr="009309D2" w14:paraId="4028C177" w14:textId="77777777" w:rsidTr="00426C40">
        <w:trPr>
          <w:cantSplit/>
          <w:trHeight w:val="576"/>
        </w:trPr>
        <w:tc>
          <w:tcPr>
            <w:tcW w:w="6408" w:type="dxa"/>
            <w:vAlign w:val="center"/>
          </w:tcPr>
          <w:p w14:paraId="74BE1979" w14:textId="77777777" w:rsidR="00975878" w:rsidRPr="009309D2" w:rsidRDefault="00975878" w:rsidP="00975878">
            <w:pPr>
              <w:rPr>
                <w:sz w:val="24"/>
                <w:szCs w:val="24"/>
              </w:rPr>
            </w:pPr>
            <w:r>
              <w:rPr>
                <w:sz w:val="24"/>
                <w:szCs w:val="24"/>
              </w:rPr>
              <w:t>Konsumi përfundimtar i energjisë  – Industria (*)</w:t>
            </w:r>
          </w:p>
        </w:tc>
        <w:tc>
          <w:tcPr>
            <w:tcW w:w="1638" w:type="dxa"/>
            <w:vAlign w:val="center"/>
          </w:tcPr>
          <w:p w14:paraId="3BE41F68" w14:textId="72B8A9BF" w:rsidR="00975878" w:rsidRPr="009309D2" w:rsidRDefault="0039090F" w:rsidP="00975878">
            <w:pPr>
              <w:rPr>
                <w:sz w:val="24"/>
                <w:szCs w:val="24"/>
              </w:rPr>
            </w:pPr>
            <w:r>
              <w:rPr>
                <w:sz w:val="24"/>
                <w:szCs w:val="24"/>
              </w:rPr>
              <w:t>319.9</w:t>
            </w:r>
          </w:p>
        </w:tc>
        <w:tc>
          <w:tcPr>
            <w:tcW w:w="1196" w:type="dxa"/>
            <w:vAlign w:val="center"/>
          </w:tcPr>
          <w:p w14:paraId="3995BAB7" w14:textId="46E3B5F7" w:rsidR="00975878" w:rsidRPr="009309D2" w:rsidRDefault="00426C40" w:rsidP="00975878">
            <w:pPr>
              <w:rPr>
                <w:sz w:val="24"/>
                <w:szCs w:val="24"/>
              </w:rPr>
            </w:pPr>
            <w:r>
              <w:rPr>
                <w:sz w:val="24"/>
                <w:szCs w:val="24"/>
              </w:rPr>
              <w:t>ktoe</w:t>
            </w:r>
          </w:p>
        </w:tc>
      </w:tr>
      <w:tr w:rsidR="00975878" w:rsidRPr="009309D2" w14:paraId="6E55502C" w14:textId="77777777" w:rsidTr="00426C40">
        <w:trPr>
          <w:cantSplit/>
          <w:trHeight w:val="576"/>
        </w:trPr>
        <w:tc>
          <w:tcPr>
            <w:tcW w:w="6408" w:type="dxa"/>
            <w:vAlign w:val="center"/>
          </w:tcPr>
          <w:p w14:paraId="7692DAE7" w14:textId="527587FA" w:rsidR="00975878" w:rsidRPr="009309D2" w:rsidRDefault="00975878" w:rsidP="005024CE">
            <w:pPr>
              <w:rPr>
                <w:sz w:val="24"/>
                <w:szCs w:val="24"/>
              </w:rPr>
            </w:pPr>
            <w:r>
              <w:rPr>
                <w:sz w:val="24"/>
                <w:szCs w:val="24"/>
              </w:rPr>
              <w:t xml:space="preserve">Konsumi përfundimtar i energjisë  – </w:t>
            </w:r>
            <w:r w:rsidR="005024CE">
              <w:rPr>
                <w:sz w:val="24"/>
                <w:szCs w:val="24"/>
              </w:rPr>
              <w:t xml:space="preserve"> Amvisëria</w:t>
            </w:r>
            <w:r>
              <w:rPr>
                <w:sz w:val="24"/>
                <w:szCs w:val="24"/>
              </w:rPr>
              <w:t xml:space="preserve"> (*)</w:t>
            </w:r>
          </w:p>
        </w:tc>
        <w:tc>
          <w:tcPr>
            <w:tcW w:w="1638" w:type="dxa"/>
            <w:vAlign w:val="center"/>
          </w:tcPr>
          <w:p w14:paraId="7AE4C69A" w14:textId="0D57FE69" w:rsidR="00975878" w:rsidRPr="009309D2" w:rsidRDefault="0039090F" w:rsidP="00975878">
            <w:pPr>
              <w:rPr>
                <w:sz w:val="24"/>
                <w:szCs w:val="24"/>
              </w:rPr>
            </w:pPr>
            <w:r>
              <w:rPr>
                <w:sz w:val="24"/>
                <w:szCs w:val="24"/>
              </w:rPr>
              <w:t>628.1</w:t>
            </w:r>
          </w:p>
        </w:tc>
        <w:tc>
          <w:tcPr>
            <w:tcW w:w="1196" w:type="dxa"/>
            <w:vAlign w:val="center"/>
          </w:tcPr>
          <w:p w14:paraId="35A3F75C" w14:textId="2D6B691E" w:rsidR="00975878" w:rsidRPr="009309D2" w:rsidRDefault="007C7C8F" w:rsidP="00975878">
            <w:pPr>
              <w:rPr>
                <w:sz w:val="24"/>
                <w:szCs w:val="24"/>
              </w:rPr>
            </w:pPr>
            <w:r>
              <w:rPr>
                <w:sz w:val="24"/>
                <w:szCs w:val="24"/>
              </w:rPr>
              <w:t>ktoe</w:t>
            </w:r>
          </w:p>
        </w:tc>
      </w:tr>
      <w:tr w:rsidR="00975878" w:rsidRPr="009309D2" w14:paraId="3D41E2CF" w14:textId="77777777" w:rsidTr="00426C40">
        <w:trPr>
          <w:cantSplit/>
          <w:trHeight w:val="576"/>
        </w:trPr>
        <w:tc>
          <w:tcPr>
            <w:tcW w:w="6408" w:type="dxa"/>
            <w:vAlign w:val="center"/>
          </w:tcPr>
          <w:p w14:paraId="59F19A53" w14:textId="77777777" w:rsidR="00975878" w:rsidRPr="009309D2" w:rsidRDefault="00975878" w:rsidP="00975878">
            <w:pPr>
              <w:rPr>
                <w:sz w:val="24"/>
                <w:szCs w:val="24"/>
              </w:rPr>
            </w:pPr>
            <w:r>
              <w:rPr>
                <w:sz w:val="24"/>
                <w:szCs w:val="24"/>
              </w:rPr>
              <w:t>Konsumi përfundimtar i energjisë  – Shërbimet (*)</w:t>
            </w:r>
          </w:p>
        </w:tc>
        <w:tc>
          <w:tcPr>
            <w:tcW w:w="1638" w:type="dxa"/>
            <w:vAlign w:val="center"/>
          </w:tcPr>
          <w:p w14:paraId="24BA4330" w14:textId="392EA90D" w:rsidR="00975878" w:rsidRPr="009309D2" w:rsidRDefault="0039090F" w:rsidP="00975878">
            <w:pPr>
              <w:rPr>
                <w:sz w:val="24"/>
                <w:szCs w:val="24"/>
              </w:rPr>
            </w:pPr>
            <w:r>
              <w:rPr>
                <w:sz w:val="24"/>
                <w:szCs w:val="24"/>
              </w:rPr>
              <w:t>158.2</w:t>
            </w:r>
          </w:p>
        </w:tc>
        <w:tc>
          <w:tcPr>
            <w:tcW w:w="1196" w:type="dxa"/>
            <w:vAlign w:val="center"/>
          </w:tcPr>
          <w:p w14:paraId="18B04488" w14:textId="2D7064B3" w:rsidR="00975878" w:rsidRPr="009309D2" w:rsidRDefault="005024CE" w:rsidP="00975878">
            <w:pPr>
              <w:rPr>
                <w:sz w:val="24"/>
                <w:szCs w:val="24"/>
              </w:rPr>
            </w:pPr>
            <w:r>
              <w:rPr>
                <w:sz w:val="24"/>
                <w:szCs w:val="24"/>
              </w:rPr>
              <w:t>k</w:t>
            </w:r>
            <w:r w:rsidR="007C7C8F">
              <w:rPr>
                <w:sz w:val="24"/>
                <w:szCs w:val="24"/>
              </w:rPr>
              <w:t>toe</w:t>
            </w:r>
          </w:p>
        </w:tc>
      </w:tr>
      <w:tr w:rsidR="00426C40" w:rsidRPr="002F0CEC" w14:paraId="4D7F52E1" w14:textId="77777777" w:rsidTr="00426C40">
        <w:trPr>
          <w:cantSplit/>
          <w:trHeight w:val="576"/>
        </w:trPr>
        <w:tc>
          <w:tcPr>
            <w:tcW w:w="6408" w:type="dxa"/>
            <w:vAlign w:val="center"/>
          </w:tcPr>
          <w:p w14:paraId="23A6EB07" w14:textId="77777777" w:rsidR="00426C40" w:rsidRPr="00E751A5" w:rsidRDefault="00426C40" w:rsidP="00426C40">
            <w:pPr>
              <w:rPr>
                <w:sz w:val="24"/>
                <w:szCs w:val="24"/>
              </w:rPr>
            </w:pPr>
            <w:r>
              <w:rPr>
                <w:sz w:val="24"/>
                <w:szCs w:val="24"/>
              </w:rPr>
              <w:t>Vlera e shtuar bruto sipas sektorëve – Industria (**)</w:t>
            </w:r>
          </w:p>
        </w:tc>
        <w:tc>
          <w:tcPr>
            <w:tcW w:w="1638" w:type="dxa"/>
            <w:vAlign w:val="center"/>
          </w:tcPr>
          <w:p w14:paraId="55933E7D" w14:textId="3A23B412" w:rsidR="00426C40" w:rsidRPr="00E751A5" w:rsidRDefault="009D0A82" w:rsidP="00426C40">
            <w:pPr>
              <w:rPr>
                <w:sz w:val="24"/>
                <w:szCs w:val="24"/>
              </w:rPr>
            </w:pPr>
            <w:r>
              <w:rPr>
                <w:sz w:val="24"/>
                <w:szCs w:val="24"/>
              </w:rPr>
              <w:t>1.039</w:t>
            </w:r>
          </w:p>
        </w:tc>
        <w:tc>
          <w:tcPr>
            <w:tcW w:w="1196" w:type="dxa"/>
            <w:vAlign w:val="center"/>
          </w:tcPr>
          <w:p w14:paraId="0CD11E2D" w14:textId="1F2BB1F2" w:rsidR="00426C40" w:rsidRPr="00E751A5" w:rsidRDefault="00426C40" w:rsidP="005024CE">
            <w:pPr>
              <w:rPr>
                <w:sz w:val="24"/>
                <w:szCs w:val="24"/>
              </w:rPr>
            </w:pPr>
            <w:r>
              <w:rPr>
                <w:sz w:val="24"/>
                <w:szCs w:val="24"/>
              </w:rPr>
              <w:t xml:space="preserve">mil. </w:t>
            </w:r>
            <w:r w:rsidR="005024CE">
              <w:rPr>
                <w:sz w:val="24"/>
                <w:szCs w:val="24"/>
              </w:rPr>
              <w:t>euro</w:t>
            </w:r>
          </w:p>
        </w:tc>
      </w:tr>
      <w:tr w:rsidR="00426C40" w:rsidRPr="002F0CEC" w14:paraId="1809609C" w14:textId="77777777" w:rsidTr="00426C40">
        <w:trPr>
          <w:cantSplit/>
          <w:trHeight w:val="576"/>
        </w:trPr>
        <w:tc>
          <w:tcPr>
            <w:tcW w:w="6408" w:type="dxa"/>
            <w:vAlign w:val="center"/>
          </w:tcPr>
          <w:p w14:paraId="289B53DD" w14:textId="77777777" w:rsidR="00426C40" w:rsidRPr="00E751A5" w:rsidRDefault="00426C40" w:rsidP="00426C40">
            <w:pPr>
              <w:rPr>
                <w:sz w:val="24"/>
                <w:szCs w:val="24"/>
              </w:rPr>
            </w:pPr>
            <w:r>
              <w:rPr>
                <w:sz w:val="24"/>
                <w:szCs w:val="24"/>
              </w:rPr>
              <w:t>Vlera e shtuar bruto sipas sektorëve – Shërbimet (**)</w:t>
            </w:r>
          </w:p>
        </w:tc>
        <w:tc>
          <w:tcPr>
            <w:tcW w:w="1638" w:type="dxa"/>
            <w:vAlign w:val="center"/>
          </w:tcPr>
          <w:p w14:paraId="69ECFBC1" w14:textId="0BDD31C5" w:rsidR="00426C40" w:rsidRPr="00E751A5" w:rsidRDefault="009D0A82" w:rsidP="00426C40">
            <w:pPr>
              <w:rPr>
                <w:sz w:val="24"/>
                <w:szCs w:val="24"/>
              </w:rPr>
            </w:pPr>
            <w:r>
              <w:rPr>
                <w:sz w:val="24"/>
                <w:szCs w:val="24"/>
              </w:rPr>
              <w:t>4.552</w:t>
            </w:r>
          </w:p>
        </w:tc>
        <w:tc>
          <w:tcPr>
            <w:tcW w:w="1196" w:type="dxa"/>
            <w:vAlign w:val="center"/>
          </w:tcPr>
          <w:p w14:paraId="43831D57" w14:textId="5057ED27" w:rsidR="00426C40" w:rsidRPr="00E751A5" w:rsidRDefault="00426C40" w:rsidP="00426C40">
            <w:pPr>
              <w:rPr>
                <w:sz w:val="24"/>
                <w:szCs w:val="24"/>
              </w:rPr>
            </w:pPr>
            <w:r>
              <w:rPr>
                <w:sz w:val="24"/>
                <w:szCs w:val="24"/>
              </w:rPr>
              <w:t xml:space="preserve">mil. </w:t>
            </w:r>
            <w:r w:rsidR="005024CE" w:rsidRPr="005024CE">
              <w:rPr>
                <w:sz w:val="24"/>
                <w:szCs w:val="24"/>
              </w:rPr>
              <w:t>euro</w:t>
            </w:r>
          </w:p>
        </w:tc>
      </w:tr>
      <w:tr w:rsidR="00426C40" w:rsidRPr="00A66E36" w14:paraId="6AA2C977" w14:textId="77777777" w:rsidTr="00426C40">
        <w:trPr>
          <w:cantSplit/>
          <w:trHeight w:val="576"/>
        </w:trPr>
        <w:tc>
          <w:tcPr>
            <w:tcW w:w="6408" w:type="dxa"/>
            <w:vAlign w:val="center"/>
          </w:tcPr>
          <w:p w14:paraId="3ACBF785" w14:textId="77777777" w:rsidR="00426C40" w:rsidRPr="006F1FEF" w:rsidRDefault="00426C40" w:rsidP="00426C40">
            <w:pPr>
              <w:rPr>
                <w:sz w:val="24"/>
                <w:szCs w:val="24"/>
              </w:rPr>
            </w:pPr>
            <w:r>
              <w:rPr>
                <w:sz w:val="24"/>
                <w:szCs w:val="24"/>
              </w:rPr>
              <w:t xml:space="preserve">Të hyrat e disponueshme të ekonomive </w:t>
            </w:r>
            <w:bookmarkStart w:id="1" w:name="_GoBack"/>
            <w:r>
              <w:rPr>
                <w:sz w:val="24"/>
                <w:szCs w:val="24"/>
              </w:rPr>
              <w:t>famil</w:t>
            </w:r>
            <w:bookmarkEnd w:id="1"/>
            <w:r>
              <w:rPr>
                <w:sz w:val="24"/>
                <w:szCs w:val="24"/>
              </w:rPr>
              <w:t>jare (**)</w:t>
            </w:r>
          </w:p>
        </w:tc>
        <w:tc>
          <w:tcPr>
            <w:tcW w:w="1638" w:type="dxa"/>
            <w:vAlign w:val="center"/>
          </w:tcPr>
          <w:p w14:paraId="3DE381A8" w14:textId="551337BA" w:rsidR="00426C40" w:rsidRPr="00A66E36" w:rsidRDefault="00842AA3" w:rsidP="00426C40">
            <w:pPr>
              <w:rPr>
                <w:color w:val="FF0000"/>
                <w:sz w:val="24"/>
                <w:szCs w:val="24"/>
              </w:rPr>
            </w:pPr>
            <w:r>
              <w:rPr>
                <w:sz w:val="24"/>
                <w:szCs w:val="24"/>
              </w:rPr>
              <w:t>NA</w:t>
            </w:r>
          </w:p>
        </w:tc>
        <w:tc>
          <w:tcPr>
            <w:tcW w:w="1196" w:type="dxa"/>
            <w:vAlign w:val="center"/>
          </w:tcPr>
          <w:p w14:paraId="5BF1E9CA" w14:textId="56CEADEC" w:rsidR="00426C40" w:rsidRPr="00A66E36" w:rsidRDefault="00426C40" w:rsidP="00426C40">
            <w:pPr>
              <w:rPr>
                <w:color w:val="FF0000"/>
                <w:sz w:val="24"/>
                <w:szCs w:val="24"/>
              </w:rPr>
            </w:pPr>
            <w:r>
              <w:rPr>
                <w:sz w:val="24"/>
                <w:szCs w:val="24"/>
              </w:rPr>
              <w:t xml:space="preserve">mil. </w:t>
            </w:r>
            <w:r w:rsidR="005024CE" w:rsidRPr="005024CE">
              <w:rPr>
                <w:sz w:val="24"/>
                <w:szCs w:val="24"/>
              </w:rPr>
              <w:t>euro</w:t>
            </w:r>
          </w:p>
        </w:tc>
      </w:tr>
      <w:tr w:rsidR="00426C40" w:rsidRPr="009309D2" w14:paraId="77C46B10" w14:textId="77777777" w:rsidTr="00426C40">
        <w:trPr>
          <w:cantSplit/>
          <w:trHeight w:val="576"/>
        </w:trPr>
        <w:tc>
          <w:tcPr>
            <w:tcW w:w="6408" w:type="dxa"/>
            <w:vAlign w:val="center"/>
          </w:tcPr>
          <w:p w14:paraId="0217C755" w14:textId="77777777" w:rsidR="00426C40" w:rsidRPr="00A66E36" w:rsidRDefault="00426C40" w:rsidP="00426C40">
            <w:pPr>
              <w:rPr>
                <w:sz w:val="24"/>
                <w:szCs w:val="24"/>
              </w:rPr>
            </w:pPr>
            <w:r>
              <w:rPr>
                <w:sz w:val="24"/>
                <w:szCs w:val="24"/>
              </w:rPr>
              <w:t>Bruto produkti vendor (BPV)</w:t>
            </w:r>
          </w:p>
        </w:tc>
        <w:tc>
          <w:tcPr>
            <w:tcW w:w="1638" w:type="dxa"/>
            <w:vAlign w:val="center"/>
          </w:tcPr>
          <w:p w14:paraId="6546A6F9" w14:textId="735D1EA3" w:rsidR="00426C40" w:rsidRPr="009309D2" w:rsidRDefault="00617E10" w:rsidP="00426C40">
            <w:pPr>
              <w:rPr>
                <w:sz w:val="24"/>
                <w:szCs w:val="24"/>
              </w:rPr>
            </w:pPr>
            <w:r>
              <w:rPr>
                <w:sz w:val="24"/>
                <w:szCs w:val="24"/>
              </w:rPr>
              <w:t>6771.6</w:t>
            </w:r>
          </w:p>
        </w:tc>
        <w:tc>
          <w:tcPr>
            <w:tcW w:w="1196" w:type="dxa"/>
            <w:vAlign w:val="center"/>
          </w:tcPr>
          <w:p w14:paraId="628086E8" w14:textId="189585DF" w:rsidR="00426C40" w:rsidRPr="009309D2" w:rsidRDefault="00426C40" w:rsidP="00426C40">
            <w:pPr>
              <w:rPr>
                <w:sz w:val="24"/>
                <w:szCs w:val="24"/>
              </w:rPr>
            </w:pPr>
            <w:r>
              <w:rPr>
                <w:sz w:val="24"/>
                <w:szCs w:val="24"/>
              </w:rPr>
              <w:t xml:space="preserve">mil. </w:t>
            </w:r>
            <w:r w:rsidR="005024CE" w:rsidRPr="005024CE">
              <w:rPr>
                <w:sz w:val="24"/>
                <w:szCs w:val="24"/>
              </w:rPr>
              <w:t>euro</w:t>
            </w:r>
          </w:p>
        </w:tc>
      </w:tr>
      <w:tr w:rsidR="00426C40" w:rsidRPr="002F0CEC" w14:paraId="7D58CA4A" w14:textId="77777777" w:rsidTr="00426C40">
        <w:trPr>
          <w:cantSplit/>
          <w:trHeight w:val="576"/>
        </w:trPr>
        <w:tc>
          <w:tcPr>
            <w:tcW w:w="6408" w:type="dxa"/>
            <w:vAlign w:val="center"/>
          </w:tcPr>
          <w:p w14:paraId="454C3D86" w14:textId="77777777" w:rsidR="00426C40" w:rsidRPr="00E751A5" w:rsidRDefault="00426C40" w:rsidP="00426C40">
            <w:pPr>
              <w:rPr>
                <w:sz w:val="24"/>
                <w:szCs w:val="24"/>
              </w:rPr>
            </w:pPr>
            <w:r>
              <w:rPr>
                <w:sz w:val="24"/>
                <w:szCs w:val="24"/>
              </w:rPr>
              <w:t>Prodhimi i energjisë elektrike nga termocentralet (***)</w:t>
            </w:r>
          </w:p>
        </w:tc>
        <w:tc>
          <w:tcPr>
            <w:tcW w:w="1638" w:type="dxa"/>
            <w:vAlign w:val="center"/>
          </w:tcPr>
          <w:p w14:paraId="637442D4" w14:textId="77777777" w:rsidR="004E5454" w:rsidRPr="00E751A5" w:rsidRDefault="004E5454" w:rsidP="004E5454">
            <w:pPr>
              <w:rPr>
                <w:rFonts w:cstheme="minorHAnsi"/>
                <w:color w:val="000000"/>
                <w:sz w:val="24"/>
                <w:szCs w:val="24"/>
              </w:rPr>
            </w:pPr>
            <w:r>
              <w:rPr>
                <w:color w:val="000000"/>
                <w:sz w:val="24"/>
                <w:szCs w:val="24"/>
              </w:rPr>
              <w:t>1511.5</w:t>
            </w:r>
          </w:p>
          <w:p w14:paraId="18E10923" w14:textId="67D59BC2" w:rsidR="00426C40" w:rsidRPr="009309D2" w:rsidRDefault="00426C40" w:rsidP="00426C40">
            <w:pPr>
              <w:rPr>
                <w:sz w:val="24"/>
                <w:szCs w:val="24"/>
                <w:lang w:val="en-GB"/>
              </w:rPr>
            </w:pPr>
          </w:p>
        </w:tc>
        <w:tc>
          <w:tcPr>
            <w:tcW w:w="1196" w:type="dxa"/>
            <w:vAlign w:val="center"/>
          </w:tcPr>
          <w:p w14:paraId="0C2833D3" w14:textId="249D12C2" w:rsidR="00426C40" w:rsidRPr="00E751A5" w:rsidRDefault="005024CE" w:rsidP="00426C40">
            <w:pPr>
              <w:rPr>
                <w:sz w:val="24"/>
                <w:szCs w:val="24"/>
              </w:rPr>
            </w:pPr>
            <w:r>
              <w:rPr>
                <w:sz w:val="24"/>
                <w:szCs w:val="24"/>
              </w:rPr>
              <w:t>ktoe</w:t>
            </w:r>
          </w:p>
        </w:tc>
      </w:tr>
      <w:tr w:rsidR="00426C40" w:rsidRPr="002F0CEC" w14:paraId="61734694" w14:textId="77777777" w:rsidTr="00426C40">
        <w:trPr>
          <w:cantSplit/>
          <w:trHeight w:val="576"/>
        </w:trPr>
        <w:tc>
          <w:tcPr>
            <w:tcW w:w="6408" w:type="dxa"/>
            <w:vAlign w:val="center"/>
          </w:tcPr>
          <w:p w14:paraId="52557244" w14:textId="77777777" w:rsidR="00426C40" w:rsidRPr="00E751A5" w:rsidRDefault="00426C40" w:rsidP="00426C40">
            <w:pPr>
              <w:rPr>
                <w:sz w:val="24"/>
                <w:szCs w:val="24"/>
              </w:rPr>
            </w:pPr>
            <w:r>
              <w:rPr>
                <w:sz w:val="24"/>
                <w:szCs w:val="24"/>
              </w:rPr>
              <w:t>Prodhimi i energjisë elektrike nga kombinimi i ngrohjes dhe energjisë</w:t>
            </w:r>
          </w:p>
        </w:tc>
        <w:tc>
          <w:tcPr>
            <w:tcW w:w="1638" w:type="dxa"/>
            <w:vAlign w:val="center"/>
          </w:tcPr>
          <w:p w14:paraId="330D7E6F" w14:textId="1CD65071" w:rsidR="00426C40" w:rsidRPr="009309D2" w:rsidRDefault="004E5454" w:rsidP="00426C40">
            <w:pPr>
              <w:rPr>
                <w:sz w:val="24"/>
                <w:szCs w:val="24"/>
              </w:rPr>
            </w:pPr>
            <w:r>
              <w:rPr>
                <w:sz w:val="24"/>
                <w:szCs w:val="24"/>
              </w:rPr>
              <w:t>4.7</w:t>
            </w:r>
          </w:p>
        </w:tc>
        <w:tc>
          <w:tcPr>
            <w:tcW w:w="1196" w:type="dxa"/>
            <w:vAlign w:val="center"/>
          </w:tcPr>
          <w:p w14:paraId="27B83919" w14:textId="51194B39" w:rsidR="00426C40" w:rsidRPr="00E751A5" w:rsidRDefault="005024CE" w:rsidP="00426C40">
            <w:pPr>
              <w:rPr>
                <w:sz w:val="24"/>
                <w:szCs w:val="24"/>
              </w:rPr>
            </w:pPr>
            <w:r>
              <w:rPr>
                <w:sz w:val="24"/>
                <w:szCs w:val="24"/>
              </w:rPr>
              <w:t>ktoe</w:t>
            </w:r>
          </w:p>
        </w:tc>
      </w:tr>
      <w:tr w:rsidR="00426C40" w:rsidRPr="002F0CEC" w14:paraId="5DBE6E35" w14:textId="77777777" w:rsidTr="00426C40">
        <w:trPr>
          <w:cantSplit/>
          <w:trHeight w:val="576"/>
        </w:trPr>
        <w:tc>
          <w:tcPr>
            <w:tcW w:w="6408" w:type="dxa"/>
            <w:vAlign w:val="center"/>
          </w:tcPr>
          <w:p w14:paraId="1E677515" w14:textId="77777777" w:rsidR="00426C40" w:rsidRPr="00E751A5" w:rsidRDefault="00426C40" w:rsidP="00426C40">
            <w:pPr>
              <w:rPr>
                <w:sz w:val="24"/>
                <w:szCs w:val="24"/>
              </w:rPr>
            </w:pPr>
            <w:r>
              <w:rPr>
                <w:sz w:val="24"/>
                <w:szCs w:val="24"/>
              </w:rPr>
              <w:t>Prodhimi i ngrohjes nga prodhimi i energjisë nga termocentralet (***)</w:t>
            </w:r>
          </w:p>
        </w:tc>
        <w:tc>
          <w:tcPr>
            <w:tcW w:w="1638" w:type="dxa"/>
            <w:vAlign w:val="center"/>
          </w:tcPr>
          <w:p w14:paraId="02036DE4" w14:textId="64D8AF9A" w:rsidR="00426C40" w:rsidRPr="009309D2" w:rsidRDefault="004E5454" w:rsidP="00426C40">
            <w:pPr>
              <w:rPr>
                <w:sz w:val="24"/>
                <w:szCs w:val="24"/>
              </w:rPr>
            </w:pPr>
            <w:r>
              <w:rPr>
                <w:sz w:val="24"/>
                <w:szCs w:val="24"/>
              </w:rPr>
              <w:t>23.3</w:t>
            </w:r>
          </w:p>
        </w:tc>
        <w:tc>
          <w:tcPr>
            <w:tcW w:w="1196" w:type="dxa"/>
            <w:vAlign w:val="center"/>
          </w:tcPr>
          <w:p w14:paraId="589B6D56" w14:textId="707ADB2E" w:rsidR="00426C40" w:rsidRPr="00E751A5" w:rsidRDefault="005024CE" w:rsidP="00426C40">
            <w:pPr>
              <w:rPr>
                <w:sz w:val="24"/>
                <w:szCs w:val="24"/>
              </w:rPr>
            </w:pPr>
            <w:r>
              <w:rPr>
                <w:sz w:val="24"/>
                <w:szCs w:val="24"/>
              </w:rPr>
              <w:t>ktoe</w:t>
            </w:r>
          </w:p>
        </w:tc>
      </w:tr>
      <w:tr w:rsidR="00426C40" w:rsidRPr="002F0CEC" w14:paraId="4D53DBA6" w14:textId="77777777" w:rsidTr="00426C40">
        <w:trPr>
          <w:cantSplit/>
          <w:trHeight w:val="576"/>
        </w:trPr>
        <w:tc>
          <w:tcPr>
            <w:tcW w:w="6408" w:type="dxa"/>
            <w:vAlign w:val="center"/>
          </w:tcPr>
          <w:p w14:paraId="6D96E2A9" w14:textId="5E668103" w:rsidR="00426C40" w:rsidRPr="006F1FEF" w:rsidRDefault="00426C40" w:rsidP="00426C40">
            <w:pPr>
              <w:rPr>
                <w:sz w:val="24"/>
                <w:szCs w:val="24"/>
              </w:rPr>
            </w:pPr>
            <w:r>
              <w:rPr>
                <w:sz w:val="24"/>
                <w:szCs w:val="24"/>
              </w:rPr>
              <w:t>Prodhimi i ngrohjes nga kombinimi i termocentraleve dhe ngrohjes, duke përfshirë edhe ngrohjen industriale që humbet (***)</w:t>
            </w:r>
          </w:p>
        </w:tc>
        <w:tc>
          <w:tcPr>
            <w:tcW w:w="1638" w:type="dxa"/>
            <w:vAlign w:val="center"/>
          </w:tcPr>
          <w:p w14:paraId="50824D74" w14:textId="760063CC" w:rsidR="00426C40" w:rsidRPr="009309D2" w:rsidRDefault="00842AA3" w:rsidP="00426C40">
            <w:pPr>
              <w:rPr>
                <w:sz w:val="24"/>
                <w:szCs w:val="24"/>
              </w:rPr>
            </w:pPr>
            <w:r>
              <w:rPr>
                <w:sz w:val="24"/>
                <w:szCs w:val="24"/>
              </w:rPr>
              <w:t>NA</w:t>
            </w:r>
          </w:p>
        </w:tc>
        <w:tc>
          <w:tcPr>
            <w:tcW w:w="1196" w:type="dxa"/>
            <w:vAlign w:val="center"/>
          </w:tcPr>
          <w:p w14:paraId="31E22FE3" w14:textId="4B5E8CAC" w:rsidR="00426C40" w:rsidRPr="00E751A5" w:rsidRDefault="005024CE" w:rsidP="00426C40">
            <w:pPr>
              <w:rPr>
                <w:sz w:val="24"/>
                <w:szCs w:val="24"/>
              </w:rPr>
            </w:pPr>
            <w:r>
              <w:rPr>
                <w:sz w:val="24"/>
                <w:szCs w:val="24"/>
              </w:rPr>
              <w:t>ktoe</w:t>
            </w:r>
          </w:p>
        </w:tc>
      </w:tr>
      <w:tr w:rsidR="00426C40" w:rsidRPr="002F0CEC" w14:paraId="2D1F8FBD" w14:textId="77777777" w:rsidTr="00426C40">
        <w:trPr>
          <w:cantSplit/>
          <w:trHeight w:val="576"/>
        </w:trPr>
        <w:tc>
          <w:tcPr>
            <w:tcW w:w="6408" w:type="dxa"/>
            <w:vAlign w:val="center"/>
          </w:tcPr>
          <w:p w14:paraId="251E5463" w14:textId="77777777" w:rsidR="00426C40" w:rsidRPr="00E751A5" w:rsidRDefault="00426C40" w:rsidP="00426C40">
            <w:pPr>
              <w:rPr>
                <w:sz w:val="24"/>
                <w:szCs w:val="24"/>
              </w:rPr>
            </w:pPr>
            <w:r>
              <w:rPr>
                <w:sz w:val="24"/>
                <w:szCs w:val="24"/>
              </w:rPr>
              <w:t>Lënda djegëse për prodhimin e energjisë termike (***)</w:t>
            </w:r>
          </w:p>
        </w:tc>
        <w:tc>
          <w:tcPr>
            <w:tcW w:w="1638" w:type="dxa"/>
            <w:vAlign w:val="center"/>
          </w:tcPr>
          <w:p w14:paraId="17980EB8" w14:textId="3F5FCF83" w:rsidR="00426C40" w:rsidRPr="00E751A5" w:rsidRDefault="00842AA3" w:rsidP="00426C40">
            <w:pPr>
              <w:rPr>
                <w:sz w:val="24"/>
                <w:szCs w:val="24"/>
              </w:rPr>
            </w:pPr>
            <w:r>
              <w:rPr>
                <w:sz w:val="24"/>
                <w:szCs w:val="24"/>
              </w:rPr>
              <w:t>NA</w:t>
            </w:r>
          </w:p>
        </w:tc>
        <w:tc>
          <w:tcPr>
            <w:tcW w:w="1196" w:type="dxa"/>
            <w:vAlign w:val="center"/>
          </w:tcPr>
          <w:p w14:paraId="3F795786" w14:textId="23792251" w:rsidR="00426C40" w:rsidRPr="00E751A5" w:rsidRDefault="005024CE" w:rsidP="00426C40">
            <w:pPr>
              <w:rPr>
                <w:sz w:val="24"/>
                <w:szCs w:val="24"/>
              </w:rPr>
            </w:pPr>
            <w:r>
              <w:rPr>
                <w:sz w:val="24"/>
                <w:szCs w:val="24"/>
              </w:rPr>
              <w:t>ktoe</w:t>
            </w:r>
          </w:p>
        </w:tc>
      </w:tr>
      <w:tr w:rsidR="00426C40" w:rsidRPr="002F0CEC" w14:paraId="38ADEAE9" w14:textId="77777777" w:rsidTr="00426C40">
        <w:trPr>
          <w:cantSplit/>
          <w:trHeight w:val="576"/>
        </w:trPr>
        <w:tc>
          <w:tcPr>
            <w:tcW w:w="6408" w:type="dxa"/>
            <w:vAlign w:val="center"/>
          </w:tcPr>
          <w:p w14:paraId="2EDA1A41" w14:textId="22DD40B4" w:rsidR="00426C40" w:rsidRPr="00976830" w:rsidRDefault="00426C40" w:rsidP="00426C40">
            <w:pPr>
              <w:rPr>
                <w:sz w:val="24"/>
                <w:szCs w:val="24"/>
              </w:rPr>
            </w:pPr>
            <w:r>
              <w:rPr>
                <w:sz w:val="24"/>
                <w:szCs w:val="24"/>
              </w:rPr>
              <w:t>Kilometrat e udhëtarëve (</w:t>
            </w:r>
            <w:proofErr w:type="spellStart"/>
            <w:r>
              <w:rPr>
                <w:sz w:val="24"/>
                <w:szCs w:val="24"/>
              </w:rPr>
              <w:t>kmu</w:t>
            </w:r>
            <w:proofErr w:type="spellEnd"/>
            <w:r>
              <w:rPr>
                <w:sz w:val="24"/>
                <w:szCs w:val="24"/>
              </w:rPr>
              <w:t>), nëse janë në dispozicion (**)</w:t>
            </w:r>
          </w:p>
        </w:tc>
        <w:tc>
          <w:tcPr>
            <w:tcW w:w="1638" w:type="dxa"/>
            <w:vAlign w:val="center"/>
          </w:tcPr>
          <w:p w14:paraId="002E0C3B" w14:textId="03F85B00" w:rsidR="00426C40" w:rsidRPr="00976830" w:rsidRDefault="00EC59C1" w:rsidP="00426C40">
            <w:pPr>
              <w:rPr>
                <w:sz w:val="24"/>
                <w:szCs w:val="24"/>
              </w:rPr>
            </w:pPr>
            <w:r>
              <w:rPr>
                <w:sz w:val="24"/>
                <w:szCs w:val="24"/>
              </w:rPr>
              <w:t>NA</w:t>
            </w:r>
          </w:p>
        </w:tc>
        <w:tc>
          <w:tcPr>
            <w:tcW w:w="1196" w:type="dxa"/>
            <w:vAlign w:val="center"/>
          </w:tcPr>
          <w:p w14:paraId="50B423B4" w14:textId="641C9EDD" w:rsidR="005024CE" w:rsidRDefault="005024CE" w:rsidP="00426C40">
            <w:pPr>
              <w:rPr>
                <w:sz w:val="24"/>
                <w:szCs w:val="24"/>
              </w:rPr>
            </w:pPr>
            <w:r>
              <w:rPr>
                <w:sz w:val="24"/>
                <w:szCs w:val="24"/>
              </w:rPr>
              <w:t>Mijë</w:t>
            </w:r>
          </w:p>
          <w:p w14:paraId="0197D408" w14:textId="1DC95AFB" w:rsidR="00426C40" w:rsidRPr="009309D2" w:rsidRDefault="00426C40" w:rsidP="00426C40">
            <w:pPr>
              <w:rPr>
                <w:sz w:val="24"/>
                <w:szCs w:val="24"/>
              </w:rPr>
            </w:pPr>
            <w:proofErr w:type="spellStart"/>
            <w:r>
              <w:rPr>
                <w:sz w:val="24"/>
                <w:szCs w:val="24"/>
              </w:rPr>
              <w:t>Kmu</w:t>
            </w:r>
            <w:proofErr w:type="spellEnd"/>
          </w:p>
        </w:tc>
      </w:tr>
      <w:tr w:rsidR="00426C40" w:rsidRPr="002F0CEC" w14:paraId="143600C7" w14:textId="77777777" w:rsidTr="00426C40">
        <w:trPr>
          <w:cantSplit/>
          <w:trHeight w:val="576"/>
        </w:trPr>
        <w:tc>
          <w:tcPr>
            <w:tcW w:w="6408" w:type="dxa"/>
            <w:vAlign w:val="center"/>
          </w:tcPr>
          <w:p w14:paraId="0319B0BF" w14:textId="77777777" w:rsidR="00426C40" w:rsidRPr="00976830" w:rsidRDefault="00426C40" w:rsidP="00426C40">
            <w:pPr>
              <w:rPr>
                <w:sz w:val="24"/>
                <w:szCs w:val="24"/>
              </w:rPr>
            </w:pPr>
            <w:r>
              <w:rPr>
                <w:sz w:val="24"/>
                <w:szCs w:val="24"/>
              </w:rPr>
              <w:t>Kilometrat për ton (</w:t>
            </w:r>
            <w:proofErr w:type="spellStart"/>
            <w:r>
              <w:rPr>
                <w:sz w:val="24"/>
                <w:szCs w:val="24"/>
              </w:rPr>
              <w:t>kmt</w:t>
            </w:r>
            <w:proofErr w:type="spellEnd"/>
            <w:r>
              <w:rPr>
                <w:sz w:val="24"/>
                <w:szCs w:val="24"/>
              </w:rPr>
              <w:t>), nëse janë në dispozicion (**)</w:t>
            </w:r>
          </w:p>
        </w:tc>
        <w:tc>
          <w:tcPr>
            <w:tcW w:w="1638" w:type="dxa"/>
            <w:vAlign w:val="center"/>
          </w:tcPr>
          <w:p w14:paraId="0B9E3BBF" w14:textId="4C501C79" w:rsidR="00426C40" w:rsidRPr="00976830" w:rsidRDefault="00EC59C1" w:rsidP="00426C40">
            <w:pPr>
              <w:rPr>
                <w:sz w:val="24"/>
                <w:szCs w:val="24"/>
              </w:rPr>
            </w:pPr>
            <w:r>
              <w:rPr>
                <w:sz w:val="24"/>
                <w:szCs w:val="24"/>
              </w:rPr>
              <w:t>NA</w:t>
            </w:r>
          </w:p>
        </w:tc>
        <w:tc>
          <w:tcPr>
            <w:tcW w:w="1196" w:type="dxa"/>
            <w:vAlign w:val="center"/>
          </w:tcPr>
          <w:p w14:paraId="1601FF4E" w14:textId="3B8BEE29" w:rsidR="005024CE" w:rsidRDefault="005024CE" w:rsidP="00426C40">
            <w:pPr>
              <w:rPr>
                <w:sz w:val="24"/>
                <w:szCs w:val="24"/>
              </w:rPr>
            </w:pPr>
            <w:r>
              <w:rPr>
                <w:sz w:val="24"/>
                <w:szCs w:val="24"/>
              </w:rPr>
              <w:t>mijë</w:t>
            </w:r>
            <w:r w:rsidR="00426C40">
              <w:rPr>
                <w:sz w:val="24"/>
                <w:szCs w:val="24"/>
              </w:rPr>
              <w:t xml:space="preserve"> </w:t>
            </w:r>
          </w:p>
          <w:p w14:paraId="5066D63F" w14:textId="1B93F3F0" w:rsidR="00426C40" w:rsidRPr="009309D2" w:rsidRDefault="00426C40" w:rsidP="00426C40">
            <w:pPr>
              <w:rPr>
                <w:sz w:val="24"/>
                <w:szCs w:val="24"/>
              </w:rPr>
            </w:pPr>
            <w:proofErr w:type="spellStart"/>
            <w:r>
              <w:rPr>
                <w:sz w:val="24"/>
                <w:szCs w:val="24"/>
              </w:rPr>
              <w:t>Kmt</w:t>
            </w:r>
            <w:proofErr w:type="spellEnd"/>
          </w:p>
        </w:tc>
      </w:tr>
      <w:tr w:rsidR="00426C40" w:rsidRPr="00277F01" w14:paraId="318D3E50" w14:textId="77777777" w:rsidTr="00426C40">
        <w:trPr>
          <w:cantSplit/>
          <w:trHeight w:val="576"/>
        </w:trPr>
        <w:tc>
          <w:tcPr>
            <w:tcW w:w="6408" w:type="dxa"/>
            <w:vAlign w:val="center"/>
          </w:tcPr>
          <w:p w14:paraId="76C88AF0" w14:textId="6E67E707" w:rsidR="00426C40" w:rsidRPr="00976830" w:rsidRDefault="00426C40" w:rsidP="00426C40">
            <w:pPr>
              <w:rPr>
                <w:sz w:val="24"/>
                <w:szCs w:val="24"/>
              </w:rPr>
            </w:pPr>
            <w:r>
              <w:rPr>
                <w:sz w:val="24"/>
                <w:szCs w:val="24"/>
              </w:rPr>
              <w:t>Kilometrat e kombinuara të transportit (</w:t>
            </w:r>
            <w:proofErr w:type="spellStart"/>
            <w:r>
              <w:rPr>
                <w:sz w:val="24"/>
                <w:szCs w:val="24"/>
              </w:rPr>
              <w:t>kmu</w:t>
            </w:r>
            <w:proofErr w:type="spellEnd"/>
            <w:r>
              <w:rPr>
                <w:sz w:val="24"/>
                <w:szCs w:val="24"/>
              </w:rPr>
              <w:t xml:space="preserve"> + </w:t>
            </w:r>
            <w:proofErr w:type="spellStart"/>
            <w:r>
              <w:rPr>
                <w:sz w:val="24"/>
                <w:szCs w:val="24"/>
              </w:rPr>
              <w:t>kmt</w:t>
            </w:r>
            <w:proofErr w:type="spellEnd"/>
            <w:r>
              <w:rPr>
                <w:sz w:val="24"/>
                <w:szCs w:val="24"/>
              </w:rPr>
              <w:t xml:space="preserve">), në rast se vlerat e veçanta për </w:t>
            </w:r>
            <w:proofErr w:type="spellStart"/>
            <w:r>
              <w:rPr>
                <w:sz w:val="24"/>
                <w:szCs w:val="24"/>
              </w:rPr>
              <w:t>kmu</w:t>
            </w:r>
            <w:proofErr w:type="spellEnd"/>
            <w:r>
              <w:rPr>
                <w:sz w:val="24"/>
                <w:szCs w:val="24"/>
              </w:rPr>
              <w:t xml:space="preserve"> dhe </w:t>
            </w:r>
            <w:proofErr w:type="spellStart"/>
            <w:r>
              <w:rPr>
                <w:sz w:val="24"/>
                <w:szCs w:val="24"/>
              </w:rPr>
              <w:t>kmt</w:t>
            </w:r>
            <w:proofErr w:type="spellEnd"/>
            <w:r>
              <w:rPr>
                <w:sz w:val="24"/>
                <w:szCs w:val="24"/>
              </w:rPr>
              <w:t xml:space="preserve"> nuk janë në dispozicion (**)</w:t>
            </w:r>
          </w:p>
        </w:tc>
        <w:tc>
          <w:tcPr>
            <w:tcW w:w="1638" w:type="dxa"/>
            <w:vAlign w:val="center"/>
          </w:tcPr>
          <w:p w14:paraId="0686FF52" w14:textId="45181D92" w:rsidR="00426C40" w:rsidRPr="00976830" w:rsidRDefault="00EC59C1" w:rsidP="00426C40">
            <w:pPr>
              <w:rPr>
                <w:sz w:val="24"/>
                <w:szCs w:val="24"/>
              </w:rPr>
            </w:pPr>
            <w:r>
              <w:rPr>
                <w:sz w:val="24"/>
                <w:szCs w:val="24"/>
              </w:rPr>
              <w:t>NA</w:t>
            </w:r>
          </w:p>
        </w:tc>
        <w:tc>
          <w:tcPr>
            <w:tcW w:w="1196" w:type="dxa"/>
            <w:vAlign w:val="center"/>
          </w:tcPr>
          <w:p w14:paraId="03FD9016" w14:textId="77777777" w:rsidR="00426C40" w:rsidRPr="009309D2" w:rsidRDefault="00426C40" w:rsidP="00426C40">
            <w:pPr>
              <w:rPr>
                <w:sz w:val="24"/>
                <w:szCs w:val="24"/>
                <w:lang w:val="en-GB"/>
              </w:rPr>
            </w:pPr>
          </w:p>
        </w:tc>
      </w:tr>
      <w:tr w:rsidR="00426C40" w:rsidRPr="009309D2" w14:paraId="6CCAD02A" w14:textId="77777777" w:rsidTr="00426C40">
        <w:trPr>
          <w:cantSplit/>
          <w:trHeight w:val="576"/>
        </w:trPr>
        <w:tc>
          <w:tcPr>
            <w:tcW w:w="6408" w:type="dxa"/>
            <w:vAlign w:val="center"/>
          </w:tcPr>
          <w:p w14:paraId="129C3DE2" w14:textId="77777777" w:rsidR="00426C40" w:rsidRPr="009309D2" w:rsidRDefault="00426C40" w:rsidP="00426C40">
            <w:pPr>
              <w:rPr>
                <w:sz w:val="24"/>
                <w:szCs w:val="24"/>
              </w:rPr>
            </w:pPr>
            <w:r>
              <w:rPr>
                <w:sz w:val="24"/>
                <w:szCs w:val="24"/>
              </w:rPr>
              <w:lastRenderedPageBreak/>
              <w:t>Popullsia (**)</w:t>
            </w:r>
          </w:p>
        </w:tc>
        <w:tc>
          <w:tcPr>
            <w:tcW w:w="1638" w:type="dxa"/>
            <w:vAlign w:val="center"/>
          </w:tcPr>
          <w:p w14:paraId="0EFED122" w14:textId="0CDBCDEA" w:rsidR="00426C40" w:rsidRPr="009309D2" w:rsidRDefault="009C6517" w:rsidP="00426C40">
            <w:pPr>
              <w:rPr>
                <w:sz w:val="24"/>
                <w:szCs w:val="24"/>
              </w:rPr>
            </w:pPr>
            <w:r>
              <w:rPr>
                <w:sz w:val="24"/>
                <w:szCs w:val="24"/>
              </w:rPr>
              <w:t>1773971</w:t>
            </w:r>
          </w:p>
        </w:tc>
        <w:tc>
          <w:tcPr>
            <w:tcW w:w="1196" w:type="dxa"/>
            <w:vAlign w:val="center"/>
          </w:tcPr>
          <w:p w14:paraId="60A9CA82" w14:textId="074FE238" w:rsidR="00426C40" w:rsidRPr="009309D2" w:rsidRDefault="007C7C8F" w:rsidP="00426C40">
            <w:pPr>
              <w:rPr>
                <w:sz w:val="24"/>
                <w:szCs w:val="24"/>
              </w:rPr>
            </w:pPr>
            <w:r>
              <w:rPr>
                <w:sz w:val="24"/>
                <w:szCs w:val="24"/>
              </w:rPr>
              <w:t>Miliona</w:t>
            </w:r>
          </w:p>
        </w:tc>
      </w:tr>
    </w:tbl>
    <w:bookmarkEnd w:id="0"/>
    <w:p w14:paraId="3BA0CD86" w14:textId="77777777" w:rsidR="007B6AD3" w:rsidRPr="00426C40" w:rsidRDefault="007B6AD3" w:rsidP="00E84D14">
      <w:pPr>
        <w:spacing w:before="120" w:after="120"/>
        <w:jc w:val="center"/>
      </w:pPr>
      <w:r>
        <w:t>Tabela 1: Të dhënat kryesore statistikore për energjinë.</w:t>
      </w:r>
    </w:p>
    <w:p w14:paraId="22F967AC" w14:textId="77777777" w:rsidR="00900C3A" w:rsidRPr="00426C40" w:rsidRDefault="00035929" w:rsidP="002F6954">
      <w:pPr>
        <w:spacing w:after="0"/>
        <w:rPr>
          <w:i/>
        </w:rPr>
      </w:pPr>
      <w:r>
        <w:rPr>
          <w:i/>
        </w:rPr>
        <w:t xml:space="preserve">(*) </w:t>
      </w:r>
      <w:r>
        <w:rPr>
          <w:i/>
        </w:rPr>
        <w:tab/>
        <w:t>Të dhëna statistikore për energjinë</w:t>
      </w:r>
    </w:p>
    <w:p w14:paraId="550AEABB" w14:textId="77777777" w:rsidR="00035929" w:rsidRPr="00426C40" w:rsidRDefault="00035929" w:rsidP="002F6954">
      <w:pPr>
        <w:spacing w:after="0"/>
        <w:rPr>
          <w:i/>
        </w:rPr>
      </w:pPr>
      <w:r>
        <w:rPr>
          <w:i/>
        </w:rPr>
        <w:t xml:space="preserve">(**) </w:t>
      </w:r>
      <w:r>
        <w:rPr>
          <w:i/>
        </w:rPr>
        <w:tab/>
        <w:t xml:space="preserve">Agjencia e Statistikave Shtetërore </w:t>
      </w:r>
    </w:p>
    <w:p w14:paraId="1EDBD915" w14:textId="77777777" w:rsidR="002F6954" w:rsidRPr="00426C40" w:rsidRDefault="002F6954" w:rsidP="002F6954">
      <w:pPr>
        <w:spacing w:after="0"/>
        <w:rPr>
          <w:i/>
        </w:rPr>
      </w:pPr>
      <w:r>
        <w:rPr>
          <w:i/>
        </w:rPr>
        <w:t xml:space="preserve">(***) </w:t>
      </w:r>
      <w:r>
        <w:rPr>
          <w:i/>
        </w:rPr>
        <w:tab/>
        <w:t xml:space="preserve">Operatori i Pavarur i Sistemit (OPS), kompanitë e prodhimit të energjisë elektrike. </w:t>
      </w:r>
    </w:p>
    <w:p w14:paraId="7323C99A" w14:textId="77777777" w:rsidR="00900C3A" w:rsidRPr="00BD5CB8" w:rsidRDefault="000A3E46" w:rsidP="00F576C2">
      <w:pPr>
        <w:pStyle w:val="Heading1"/>
      </w:pPr>
      <w:r>
        <w:t>Pasqyra e përgjithshme e tendencave të konsumit të energjisë</w:t>
      </w:r>
    </w:p>
    <w:p w14:paraId="6821F993" w14:textId="40F630D0" w:rsidR="00CC6160" w:rsidRDefault="00CC6160" w:rsidP="005024CE">
      <w:pPr>
        <w:jc w:val="both"/>
        <w:rPr>
          <w:rFonts w:cstheme="minorHAnsi"/>
        </w:rPr>
      </w:pPr>
      <w:r>
        <w:t xml:space="preserve">Plani Kombëtar i Veprimit për Efiçiencë të Energjisë në Kosovë (PKVEE 2019-2021) përcakton objektivat kombëtare për reduktimin e konsumit përfundimtar dhe primar të energjisë për periudhën trevjeçare 2019-2021, siç kërkohet me nenin 3(1) të DEE-së. Konsumi përfundimtar i energjisë nuk duhet të kalojë 1556 ktoe në vitin 2020. Objektivi kombëtar i vlerësuar mund të shprehet në konsumin e energjisë primare prej 2847 ktoe, bazuar në koeficientin e energjisë primare - 1,83*. </w:t>
      </w:r>
    </w:p>
    <w:p w14:paraId="7A706107" w14:textId="77777777" w:rsidR="00CC6160" w:rsidRPr="004561A0" w:rsidRDefault="00CC6160" w:rsidP="005024CE">
      <w:pPr>
        <w:jc w:val="both"/>
        <w:rPr>
          <w:rFonts w:cstheme="minorHAnsi"/>
        </w:rPr>
      </w:pPr>
      <w:r>
        <w:t xml:space="preserve">Burime të ndryshme statistikore dhe burime të tjera të </w:t>
      </w:r>
      <w:proofErr w:type="spellStart"/>
      <w:r>
        <w:t>të</w:t>
      </w:r>
      <w:proofErr w:type="spellEnd"/>
      <w:r>
        <w:t xml:space="preserve"> dhënave të disponueshme janë përdorur për të përcaktuar vlerat ekonomike dhe energjetike për vitin bazë 2015 dhe tendencat përkatëse brenda skenarëve të ndryshëm. </w:t>
      </w:r>
    </w:p>
    <w:p w14:paraId="44474793" w14:textId="136BDAEC" w:rsidR="00CC6160" w:rsidRPr="004561A0" w:rsidRDefault="00CC6160" w:rsidP="005024CE">
      <w:pPr>
        <w:jc w:val="both"/>
        <w:rPr>
          <w:rFonts w:cstheme="minorHAnsi"/>
        </w:rPr>
      </w:pPr>
      <w:r>
        <w:t>Të dhënat për trendët e konsumit të energjisë janë nxjerrë nga bilancet energjetike të Kosovës 2015-2021.</w:t>
      </w:r>
    </w:p>
    <w:p w14:paraId="1A4BC71A" w14:textId="16C780D5" w:rsidR="00CC6160" w:rsidRPr="00BD5CB8" w:rsidRDefault="00860BAD" w:rsidP="00860BAD">
      <w:pPr>
        <w:jc w:val="center"/>
        <w:rPr>
          <w:rFonts w:ascii="Times New Roman" w:hAnsi="Times New Roman" w:cs="Times New Roman"/>
          <w:i/>
          <w:sz w:val="24"/>
          <w:szCs w:val="24"/>
        </w:rPr>
      </w:pPr>
      <w:r>
        <w:rPr>
          <w:noProof/>
          <w:lang w:val="en-US"/>
        </w:rPr>
        <w:drawing>
          <wp:inline distT="0" distB="0" distL="0" distR="0" wp14:anchorId="7EA62E23" wp14:editId="13C3C755">
            <wp:extent cx="4572000" cy="2725615"/>
            <wp:effectExtent l="0" t="0" r="0" b="17780"/>
            <wp:docPr id="1" name="Chart 1" descr="Ktoe&#10;">
              <a:extLst xmlns:a="http://schemas.openxmlformats.org/drawingml/2006/main">
                <a:ext uri="{FF2B5EF4-FFF2-40B4-BE49-F238E27FC236}">
                  <a16:creationId xmlns:a16="http://schemas.microsoft.com/office/drawing/2014/main" id="{C561A5F6-3D05-4EBC-94B3-FC822C3F5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A7F1DC" w14:textId="6AB4BBF2" w:rsidR="00860BAD" w:rsidRDefault="00F75966" w:rsidP="00860BAD">
      <w:pPr>
        <w:jc w:val="center"/>
        <w:rPr>
          <w:color w:val="4F81BD" w:themeColor="accent1"/>
        </w:rPr>
      </w:pPr>
      <w:r>
        <w:rPr>
          <w:color w:val="4F81BD" w:themeColor="accent1"/>
        </w:rPr>
        <w:t xml:space="preserve">Figura 1: Konsumi përfundimtar dhe primar i energjisë </w:t>
      </w:r>
    </w:p>
    <w:p w14:paraId="2CC61C9C" w14:textId="77777777" w:rsidR="00F90BB7" w:rsidRDefault="00F90BB7" w:rsidP="00860BAD">
      <w:pPr>
        <w:jc w:val="center"/>
        <w:rPr>
          <w:color w:val="4F81BD" w:themeColor="accent1"/>
          <w:lang w:val="en-GB"/>
        </w:rPr>
      </w:pPr>
    </w:p>
    <w:p w14:paraId="0732F187" w14:textId="4F40A0E0" w:rsidR="00F90BB7" w:rsidRDefault="00F90BB7" w:rsidP="00F90BB7">
      <w:pPr>
        <w:rPr>
          <w:color w:val="4F81BD" w:themeColor="accent1"/>
        </w:rPr>
      </w:pPr>
      <w:r>
        <w:rPr>
          <w:i/>
        </w:rPr>
        <w:t>*PKVEE i 4</w:t>
      </w:r>
      <w:r>
        <w:rPr>
          <w:i/>
          <w:vertAlign w:val="superscript"/>
        </w:rPr>
        <w:t>-të</w:t>
      </w:r>
      <w:r>
        <w:rPr>
          <w:i/>
        </w:rPr>
        <w:t xml:space="preserve"> 2019-2021</w:t>
      </w:r>
    </w:p>
    <w:p w14:paraId="4B311EAB" w14:textId="77777777" w:rsidR="00F90BB7" w:rsidRDefault="00F90BB7" w:rsidP="00860BAD">
      <w:pPr>
        <w:jc w:val="center"/>
        <w:rPr>
          <w:color w:val="4F81BD" w:themeColor="accent1"/>
          <w:lang w:val="en-GB"/>
        </w:rPr>
      </w:pPr>
    </w:p>
    <w:p w14:paraId="678CD3EC" w14:textId="4C773137" w:rsidR="00860BAD" w:rsidRDefault="00860BAD" w:rsidP="00860BAD">
      <w:pPr>
        <w:jc w:val="center"/>
        <w:rPr>
          <w:rFonts w:cstheme="minorHAnsi"/>
        </w:rPr>
      </w:pPr>
      <w:r>
        <w:rPr>
          <w:noProof/>
          <w:lang w:val="en-US"/>
        </w:rPr>
        <w:drawing>
          <wp:inline distT="0" distB="0" distL="0" distR="0" wp14:anchorId="7941D29A" wp14:editId="6D3946D8">
            <wp:extent cx="4572000" cy="2725615"/>
            <wp:effectExtent l="0" t="0" r="0" b="17780"/>
            <wp:docPr id="2" name="Chart 2" descr="Ktoe&#10;">
              <a:extLst xmlns:a="http://schemas.openxmlformats.org/drawingml/2006/main">
                <a:ext uri="{FF2B5EF4-FFF2-40B4-BE49-F238E27FC236}">
                  <a16:creationId xmlns:a16="http://schemas.microsoft.com/office/drawing/2014/main" id="{9076E80F-DE5B-4B62-A6B9-6DB087466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899E89" w14:textId="592E64FA" w:rsidR="00860BAD" w:rsidRDefault="00860BAD" w:rsidP="00860BAD">
      <w:pPr>
        <w:jc w:val="center"/>
        <w:rPr>
          <w:rFonts w:cstheme="minorHAnsi"/>
        </w:rPr>
      </w:pPr>
      <w:r>
        <w:rPr>
          <w:color w:val="4F81BD" w:themeColor="accent1"/>
        </w:rPr>
        <w:t>Figura 2: Konsumi përfundimtar i energjisë sipas sektorëve në 2015 – 2021</w:t>
      </w:r>
    </w:p>
    <w:p w14:paraId="3AB514ED" w14:textId="524AC74F" w:rsidR="0060436C" w:rsidRPr="004561A0" w:rsidRDefault="0060436C" w:rsidP="0060436C">
      <w:pPr>
        <w:rPr>
          <w:rFonts w:cstheme="minorHAnsi"/>
        </w:rPr>
      </w:pPr>
      <w:r>
        <w:t>Në vitin 2021, konsumi primar i energjisë ishte 2873,69 ktoe, ndërsa konsumi përfundimtar i energjisë ishte 1596,39 ktoe. Konsumi primar i energjisë krahasuar me vitin 2020 është rritur për rreth 5,11%, si dhe konsumi përfundimtar i energjisë ka shënuar një rritje prej 3,47%.</w:t>
      </w:r>
    </w:p>
    <w:p w14:paraId="4FF08E28" w14:textId="5EE54F63" w:rsidR="0060436C" w:rsidRPr="004561A0" w:rsidRDefault="0060436C" w:rsidP="0060436C">
      <w:pPr>
        <w:spacing w:after="0" w:line="240" w:lineRule="auto"/>
        <w:jc w:val="both"/>
        <w:rPr>
          <w:rFonts w:cstheme="minorHAnsi"/>
        </w:rPr>
      </w:pPr>
      <w:r>
        <w:t>Analiza e trendëve të konsumit përfundimtar të energjisë tregon se konsumi i energjisë në sektorin e amvisërive vazhdon të rritet, pra për 3,07% më i lartë se në vitin 2020. Konsumi i energjisë në sektorin e transportit ka shënuar një rënie të lehtë prej 0,71% në krahasim me vitin 2020. Konsumi i energjisë në sektorin e shërbimeve për vitin 2020 (146.06ktoe) është rritur në krahasim me vitin 2021 (170.78ktoe) që është 14.474%.</w:t>
      </w:r>
    </w:p>
    <w:p w14:paraId="4CF3A95C" w14:textId="1D64C504" w:rsidR="0060436C" w:rsidRDefault="0060436C" w:rsidP="00E24320">
      <w:pPr>
        <w:jc w:val="both"/>
        <w:rPr>
          <w:i/>
          <w:color w:val="0070C0"/>
          <w:lang w:val="en-US"/>
        </w:rPr>
      </w:pPr>
    </w:p>
    <w:p w14:paraId="3DE6E067" w14:textId="337B3053" w:rsidR="0012652E" w:rsidRDefault="0012652E" w:rsidP="0012652E">
      <w:pPr>
        <w:jc w:val="center"/>
        <w:rPr>
          <w:i/>
          <w:color w:val="0070C0"/>
        </w:rPr>
      </w:pPr>
      <w:r>
        <w:rPr>
          <w:noProof/>
          <w:lang w:val="en-US"/>
        </w:rPr>
        <w:drawing>
          <wp:inline distT="0" distB="0" distL="0" distR="0" wp14:anchorId="17F9ADDB" wp14:editId="4A3A649C">
            <wp:extent cx="4572000" cy="2901462"/>
            <wp:effectExtent l="0" t="0" r="0" b="13335"/>
            <wp:docPr id="3" name="Chart 3">
              <a:extLst xmlns:a="http://schemas.openxmlformats.org/drawingml/2006/main">
                <a:ext uri="{FF2B5EF4-FFF2-40B4-BE49-F238E27FC236}">
                  <a16:creationId xmlns:a16="http://schemas.microsoft.com/office/drawing/2014/main" id="{500A0D0B-4CF6-B2A1-4452-CB709D395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B8AF56" w14:textId="47C2A4CC" w:rsidR="0087662C" w:rsidRPr="0087662C" w:rsidRDefault="0087662C" w:rsidP="003C1F04">
      <w:pPr>
        <w:jc w:val="center"/>
        <w:rPr>
          <w:iCs/>
          <w:color w:val="0070C0"/>
        </w:rPr>
      </w:pPr>
      <w:r>
        <w:rPr>
          <w:iCs/>
          <w:color w:val="0070C0"/>
        </w:rPr>
        <w:t>Figura 3: Konsumi primar i energjisë 2015-2021</w:t>
      </w:r>
    </w:p>
    <w:p w14:paraId="4CDEEEBD" w14:textId="64E519E4" w:rsidR="00BA65FA" w:rsidRPr="009309D2" w:rsidRDefault="00BA65FA" w:rsidP="00F576C2">
      <w:pPr>
        <w:pStyle w:val="Heading1"/>
      </w:pPr>
      <w:r>
        <w:lastRenderedPageBreak/>
        <w:t xml:space="preserve">Objektivat kombëtare të efiçiencës së energjisë </w:t>
      </w:r>
    </w:p>
    <w:p w14:paraId="55FA489F" w14:textId="7DC0F12C" w:rsidR="00732600" w:rsidRPr="00BD5CB8" w:rsidRDefault="00732600" w:rsidP="00F2028B">
      <w:pPr>
        <w:shd w:val="clear" w:color="auto" w:fill="FFFFFF"/>
        <w:jc w:val="both"/>
        <w:rPr>
          <w:rFonts w:ascii="Times New Roman" w:hAnsi="Times New Roman" w:cs="Times New Roman"/>
          <w:i/>
          <w:sz w:val="24"/>
          <w:szCs w:val="24"/>
        </w:rPr>
      </w:pPr>
      <w:r>
        <w:t>Objektivat përcaktohen nga PKVEE Afatgjatë 2010-2018, Bilanci Afatgjatë i Energjisë së Republikës së Kosovës 2015-2024 dhe PKVEE i 4</w:t>
      </w:r>
      <w:r>
        <w:rPr>
          <w:vertAlign w:val="superscript"/>
        </w:rPr>
        <w:t>-të</w:t>
      </w:r>
      <w:r>
        <w:t xml:space="preserve"> 2019-2021.</w:t>
      </w:r>
    </w:p>
    <w:p w14:paraId="2030FA97" w14:textId="0F72FFF1" w:rsidR="00BA65FA" w:rsidRDefault="00BA65FA" w:rsidP="00BA65FA">
      <w:pPr>
        <w:jc w:val="both"/>
        <w:rPr>
          <w:i/>
          <w:color w:val="0070C0"/>
          <w:lang w:val="en-GB"/>
        </w:rPr>
      </w:pPr>
    </w:p>
    <w:tbl>
      <w:tblPr>
        <w:tblW w:w="5000" w:type="pct"/>
        <w:jc w:val="center"/>
        <w:tblLayout w:type="fixed"/>
        <w:tblCellMar>
          <w:left w:w="115" w:type="dxa"/>
          <w:right w:w="115" w:type="dxa"/>
        </w:tblCellMar>
        <w:tblLook w:val="04A0" w:firstRow="1" w:lastRow="0" w:firstColumn="1" w:lastColumn="0" w:noHBand="0" w:noVBand="1"/>
      </w:tblPr>
      <w:tblGrid>
        <w:gridCol w:w="4593"/>
        <w:gridCol w:w="5467"/>
      </w:tblGrid>
      <w:tr w:rsidR="00046F85" w:rsidRPr="00046F85" w14:paraId="3AEA9FD8" w14:textId="57312672" w:rsidTr="00046F85">
        <w:trPr>
          <w:trHeight w:val="408"/>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71D95DA6" w14:textId="59AD8024" w:rsidR="00046F85" w:rsidRPr="00046F85" w:rsidRDefault="00046F85" w:rsidP="00FA7E12">
            <w:pPr>
              <w:spacing w:after="0" w:line="240" w:lineRule="auto"/>
              <w:jc w:val="center"/>
              <w:rPr>
                <w:rFonts w:ascii="Calibri" w:eastAsia="Times New Roman" w:hAnsi="Calibri" w:cs="Times New Roman"/>
                <w:b/>
                <w:bCs/>
              </w:rPr>
            </w:pPr>
            <w:r>
              <w:rPr>
                <w:rFonts w:ascii="Calibri" w:hAnsi="Calibri"/>
                <w:b/>
                <w:bCs/>
              </w:rPr>
              <w:t xml:space="preserve">OBJEKTIVI I EFIÇENCËS SË ENERGJISË PËR VITIN 2020 </w:t>
            </w:r>
          </w:p>
        </w:tc>
      </w:tr>
      <w:tr w:rsidR="00827F92" w:rsidRPr="00277F01" w14:paraId="45532DA7" w14:textId="02C6EDBE" w:rsidTr="00666537">
        <w:trPr>
          <w:trHeight w:val="412"/>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14:paraId="441E58D1" w14:textId="7F2580F4" w:rsidR="00827F92" w:rsidRPr="00666537" w:rsidRDefault="002A46DC" w:rsidP="00827F92">
            <w:pPr>
              <w:spacing w:after="0" w:line="240" w:lineRule="auto"/>
              <w:ind w:left="142"/>
              <w:rPr>
                <w:rFonts w:ascii="Calibri" w:eastAsia="Times New Roman" w:hAnsi="Calibri" w:cs="Times New Roman"/>
                <w:bCs/>
              </w:rPr>
            </w:pPr>
            <w:r>
              <w:rPr>
                <w:rFonts w:ascii="Calibri" w:hAnsi="Calibri"/>
                <w:bCs/>
              </w:rPr>
              <w:t>OBJEKTIVI I SHPREHUR NË PEJË PËR VITIN 2020</w:t>
            </w:r>
          </w:p>
          <w:p w14:paraId="5BB2A0C5" w14:textId="643E465D" w:rsidR="00827F92" w:rsidRPr="00666537" w:rsidRDefault="00827F92" w:rsidP="00827F92">
            <w:pPr>
              <w:spacing w:after="0" w:line="240" w:lineRule="auto"/>
              <w:ind w:left="142"/>
              <w:rPr>
                <w:rFonts w:ascii="Calibri" w:eastAsia="Times New Roman" w:hAnsi="Calibri" w:cs="Times New Roman"/>
                <w:bCs/>
              </w:rPr>
            </w:pPr>
            <w:r>
              <w:rPr>
                <w:rFonts w:ascii="Calibri" w:hAnsi="Calibri"/>
                <w:bCs/>
              </w:rPr>
              <w:t>[ktoe ose njësi tjetër]</w:t>
            </w:r>
          </w:p>
        </w:tc>
        <w:tc>
          <w:tcPr>
            <w:tcW w:w="2717" w:type="pct"/>
            <w:tcBorders>
              <w:top w:val="nil"/>
              <w:left w:val="nil"/>
              <w:bottom w:val="single" w:sz="4" w:space="0" w:color="auto"/>
              <w:right w:val="single" w:sz="8" w:space="0" w:color="auto"/>
            </w:tcBorders>
            <w:shd w:val="clear" w:color="auto" w:fill="auto"/>
            <w:noWrap/>
            <w:vAlign w:val="center"/>
            <w:hideMark/>
          </w:tcPr>
          <w:p w14:paraId="7EC777FD" w14:textId="7691A964" w:rsidR="00827F92" w:rsidRPr="00666537" w:rsidRDefault="00B94C65" w:rsidP="006C4256">
            <w:pPr>
              <w:spacing w:after="0" w:line="240" w:lineRule="auto"/>
              <w:jc w:val="center"/>
              <w:rPr>
                <w:rFonts w:eastAsia="Times New Roman" w:cstheme="minorHAnsi"/>
                <w:color w:val="000000"/>
              </w:rPr>
            </w:pPr>
            <w:r>
              <w:rPr>
                <w:color w:val="000000"/>
              </w:rPr>
              <w:t>2847 ktoe</w:t>
            </w:r>
          </w:p>
        </w:tc>
      </w:tr>
      <w:tr w:rsidR="00827F92" w:rsidRPr="00277F01" w14:paraId="43C6F5C3" w14:textId="71BDC894"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14:paraId="1E57B4CF" w14:textId="07434B8F" w:rsidR="00827F92" w:rsidRPr="00666537" w:rsidRDefault="002A46DC" w:rsidP="00827F92">
            <w:pPr>
              <w:spacing w:after="0" w:line="240" w:lineRule="auto"/>
              <w:ind w:left="142"/>
              <w:rPr>
                <w:rFonts w:ascii="Calibri" w:eastAsia="Times New Roman" w:hAnsi="Calibri" w:cs="Times New Roman"/>
                <w:bCs/>
              </w:rPr>
            </w:pPr>
            <w:r>
              <w:rPr>
                <w:rFonts w:ascii="Calibri" w:hAnsi="Calibri"/>
                <w:bCs/>
              </w:rPr>
              <w:t>OBJEKTIVI I SHPREHUR NË PEJË PËR VITIN 2020</w:t>
            </w:r>
          </w:p>
          <w:p w14:paraId="230B4C8A" w14:textId="25C0243F" w:rsidR="00827F92" w:rsidRPr="00666537" w:rsidRDefault="00827F92" w:rsidP="00827F92">
            <w:pPr>
              <w:spacing w:after="0" w:line="240" w:lineRule="auto"/>
              <w:ind w:left="142"/>
              <w:rPr>
                <w:rFonts w:ascii="Calibri" w:eastAsia="Times New Roman" w:hAnsi="Calibri" w:cs="Times New Roman"/>
                <w:bCs/>
              </w:rPr>
            </w:pPr>
            <w:r>
              <w:rPr>
                <w:rFonts w:ascii="Calibri" w:hAnsi="Calibri"/>
                <w:bCs/>
              </w:rPr>
              <w:t>[ktoe ose njësi tjetër]</w:t>
            </w:r>
          </w:p>
        </w:tc>
        <w:tc>
          <w:tcPr>
            <w:tcW w:w="2717" w:type="pct"/>
            <w:tcBorders>
              <w:top w:val="nil"/>
              <w:left w:val="nil"/>
              <w:bottom w:val="single" w:sz="4" w:space="0" w:color="auto"/>
              <w:right w:val="single" w:sz="8" w:space="0" w:color="auto"/>
            </w:tcBorders>
            <w:shd w:val="clear" w:color="auto" w:fill="auto"/>
            <w:noWrap/>
            <w:vAlign w:val="center"/>
            <w:hideMark/>
          </w:tcPr>
          <w:p w14:paraId="2A52C11B" w14:textId="29E9730F" w:rsidR="00827F92" w:rsidRPr="00666537" w:rsidRDefault="007C7C8F" w:rsidP="00B94C65">
            <w:pPr>
              <w:spacing w:after="0" w:line="240" w:lineRule="auto"/>
              <w:jc w:val="center"/>
              <w:rPr>
                <w:rFonts w:eastAsia="Times New Roman" w:cstheme="minorHAnsi"/>
                <w:color w:val="000000"/>
              </w:rPr>
            </w:pPr>
            <w:r>
              <w:rPr>
                <w:color w:val="000000"/>
              </w:rPr>
              <w:t>1556 ktoe</w:t>
            </w:r>
          </w:p>
        </w:tc>
      </w:tr>
      <w:tr w:rsidR="00666537" w:rsidRPr="007C7C8F" w14:paraId="6905314A"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73585934" w14:textId="77777777" w:rsidR="00666537" w:rsidRPr="00666537" w:rsidRDefault="00666537" w:rsidP="00666537">
            <w:pPr>
              <w:spacing w:after="0" w:line="240" w:lineRule="auto"/>
              <w:ind w:left="142"/>
              <w:rPr>
                <w:rFonts w:ascii="Calibri" w:eastAsia="Times New Roman" w:hAnsi="Calibri" w:cs="Times New Roman"/>
                <w:bCs/>
              </w:rPr>
            </w:pPr>
            <w:r>
              <w:rPr>
                <w:rFonts w:ascii="Calibri" w:hAnsi="Calibri"/>
                <w:bCs/>
              </w:rPr>
              <w:t xml:space="preserve">A është rishikuar objektivi në krahasim me njoftimin e mëparshëm? </w:t>
            </w:r>
          </w:p>
          <w:p w14:paraId="1398A328" w14:textId="1F632437" w:rsidR="00666537" w:rsidRPr="00666537" w:rsidRDefault="00666537" w:rsidP="00666537">
            <w:pPr>
              <w:spacing w:after="0" w:line="240" w:lineRule="auto"/>
              <w:ind w:left="142"/>
              <w:rPr>
                <w:rFonts w:ascii="Calibri" w:eastAsia="Times New Roman" w:hAnsi="Calibri" w:cs="Times New Roman"/>
                <w:bCs/>
              </w:rPr>
            </w:pPr>
            <w:r>
              <w:rPr>
                <w:rFonts w:ascii="Calibri" w:hAnsi="Calibri"/>
                <w:bCs/>
              </w:rPr>
              <w:t xml:space="preserve">[Po/Jo] </w:t>
            </w:r>
          </w:p>
        </w:tc>
        <w:tc>
          <w:tcPr>
            <w:tcW w:w="2717" w:type="pct"/>
            <w:tcBorders>
              <w:top w:val="nil"/>
              <w:left w:val="nil"/>
              <w:bottom w:val="single" w:sz="4" w:space="0" w:color="auto"/>
              <w:right w:val="single" w:sz="8" w:space="0" w:color="auto"/>
            </w:tcBorders>
            <w:shd w:val="clear" w:color="auto" w:fill="auto"/>
            <w:noWrap/>
            <w:vAlign w:val="center"/>
          </w:tcPr>
          <w:p w14:paraId="61B7F37F" w14:textId="14941960" w:rsidR="00666537" w:rsidRPr="00666537" w:rsidRDefault="00732600" w:rsidP="00666537">
            <w:pPr>
              <w:spacing w:after="0" w:line="240" w:lineRule="auto"/>
              <w:jc w:val="center"/>
              <w:rPr>
                <w:rFonts w:eastAsia="Times New Roman" w:cstheme="minorHAnsi"/>
                <w:color w:val="000000"/>
              </w:rPr>
            </w:pPr>
            <w:r>
              <w:rPr>
                <w:i/>
                <w:color w:val="000000"/>
              </w:rPr>
              <w:t xml:space="preserve">Objektivi për vitin 2021 nuk është rishikuar dhe ishte planifikuar të adresohej në PKEK 2021-2030.  </w:t>
            </w:r>
          </w:p>
        </w:tc>
      </w:tr>
      <w:tr w:rsidR="0038674C" w:rsidRPr="00666537" w14:paraId="64E24555"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38529731" w14:textId="77777777" w:rsidR="0038674C" w:rsidRDefault="00046F85" w:rsidP="00666537">
            <w:pPr>
              <w:spacing w:after="0" w:line="240" w:lineRule="auto"/>
              <w:ind w:left="142"/>
              <w:rPr>
                <w:rFonts w:ascii="Calibri" w:eastAsia="Times New Roman" w:hAnsi="Calibri" w:cs="Times New Roman"/>
                <w:bCs/>
              </w:rPr>
            </w:pPr>
            <w:r>
              <w:rPr>
                <w:rFonts w:ascii="Calibri" w:hAnsi="Calibri"/>
                <w:bCs/>
              </w:rPr>
              <w:t>A është arritur objektivi kombëtar?</w:t>
            </w:r>
          </w:p>
          <w:p w14:paraId="7F4D8F49" w14:textId="1C12BB53" w:rsidR="00046F85" w:rsidRPr="00666537" w:rsidRDefault="00046F85" w:rsidP="00666537">
            <w:pPr>
              <w:spacing w:after="0" w:line="240" w:lineRule="auto"/>
              <w:ind w:left="142"/>
              <w:rPr>
                <w:rFonts w:ascii="Calibri" w:eastAsia="Times New Roman" w:hAnsi="Calibri" w:cs="Times New Roman"/>
                <w:bCs/>
              </w:rPr>
            </w:pPr>
            <w:r>
              <w:rPr>
                <w:rFonts w:ascii="Calibri" w:hAnsi="Calibri"/>
                <w:bCs/>
              </w:rPr>
              <w:t>[Po/Jo]</w:t>
            </w:r>
          </w:p>
        </w:tc>
        <w:tc>
          <w:tcPr>
            <w:tcW w:w="2717" w:type="pct"/>
            <w:tcBorders>
              <w:top w:val="nil"/>
              <w:left w:val="nil"/>
              <w:bottom w:val="single" w:sz="4" w:space="0" w:color="auto"/>
              <w:right w:val="single" w:sz="8" w:space="0" w:color="auto"/>
            </w:tcBorders>
            <w:shd w:val="clear" w:color="auto" w:fill="auto"/>
            <w:noWrap/>
            <w:vAlign w:val="center"/>
          </w:tcPr>
          <w:p w14:paraId="5D7ECF44" w14:textId="527CCE72" w:rsidR="0038674C" w:rsidRPr="00666537" w:rsidRDefault="00B94C65" w:rsidP="00666537">
            <w:pPr>
              <w:spacing w:after="0" w:line="240" w:lineRule="auto"/>
              <w:jc w:val="center"/>
              <w:rPr>
                <w:rFonts w:eastAsia="Times New Roman" w:cstheme="minorHAnsi"/>
                <w:i/>
                <w:color w:val="000000"/>
              </w:rPr>
            </w:pPr>
            <w:r>
              <w:rPr>
                <w:i/>
                <w:color w:val="000000"/>
              </w:rPr>
              <w:t>Po</w:t>
            </w:r>
          </w:p>
        </w:tc>
      </w:tr>
      <w:tr w:rsidR="00046F85" w:rsidRPr="00277F01" w14:paraId="7C78B555"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69331A7A" w14:textId="10BE25D5" w:rsidR="00046F85" w:rsidRPr="00666537" w:rsidRDefault="00046F85" w:rsidP="00046F85">
            <w:pPr>
              <w:spacing w:after="0" w:line="240" w:lineRule="auto"/>
              <w:ind w:left="142"/>
              <w:rPr>
                <w:rFonts w:ascii="Calibri" w:eastAsia="Times New Roman" w:hAnsi="Calibri" w:cs="Times New Roman"/>
                <w:bCs/>
              </w:rPr>
            </w:pPr>
            <w:r>
              <w:rPr>
                <w:rFonts w:ascii="Calibri" w:hAnsi="Calibri"/>
                <w:bCs/>
              </w:rPr>
              <w:t>PEJË NË VITIN 2020</w:t>
            </w:r>
          </w:p>
          <w:p w14:paraId="135FEE9E" w14:textId="688BAD09" w:rsidR="00046F85" w:rsidRPr="00666537" w:rsidRDefault="00046F85" w:rsidP="00046F85">
            <w:pPr>
              <w:spacing w:after="0" w:line="240" w:lineRule="auto"/>
              <w:ind w:left="142"/>
              <w:rPr>
                <w:rFonts w:ascii="Calibri" w:eastAsia="Times New Roman" w:hAnsi="Calibri" w:cs="Times New Roman"/>
                <w:bCs/>
              </w:rPr>
            </w:pPr>
            <w:r>
              <w:rPr>
                <w:rFonts w:ascii="Calibri" w:hAnsi="Calibri"/>
                <w:bCs/>
              </w:rPr>
              <w:t>[ktoe ose njësi tjetër]</w:t>
            </w:r>
          </w:p>
        </w:tc>
        <w:tc>
          <w:tcPr>
            <w:tcW w:w="2717" w:type="pct"/>
            <w:tcBorders>
              <w:top w:val="nil"/>
              <w:left w:val="nil"/>
              <w:bottom w:val="single" w:sz="4" w:space="0" w:color="auto"/>
              <w:right w:val="single" w:sz="8" w:space="0" w:color="auto"/>
            </w:tcBorders>
            <w:shd w:val="clear" w:color="auto" w:fill="auto"/>
            <w:noWrap/>
            <w:vAlign w:val="center"/>
          </w:tcPr>
          <w:p w14:paraId="6251F033" w14:textId="79368773" w:rsidR="00046F85" w:rsidRPr="00CB4513" w:rsidRDefault="0039090F" w:rsidP="0039090F">
            <w:pPr>
              <w:spacing w:after="0" w:line="240" w:lineRule="auto"/>
              <w:jc w:val="center"/>
              <w:rPr>
                <w:rFonts w:eastAsia="Times New Roman" w:cstheme="minorHAnsi"/>
                <w:i/>
                <w:color w:val="000000"/>
              </w:rPr>
            </w:pPr>
            <w:r>
              <w:rPr>
                <w:i/>
                <w:color w:val="000000"/>
              </w:rPr>
              <w:t>2734 ktoe</w:t>
            </w:r>
          </w:p>
        </w:tc>
      </w:tr>
      <w:tr w:rsidR="00046F85" w:rsidRPr="00277F01" w14:paraId="0830A158"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517A0FA1" w14:textId="2292FF80" w:rsidR="00046F85" w:rsidRPr="00666537" w:rsidRDefault="00046F85" w:rsidP="00046F85">
            <w:pPr>
              <w:spacing w:after="0" w:line="240" w:lineRule="auto"/>
              <w:ind w:left="142"/>
              <w:rPr>
                <w:rFonts w:ascii="Calibri" w:eastAsia="Times New Roman" w:hAnsi="Calibri" w:cs="Times New Roman"/>
                <w:bCs/>
              </w:rPr>
            </w:pPr>
            <w:r>
              <w:rPr>
                <w:rFonts w:ascii="Calibri" w:hAnsi="Calibri"/>
                <w:bCs/>
              </w:rPr>
              <w:t>PEJË NË VITIN 2020</w:t>
            </w:r>
          </w:p>
          <w:p w14:paraId="1706BB1D" w14:textId="52B679C4" w:rsidR="00046F85" w:rsidRPr="00666537" w:rsidRDefault="00046F85" w:rsidP="00046F85">
            <w:pPr>
              <w:spacing w:after="0" w:line="240" w:lineRule="auto"/>
              <w:ind w:left="142"/>
              <w:rPr>
                <w:rFonts w:ascii="Calibri" w:eastAsia="Times New Roman" w:hAnsi="Calibri" w:cs="Times New Roman"/>
                <w:bCs/>
              </w:rPr>
            </w:pPr>
            <w:r>
              <w:rPr>
                <w:rFonts w:ascii="Calibri" w:hAnsi="Calibri"/>
                <w:bCs/>
              </w:rPr>
              <w:t>[ktoe ose njësi tjetër]</w:t>
            </w:r>
          </w:p>
        </w:tc>
        <w:tc>
          <w:tcPr>
            <w:tcW w:w="2717" w:type="pct"/>
            <w:tcBorders>
              <w:top w:val="nil"/>
              <w:left w:val="nil"/>
              <w:bottom w:val="single" w:sz="4" w:space="0" w:color="auto"/>
              <w:right w:val="single" w:sz="8" w:space="0" w:color="auto"/>
            </w:tcBorders>
            <w:shd w:val="clear" w:color="auto" w:fill="auto"/>
            <w:noWrap/>
            <w:vAlign w:val="center"/>
          </w:tcPr>
          <w:p w14:paraId="7844F324" w14:textId="3369ED50" w:rsidR="00046F85" w:rsidRPr="00CB4513" w:rsidRDefault="007C7C8F" w:rsidP="0039090F">
            <w:pPr>
              <w:spacing w:after="0" w:line="240" w:lineRule="auto"/>
              <w:jc w:val="center"/>
              <w:rPr>
                <w:rFonts w:eastAsia="Times New Roman" w:cstheme="minorHAnsi"/>
                <w:i/>
                <w:color w:val="000000"/>
              </w:rPr>
            </w:pPr>
            <w:r>
              <w:rPr>
                <w:i/>
                <w:color w:val="000000"/>
              </w:rPr>
              <w:t>1543 ktoe</w:t>
            </w:r>
          </w:p>
        </w:tc>
      </w:tr>
      <w:tr w:rsidR="00666537" w:rsidRPr="007C7C8F" w14:paraId="14CC6E82"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3C3C2208" w14:textId="4C1961B5" w:rsidR="00666537" w:rsidRPr="00666537" w:rsidRDefault="00046F85" w:rsidP="00046F85">
            <w:pPr>
              <w:spacing w:after="0" w:line="240" w:lineRule="auto"/>
              <w:ind w:left="142"/>
              <w:rPr>
                <w:rFonts w:ascii="Calibri" w:eastAsia="Times New Roman" w:hAnsi="Calibri" w:cs="Times New Roman"/>
                <w:b/>
                <w:bCs/>
              </w:rPr>
            </w:pPr>
            <w:r>
              <w:rPr>
                <w:rFonts w:ascii="Calibri" w:hAnsi="Calibri"/>
                <w:bCs/>
              </w:rPr>
              <w:t>Ju lutemi shpjegoni faktorët kryesorë që ndikojnë në arritjen/mosarritjen e objektivit</w:t>
            </w:r>
          </w:p>
        </w:tc>
        <w:tc>
          <w:tcPr>
            <w:tcW w:w="2717" w:type="pct"/>
            <w:tcBorders>
              <w:top w:val="nil"/>
              <w:left w:val="nil"/>
              <w:bottom w:val="single" w:sz="4" w:space="0" w:color="auto"/>
              <w:right w:val="single" w:sz="8" w:space="0" w:color="auto"/>
            </w:tcBorders>
            <w:shd w:val="clear" w:color="auto" w:fill="auto"/>
            <w:noWrap/>
            <w:vAlign w:val="center"/>
          </w:tcPr>
          <w:p w14:paraId="69F27055" w14:textId="58E05E29" w:rsidR="00666537" w:rsidRPr="00666537" w:rsidRDefault="00B61BFB" w:rsidP="00666537">
            <w:pPr>
              <w:spacing w:after="0" w:line="240" w:lineRule="auto"/>
              <w:jc w:val="center"/>
              <w:rPr>
                <w:rFonts w:eastAsia="Times New Roman" w:cstheme="minorHAnsi"/>
                <w:color w:val="000000"/>
              </w:rPr>
            </w:pPr>
            <w:r>
              <w:rPr>
                <w:color w:val="000000"/>
              </w:rPr>
              <w:t>Për shkak të mungesës së investimeve dhe krizave ekonomike (situata e krijuar nga pandemia Covid-19) nuk mund të krahasohet objektivi i arritur pasi që objektivit për vitin nuk ishte vendosur. Për këtë periudhë raportuese, kursimi i përafërt vjetor i energjisë për periudhën 2019 dhe 2020 ishte 10.21 ktoe. E njëjta trajektore është marrë edhe për vitin 2021.</w:t>
            </w:r>
          </w:p>
        </w:tc>
      </w:tr>
    </w:tbl>
    <w:p w14:paraId="2A538B91" w14:textId="5B42451D" w:rsidR="000A3E46" w:rsidRPr="009309D2" w:rsidRDefault="00AF16A5" w:rsidP="00F576C2">
      <w:pPr>
        <w:pStyle w:val="Heading1"/>
      </w:pPr>
      <w:r>
        <w:t xml:space="preserve">Përditësimet lidhur me masat kryesore për efiçiencë të energjisë </w:t>
      </w:r>
    </w:p>
    <w:p w14:paraId="1EBBFA46" w14:textId="61FC6D7B" w:rsidR="008B074D" w:rsidRDefault="005F57F0" w:rsidP="008B074D">
      <w:pPr>
        <w:spacing w:after="0" w:line="240" w:lineRule="auto"/>
        <w:jc w:val="both"/>
        <w:rPr>
          <w:rFonts w:cstheme="minorHAnsi"/>
        </w:rPr>
      </w:pPr>
      <w:r>
        <w:t xml:space="preserve">Gjatë vitit 2021, zbatimi i masave për efiçiencë të energjisë ka stagnuar për shkak të kufizimeve për shkak të COVID-it dhe reduktimit të aktiviteteve të ndërtimit.  Shumica e projekteve të planifikuara për zbatim janë shtyrë për vitin 2022 si pasojë e kufizimeve për shkak të COVID-it. Fondi për Efiçiencë të Energjisë ka filluar procedurat për zbatimin e EE në ndërtesat publike. Më shumë se 77 ndërtesa publike në nivel komune janë audituar në aspektin energjetik dhe projekti i detajuar për zbatim është përfunduar.  </w:t>
      </w:r>
    </w:p>
    <w:p w14:paraId="21C06A6F" w14:textId="77777777" w:rsidR="000A3E46" w:rsidRPr="002126A1" w:rsidRDefault="000A3E46" w:rsidP="00F576C2">
      <w:pPr>
        <w:pStyle w:val="Heading2"/>
        <w:numPr>
          <w:ilvl w:val="0"/>
          <w:numId w:val="4"/>
        </w:numPr>
        <w:spacing w:after="120"/>
        <w:ind w:left="714" w:hanging="357"/>
        <w:rPr>
          <w:b w:val="0"/>
          <w:bCs w:val="0"/>
          <w:color w:val="auto"/>
          <w:sz w:val="22"/>
          <w:szCs w:val="22"/>
        </w:rPr>
      </w:pPr>
      <w:r>
        <w:rPr>
          <w:b w:val="0"/>
          <w:bCs w:val="0"/>
          <w:color w:val="auto"/>
          <w:sz w:val="22"/>
          <w:szCs w:val="22"/>
        </w:rPr>
        <w:t>Masat legjislative</w:t>
      </w:r>
    </w:p>
    <w:p w14:paraId="7600051E" w14:textId="77777777" w:rsidR="00193F14" w:rsidRPr="00193F14" w:rsidRDefault="00193F14" w:rsidP="00193F14">
      <w:pPr>
        <w:pStyle w:val="ListParagraph"/>
        <w:numPr>
          <w:ilvl w:val="0"/>
          <w:numId w:val="4"/>
        </w:numPr>
        <w:jc w:val="both"/>
        <w:rPr>
          <w:iCs/>
        </w:rPr>
      </w:pPr>
      <w:r>
        <w:t>Lista e legjislacionit të ri primar (përditësimet e ligjit për energjinë ose efiçiencë të energjisë) dhe akteve tjera (rregulloret, urdhëresat, udhëzimet) janë cekur në tabelën e mëposhtme.</w:t>
      </w:r>
    </w:p>
    <w:p w14:paraId="10F7D78D" w14:textId="5959BFD1" w:rsidR="00B3759F" w:rsidRDefault="00B3759F" w:rsidP="000A3E46">
      <w:pPr>
        <w:jc w:val="both"/>
        <w:rPr>
          <w:iCs/>
        </w:rPr>
      </w:pPr>
      <w:r>
        <w:t xml:space="preserve">Gjatë kësaj periudhe raportuese janë miratuar dhe zbatuar aktet e mëposhtme ligjore dhe rregullatore; </w:t>
      </w:r>
    </w:p>
    <w:tbl>
      <w:tblPr>
        <w:tblW w:w="5000" w:type="pct"/>
        <w:jc w:val="center"/>
        <w:tblLayout w:type="fixed"/>
        <w:tblCellMar>
          <w:left w:w="115" w:type="dxa"/>
          <w:right w:w="115" w:type="dxa"/>
        </w:tblCellMar>
        <w:tblLook w:val="04A0" w:firstRow="1" w:lastRow="0" w:firstColumn="1" w:lastColumn="0" w:noHBand="0" w:noVBand="1"/>
      </w:tblPr>
      <w:tblGrid>
        <w:gridCol w:w="5035"/>
        <w:gridCol w:w="5035"/>
      </w:tblGrid>
      <w:tr w:rsidR="008631BE" w:rsidRPr="000B3BAC" w14:paraId="10E18AFF" w14:textId="77777777" w:rsidTr="008631BE">
        <w:trPr>
          <w:trHeight w:val="412"/>
          <w:jc w:val="center"/>
        </w:trPr>
        <w:tc>
          <w:tcPr>
            <w:tcW w:w="2500"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2819361" w14:textId="61D3DE33" w:rsidR="008631BE" w:rsidRPr="00BD3BB0" w:rsidRDefault="008631BE" w:rsidP="00BD3BB0">
            <w:pPr>
              <w:spacing w:after="0" w:line="240" w:lineRule="auto"/>
              <w:ind w:left="142"/>
              <w:jc w:val="center"/>
              <w:rPr>
                <w:rFonts w:ascii="Calibri" w:eastAsia="Times New Roman" w:hAnsi="Calibri" w:cs="Times New Roman"/>
                <w:bCs/>
                <w:sz w:val="20"/>
                <w:szCs w:val="20"/>
              </w:rPr>
            </w:pPr>
            <w:r>
              <w:rPr>
                <w:rFonts w:ascii="Calibri" w:hAnsi="Calibri"/>
                <w:bCs/>
                <w:sz w:val="20"/>
                <w:szCs w:val="20"/>
              </w:rPr>
              <w:t>MASAT LEGJISLATIVE</w:t>
            </w:r>
          </w:p>
        </w:tc>
        <w:tc>
          <w:tcPr>
            <w:tcW w:w="2500"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FFFBC23" w14:textId="2AC41AF3" w:rsidR="008631BE" w:rsidRPr="00BD3BB0" w:rsidRDefault="008631BE" w:rsidP="00BD3BB0">
            <w:pPr>
              <w:spacing w:after="0" w:line="240" w:lineRule="auto"/>
              <w:jc w:val="center"/>
              <w:rPr>
                <w:rFonts w:eastAsia="Times New Roman" w:cstheme="minorHAnsi"/>
                <w:color w:val="000000"/>
                <w:sz w:val="20"/>
                <w:szCs w:val="20"/>
              </w:rPr>
            </w:pPr>
            <w:r>
              <w:rPr>
                <w:color w:val="000000"/>
                <w:sz w:val="20"/>
                <w:szCs w:val="20"/>
              </w:rPr>
              <w:t>DATA / BURIMI I PUBLIKIMIT</w:t>
            </w:r>
          </w:p>
        </w:tc>
      </w:tr>
      <w:tr w:rsidR="00B3759F" w:rsidRPr="007C7C8F" w14:paraId="08DC1CED" w14:textId="77777777" w:rsidTr="00B3759F">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58847" w14:textId="6BE47A0F" w:rsidR="00B3759F" w:rsidRPr="00BD3BB0" w:rsidRDefault="00B3759F"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 xml:space="preserve">Udhëzimi Administrativ (ME) nr. 01/2021 për kërkesat e efiçiencës së energjisë për operatorin e sistemit të transmetimit dhe operatorin e sistemit të shpërndarjes.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9DA64" w14:textId="372B9224" w:rsidR="00B3759F" w:rsidRPr="00BD3BB0" w:rsidRDefault="001A2CC2" w:rsidP="00B3759F">
            <w:pPr>
              <w:spacing w:after="0" w:line="240" w:lineRule="auto"/>
              <w:rPr>
                <w:rFonts w:eastAsia="Times New Roman" w:cstheme="minorHAnsi"/>
                <w:color w:val="000000"/>
                <w:sz w:val="18"/>
                <w:szCs w:val="18"/>
              </w:rPr>
            </w:pPr>
            <w:hyperlink r:id="rId11" w:history="1">
              <w:r w:rsidR="00FE6FA7">
                <w:rPr>
                  <w:rStyle w:val="Hyperlink"/>
                  <w:i/>
                  <w:sz w:val="18"/>
                  <w:szCs w:val="18"/>
                </w:rPr>
                <w:t>https://me.rks-gov.net/repository/docs/UDHeZIM_ADMINISTRATIV_(ME)_NR._01_2021_PeR_KeRKESAT_E_EFI%C3%87IENCeS_Se_ENERGJISe_PeR_OPERATORIN_E_SISTEMIT_Te_TRANSMETIMIT_DHE_OPERATORIN_E_SISTEMIT_Te_S___.pdf</w:t>
              </w:r>
            </w:hyperlink>
            <w:r w:rsidR="00FE6FA7">
              <w:rPr>
                <w:i/>
                <w:color w:val="000000"/>
                <w:sz w:val="18"/>
                <w:szCs w:val="18"/>
              </w:rPr>
              <w:t xml:space="preserve"> </w:t>
            </w:r>
          </w:p>
        </w:tc>
      </w:tr>
      <w:tr w:rsidR="00B3759F" w:rsidRPr="007C7C8F" w14:paraId="0B992CF6"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ADF37" w14:textId="10CCA16B" w:rsidR="00B3759F" w:rsidRDefault="00B3759F"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lastRenderedPageBreak/>
              <w:t xml:space="preserve">Udhëzimi Administrativ (ME) nr. 02/2021 për kriteret e efiçiencës së energjisë për rregullimin e rrjetit të energjisë dhe për tarifat e rrjetit të energjisë elektrike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22383" w14:textId="15593DC5" w:rsidR="00B3759F" w:rsidRPr="00976830" w:rsidRDefault="001A2CC2" w:rsidP="00B3759F">
            <w:pPr>
              <w:spacing w:after="0" w:line="240" w:lineRule="auto"/>
              <w:rPr>
                <w:sz w:val="16"/>
                <w:szCs w:val="16"/>
              </w:rPr>
            </w:pPr>
            <w:hyperlink r:id="rId12" w:history="1">
              <w:r w:rsidR="00FE6FA7">
                <w:rPr>
                  <w:rStyle w:val="Hyperlink"/>
                  <w:i/>
                  <w:sz w:val="16"/>
                  <w:szCs w:val="16"/>
                </w:rPr>
                <w:t>https://me.rks-gov.net/repository/docs/2_UDHEZIM_ADMINISTRATIV_(ME)_NR.02_2021_PER_KRITERET_E_EFI%C3%87IENCES_SE_ENERGJISE_PER_RREGULLIMIN_E_RRJETIT_TE_ENERGJISE_DHE_PER_TARIFAT_E_RRJETIT_TE_ENERG___.pdf</w:t>
              </w:r>
            </w:hyperlink>
            <w:r w:rsidR="00FE6FA7">
              <w:rPr>
                <w:i/>
                <w:color w:val="000000"/>
                <w:sz w:val="16"/>
                <w:szCs w:val="16"/>
              </w:rPr>
              <w:t xml:space="preserve"> </w:t>
            </w:r>
          </w:p>
        </w:tc>
      </w:tr>
      <w:tr w:rsidR="00E6431D" w:rsidRPr="007C7C8F" w14:paraId="322F0FD5"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44959" w14:textId="25AC2789" w:rsidR="00E6431D" w:rsidRPr="00BD3BB0" w:rsidRDefault="00E6431D"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 xml:space="preserve">Udhëzimi Administrativ (ME) nr. 04/2021 për ndryshimin dhe plotësimin e Udhëzimit Administrativ (MZHE) nr. 03/2019 për përmbajtjen e energjisë së lëndëve djegëse të përcaktuara për përdorim fundor.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EC4C2" w14:textId="58756665" w:rsidR="00E6431D" w:rsidRPr="009D7414" w:rsidRDefault="001A2CC2" w:rsidP="00E6431D">
            <w:pPr>
              <w:spacing w:after="0" w:line="240" w:lineRule="auto"/>
              <w:rPr>
                <w:rFonts w:eastAsia="Times New Roman" w:cstheme="minorHAnsi"/>
                <w:color w:val="000000"/>
                <w:sz w:val="16"/>
                <w:szCs w:val="16"/>
              </w:rPr>
            </w:pPr>
            <w:hyperlink r:id="rId13" w:history="1">
              <w:r w:rsidR="00FE6FA7">
                <w:rPr>
                  <w:rStyle w:val="Hyperlink"/>
                  <w:i/>
                  <w:sz w:val="16"/>
                  <w:szCs w:val="16"/>
                </w:rPr>
                <w:t>https://me.rks-gov.net/repository/docs/3_UDHEZIM_ADMINISTRATIV_(ME)_NR.04_2021_PER_NDRYSHIMIN_DHE_PLOTESIMIN_E_UDHEZIMIT_ADMINISTRATIV__(MZHE)_NR._03_2019_PER_PERMBAJTJEN_ENERGJISE_SE_LENDEVE___.pdf</w:t>
              </w:r>
            </w:hyperlink>
            <w:r w:rsidR="00FE6FA7">
              <w:rPr>
                <w:i/>
                <w:color w:val="000000"/>
                <w:sz w:val="16"/>
                <w:szCs w:val="16"/>
              </w:rPr>
              <w:t xml:space="preserve"> </w:t>
            </w:r>
          </w:p>
        </w:tc>
      </w:tr>
      <w:tr w:rsidR="00E6431D" w:rsidRPr="007C7C8F" w14:paraId="273532A6"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CB986" w14:textId="1594D1BE" w:rsidR="00E6431D" w:rsidRPr="00BD3BB0" w:rsidRDefault="00E6431D"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 xml:space="preserve">Udhëzimi Administrativ (ME) nr. 05/2021 për kornizën e përgjithshme të raportimit për efiçiencën të energjisë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63893" w14:textId="093F10D0" w:rsidR="00E6431D" w:rsidRPr="009D7414" w:rsidRDefault="001A2CC2" w:rsidP="00E6431D">
            <w:pPr>
              <w:spacing w:after="0" w:line="240" w:lineRule="auto"/>
              <w:rPr>
                <w:rFonts w:eastAsia="Times New Roman" w:cstheme="minorHAnsi"/>
                <w:i/>
                <w:color w:val="000000"/>
                <w:sz w:val="16"/>
                <w:szCs w:val="16"/>
              </w:rPr>
            </w:pPr>
            <w:hyperlink r:id="rId14" w:history="1">
              <w:r w:rsidR="00FE6FA7">
                <w:rPr>
                  <w:rStyle w:val="Hyperlink"/>
                  <w:sz w:val="16"/>
                  <w:szCs w:val="16"/>
                </w:rPr>
                <w:t>https://me.rks-gov.net/repository/docs/4_UDHEZIM_ADMINISTRATIV_(ME)_Nr.05_2021_PER_KORNIZEN_E_PERGJITHSHME_TE_RAPORTIMIT_PER_EFI%C3%87IENCE_TE_ENERGJISE.pdf</w:t>
              </w:r>
            </w:hyperlink>
            <w:r w:rsidR="00FE6FA7">
              <w:rPr>
                <w:color w:val="000000"/>
                <w:sz w:val="16"/>
                <w:szCs w:val="16"/>
              </w:rPr>
              <w:t xml:space="preserve"> </w:t>
            </w:r>
          </w:p>
        </w:tc>
      </w:tr>
      <w:tr w:rsidR="00E6431D" w:rsidRPr="007C7C8F" w14:paraId="5C45F3D8"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EDE2C" w14:textId="239FBDE8" w:rsidR="00E6431D" w:rsidRPr="00BD3BB0" w:rsidRDefault="00E6431D"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Udhëzimi Administrativ (ME) nr. 06/2021 për shërbimet e energjisë (ESCO)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E37F8" w14:textId="424523E7" w:rsidR="00E6431D" w:rsidRPr="009D7414" w:rsidRDefault="001A2CC2" w:rsidP="00E6431D">
            <w:pPr>
              <w:spacing w:after="0" w:line="240" w:lineRule="auto"/>
              <w:rPr>
                <w:rFonts w:eastAsia="Times New Roman" w:cstheme="minorHAnsi"/>
                <w:i/>
                <w:color w:val="000000"/>
                <w:sz w:val="16"/>
                <w:szCs w:val="16"/>
              </w:rPr>
            </w:pPr>
            <w:hyperlink r:id="rId15" w:history="1">
              <w:r w:rsidR="00FE6FA7">
                <w:rPr>
                  <w:rStyle w:val="Hyperlink"/>
                  <w:sz w:val="16"/>
                  <w:szCs w:val="16"/>
                </w:rPr>
                <w:t>https://me.rks-gov.net/repository/docs/5_UDHEZIM_ADMINISTRATIV_(ME)_NR.06_2021_PER_SHERBIMET_E_ENERGJISE_(ESCO).pdf</w:t>
              </w:r>
            </w:hyperlink>
            <w:r w:rsidR="00FE6FA7">
              <w:rPr>
                <w:color w:val="000000"/>
                <w:sz w:val="16"/>
                <w:szCs w:val="16"/>
              </w:rPr>
              <w:t xml:space="preserve"> </w:t>
            </w:r>
          </w:p>
        </w:tc>
      </w:tr>
      <w:tr w:rsidR="00E6431D" w:rsidRPr="007C7C8F" w14:paraId="4136FA3E"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78DED" w14:textId="661DC38A" w:rsidR="00E6431D" w:rsidRPr="00BD3BB0" w:rsidRDefault="00E6431D"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 xml:space="preserve">Koncept dokumenti për rishikimin e Ligjit nr. 06/L-079 për Efiçiencë të Energjisë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CB0CA" w14:textId="34340B45" w:rsidR="00E6431D" w:rsidRPr="009D7414" w:rsidRDefault="00E6431D" w:rsidP="00E6431D">
            <w:pPr>
              <w:spacing w:after="0" w:line="240" w:lineRule="auto"/>
              <w:rPr>
                <w:rFonts w:eastAsia="Times New Roman" w:cstheme="minorHAnsi"/>
                <w:i/>
                <w:color w:val="000000"/>
                <w:sz w:val="16"/>
                <w:szCs w:val="16"/>
              </w:rPr>
            </w:pPr>
            <w:r>
              <w:rPr>
                <w:i/>
                <w:color w:val="000000"/>
                <w:sz w:val="16"/>
                <w:szCs w:val="16"/>
              </w:rPr>
              <w:t>Ka filluar procedura për përditësimin e Ligjit për efiçiencë të Energjisë</w:t>
            </w:r>
          </w:p>
        </w:tc>
      </w:tr>
      <w:tr w:rsidR="00E6431D" w:rsidRPr="007C7C8F" w14:paraId="63C8F7E3"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A525" w14:textId="26670C12" w:rsidR="00E6431D" w:rsidRPr="00BD3BB0" w:rsidRDefault="00E6431D"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 xml:space="preserve">Strategjia e Energjisë e Kosovës për periudhën 2022 – 2031 është në dispozicion si draft version dhe i është nënshtruar konsultimit publik.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F5767" w14:textId="276F3A25" w:rsidR="00E6431D" w:rsidRPr="009D7414" w:rsidRDefault="001A2CC2" w:rsidP="00E6431D">
            <w:pPr>
              <w:spacing w:after="0" w:line="240" w:lineRule="auto"/>
              <w:rPr>
                <w:rFonts w:eastAsia="Times New Roman" w:cstheme="minorHAnsi"/>
                <w:i/>
                <w:color w:val="000000"/>
                <w:sz w:val="16"/>
                <w:szCs w:val="16"/>
              </w:rPr>
            </w:pPr>
            <w:hyperlink r:id="rId16" w:history="1">
              <w:r w:rsidR="00FE6FA7">
                <w:rPr>
                  <w:rStyle w:val="Hyperlink"/>
                  <w:i/>
                  <w:sz w:val="16"/>
                  <w:szCs w:val="16"/>
                </w:rPr>
                <w:t>https://konsultimet.rks-gov.net/viewConsult.php?ConsultationID=41426</w:t>
              </w:r>
            </w:hyperlink>
            <w:r w:rsidR="00FE6FA7">
              <w:rPr>
                <w:i/>
                <w:color w:val="000000"/>
                <w:sz w:val="16"/>
                <w:szCs w:val="16"/>
              </w:rPr>
              <w:t xml:space="preserve"> </w:t>
            </w:r>
          </w:p>
        </w:tc>
      </w:tr>
      <w:tr w:rsidR="009C6105" w:rsidRPr="00071E80" w14:paraId="4CB32C17"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6F8B1" w14:textId="15B4BEF1" w:rsidR="009C6105" w:rsidRDefault="009C6105"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Plani Kombëtar i Veprimit për Efiçiencë të Energjisë për periudhën (2022-2024) është në proces të finalizimit.</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F8C39" w14:textId="294EC9A0" w:rsidR="009C6105" w:rsidRDefault="002D7EC0" w:rsidP="00E6431D">
            <w:pPr>
              <w:spacing w:after="0" w:line="240" w:lineRule="auto"/>
              <w:rPr>
                <w:rFonts w:eastAsia="Times New Roman" w:cstheme="minorHAnsi"/>
                <w:i/>
                <w:color w:val="000000"/>
                <w:sz w:val="18"/>
                <w:szCs w:val="18"/>
              </w:rPr>
            </w:pPr>
            <w:r>
              <w:rPr>
                <w:i/>
                <w:color w:val="000000"/>
                <w:sz w:val="18"/>
                <w:szCs w:val="18"/>
              </w:rPr>
              <w:t xml:space="preserve">Në procedurë të hartimit </w:t>
            </w:r>
          </w:p>
        </w:tc>
      </w:tr>
      <w:tr w:rsidR="009C6105" w:rsidRPr="00071E80" w14:paraId="49B09167"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4CF08" w14:textId="0DA20C0E" w:rsidR="009C6105" w:rsidRDefault="009C6105"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Ligji për Performancën Energjetike në Ndërtesa është rishikuar duke reflektuar ndryshimet në DPEN-në e riformuluar (</w:t>
            </w:r>
            <w:hyperlink r:id="rId17" w:history="1">
              <w:r>
                <w:rPr>
                  <w:rFonts w:ascii="Calibri" w:hAnsi="Calibri"/>
                  <w:bCs/>
                  <w:sz w:val="18"/>
                  <w:szCs w:val="18"/>
                </w:rPr>
                <w:t>Direktiva 2018/844/BE</w:t>
              </w:r>
            </w:hyperlink>
            <w:r>
              <w:rPr>
                <w:rFonts w:ascii="Calibri" w:hAnsi="Calibri"/>
                <w:bCs/>
                <w:sz w:val="18"/>
                <w:szCs w:val="18"/>
              </w:rPr>
              <w:t xml:space="preserve">) dhe paralelisht harmonizimi i akteve nënligjore përkatëse është në proces e sipër)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76669" w14:textId="34FA2654" w:rsidR="009C6105" w:rsidRDefault="002D7EC0" w:rsidP="00E6431D">
            <w:pPr>
              <w:spacing w:after="0" w:line="240" w:lineRule="auto"/>
              <w:rPr>
                <w:rFonts w:eastAsia="Times New Roman" w:cstheme="minorHAnsi"/>
                <w:i/>
                <w:color w:val="000000"/>
                <w:sz w:val="18"/>
                <w:szCs w:val="18"/>
              </w:rPr>
            </w:pPr>
            <w:r>
              <w:rPr>
                <w:i/>
                <w:color w:val="000000"/>
                <w:sz w:val="18"/>
                <w:szCs w:val="18"/>
              </w:rPr>
              <w:t>Në procedurë të hartimit</w:t>
            </w:r>
          </w:p>
        </w:tc>
      </w:tr>
      <w:tr w:rsidR="00193F14" w:rsidRPr="007C7C8F" w14:paraId="6A6AAE1B"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0F7AC" w14:textId="1AE1FD80" w:rsidR="00193F14" w:rsidRDefault="00D33770"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Hartimi i modelit dhe udhëzimeve për planet e integruara komunale për efiçiencë të energjisë dhe klimë (PKEEK)</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A5CE6" w14:textId="6BBB3892" w:rsidR="00193F14" w:rsidRPr="009D7414" w:rsidRDefault="00D33770" w:rsidP="005024CE">
            <w:pPr>
              <w:spacing w:after="0" w:line="240" w:lineRule="auto"/>
              <w:jc w:val="both"/>
              <w:rPr>
                <w:rFonts w:ascii="Calibri" w:eastAsia="Times New Roman" w:hAnsi="Calibri" w:cs="Times New Roman"/>
                <w:bCs/>
                <w:sz w:val="18"/>
                <w:szCs w:val="18"/>
              </w:rPr>
            </w:pPr>
            <w:r>
              <w:rPr>
                <w:rFonts w:ascii="Calibri" w:hAnsi="Calibri"/>
                <w:bCs/>
                <w:sz w:val="18"/>
                <w:szCs w:val="18"/>
              </w:rPr>
              <w:t>Në proces të hartimit dhe pilotimit në 6 komuna Deçan, Drenas, Ferizaj, Gjilan, Podujevë dhe Prizren.</w:t>
            </w:r>
          </w:p>
        </w:tc>
      </w:tr>
      <w:tr w:rsidR="00193F14" w:rsidRPr="00071E80" w14:paraId="736C2698"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8ED36" w14:textId="1D6BE078" w:rsidR="00193F14" w:rsidRDefault="00193F14"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Finalizimi i planit kombëtar për rritjen e numrit të ndërtesave me konsum afër zero-energji</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0F1E2" w14:textId="07FC0118" w:rsidR="00193F14" w:rsidRPr="009D7414" w:rsidRDefault="00211444" w:rsidP="00E6431D">
            <w:pPr>
              <w:spacing w:after="0" w:line="240" w:lineRule="auto"/>
              <w:rPr>
                <w:rFonts w:ascii="Calibri" w:eastAsia="Times New Roman" w:hAnsi="Calibri" w:cs="Times New Roman"/>
                <w:bCs/>
                <w:sz w:val="18"/>
                <w:szCs w:val="18"/>
              </w:rPr>
            </w:pPr>
            <w:r>
              <w:rPr>
                <w:rFonts w:ascii="Calibri" w:hAnsi="Calibri"/>
                <w:bCs/>
                <w:sz w:val="18"/>
                <w:szCs w:val="18"/>
              </w:rPr>
              <w:t xml:space="preserve">Draft </w:t>
            </w:r>
          </w:p>
        </w:tc>
      </w:tr>
      <w:tr w:rsidR="00193F14" w:rsidRPr="00071E80" w14:paraId="32C31943"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1727D" w14:textId="589F95D3" w:rsidR="00193F14" w:rsidRDefault="00193F14"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Finalizimi i udhëzimeve për vendosjen e kërkesave minimale të performancës energjetike të ndërtesave.</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1D271" w14:textId="01C20DAB" w:rsidR="00193F14" w:rsidRPr="009D7414" w:rsidRDefault="00211444" w:rsidP="00E6431D">
            <w:pPr>
              <w:spacing w:after="0" w:line="240" w:lineRule="auto"/>
              <w:rPr>
                <w:rFonts w:ascii="Calibri" w:eastAsia="Times New Roman" w:hAnsi="Calibri" w:cs="Times New Roman"/>
                <w:bCs/>
                <w:sz w:val="18"/>
                <w:szCs w:val="18"/>
              </w:rPr>
            </w:pPr>
            <w:r>
              <w:rPr>
                <w:rFonts w:ascii="Calibri" w:hAnsi="Calibri"/>
                <w:bCs/>
                <w:sz w:val="18"/>
                <w:szCs w:val="18"/>
              </w:rPr>
              <w:t>Draft</w:t>
            </w:r>
          </w:p>
        </w:tc>
      </w:tr>
      <w:tr w:rsidR="00193F14" w:rsidRPr="00071E80" w14:paraId="6632916D"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15B4B" w14:textId="5E6CB9A4" w:rsidR="00193F14" w:rsidRDefault="00D33770"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“Mekanizmat financues për promovimin e zbatimit të masave të EE-së dhe ER-së në sektorin e ndërtesave rezidenciale dhe private të Kosovës”.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81034" w14:textId="722A90CD" w:rsidR="00193F14" w:rsidRPr="009D7414" w:rsidRDefault="00211444" w:rsidP="00E6431D">
            <w:pPr>
              <w:spacing w:after="0" w:line="240" w:lineRule="auto"/>
              <w:rPr>
                <w:rFonts w:ascii="Calibri" w:eastAsia="Times New Roman" w:hAnsi="Calibri" w:cs="Times New Roman"/>
                <w:bCs/>
                <w:sz w:val="18"/>
                <w:szCs w:val="18"/>
              </w:rPr>
            </w:pPr>
            <w:r>
              <w:rPr>
                <w:rFonts w:ascii="Calibri" w:hAnsi="Calibri"/>
                <w:bCs/>
                <w:sz w:val="18"/>
                <w:szCs w:val="18"/>
              </w:rPr>
              <w:t>Draft</w:t>
            </w:r>
          </w:p>
        </w:tc>
      </w:tr>
      <w:tr w:rsidR="00193F14" w:rsidRPr="007C7C8F" w14:paraId="38252208"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58D9A" w14:textId="6D380583" w:rsidR="00D33770" w:rsidRPr="009D7414" w:rsidRDefault="00D33770" w:rsidP="005024CE">
            <w:pPr>
              <w:spacing w:after="0" w:line="240" w:lineRule="auto"/>
              <w:ind w:left="142"/>
              <w:jc w:val="both"/>
              <w:rPr>
                <w:rFonts w:ascii="Calibri" w:eastAsia="Times New Roman" w:hAnsi="Calibri" w:cs="Times New Roman"/>
                <w:bCs/>
                <w:sz w:val="18"/>
                <w:szCs w:val="18"/>
              </w:rPr>
            </w:pPr>
            <w:r>
              <w:rPr>
                <w:rFonts w:ascii="Calibri" w:hAnsi="Calibri"/>
                <w:bCs/>
                <w:sz w:val="18"/>
                <w:szCs w:val="18"/>
              </w:rPr>
              <w:t>Publikimi i “Tipologjisë dhe Performancës Energjetike të Ndërtesave të Banimit në Republikën e Kosovës”</w:t>
            </w:r>
          </w:p>
          <w:p w14:paraId="06356CB2" w14:textId="77777777" w:rsidR="00193F14" w:rsidRDefault="00193F14" w:rsidP="005024CE">
            <w:pPr>
              <w:spacing w:after="0" w:line="240" w:lineRule="auto"/>
              <w:ind w:left="142"/>
              <w:jc w:val="both"/>
              <w:rPr>
                <w:rFonts w:ascii="Calibri" w:eastAsia="Times New Roman" w:hAnsi="Calibri" w:cs="Times New Roman"/>
                <w:bCs/>
                <w:sz w:val="18"/>
                <w:szCs w:val="18"/>
                <w:lang w:val="en-GB"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7AF19" w14:textId="523F5419" w:rsidR="00193F14" w:rsidRPr="009D7414" w:rsidRDefault="00193F14" w:rsidP="00E6431D">
            <w:pPr>
              <w:spacing w:after="0" w:line="240" w:lineRule="auto"/>
              <w:rPr>
                <w:rFonts w:ascii="Calibri" w:eastAsia="Times New Roman" w:hAnsi="Calibri" w:cs="Times New Roman"/>
                <w:bCs/>
                <w:sz w:val="18"/>
                <w:szCs w:val="18"/>
                <w:lang w:val="en-GB" w:eastAsia="en-GB"/>
              </w:rPr>
            </w:pPr>
          </w:p>
        </w:tc>
      </w:tr>
    </w:tbl>
    <w:p w14:paraId="018280C6" w14:textId="0692DB23" w:rsidR="009D7414" w:rsidRDefault="009D7414" w:rsidP="000A3E46">
      <w:pPr>
        <w:jc w:val="both"/>
        <w:rPr>
          <w:i/>
          <w:color w:val="0070C0"/>
          <w:lang w:val="en-GB"/>
        </w:rPr>
      </w:pPr>
    </w:p>
    <w:p w14:paraId="764A882C" w14:textId="29470F55" w:rsidR="000A3E46" w:rsidRDefault="000A3E46" w:rsidP="00F576C2">
      <w:pPr>
        <w:pStyle w:val="Heading2"/>
        <w:numPr>
          <w:ilvl w:val="0"/>
          <w:numId w:val="4"/>
        </w:numPr>
        <w:spacing w:after="120"/>
        <w:ind w:left="714" w:hanging="357"/>
        <w:rPr>
          <w:sz w:val="24"/>
          <w:szCs w:val="24"/>
        </w:rPr>
      </w:pPr>
      <w:r>
        <w:rPr>
          <w:sz w:val="24"/>
          <w:szCs w:val="24"/>
        </w:rPr>
        <w:t>Masat jo-legjislative</w:t>
      </w:r>
    </w:p>
    <w:p w14:paraId="0C24A56C" w14:textId="7D439990" w:rsidR="00E6431D" w:rsidRDefault="00826186" w:rsidP="000A3E46">
      <w:pPr>
        <w:jc w:val="both"/>
        <w:rPr>
          <w:i/>
          <w:color w:val="0070C0"/>
        </w:rPr>
      </w:pPr>
      <w:r>
        <w:t xml:space="preserve">Në tabelën e mëposhtme janë cekur masat jo-legjislative të marra nga niveli qendror dhe lokal. </w:t>
      </w:r>
    </w:p>
    <w:tbl>
      <w:tblPr>
        <w:tblpPr w:leftFromText="180" w:rightFromText="180" w:vertAnchor="text" w:horzAnchor="margin" w:tblpY="170"/>
        <w:tblW w:w="5135" w:type="pct"/>
        <w:tblLayout w:type="fixed"/>
        <w:tblCellMar>
          <w:left w:w="115" w:type="dxa"/>
          <w:right w:w="115" w:type="dxa"/>
        </w:tblCellMar>
        <w:tblLook w:val="04A0" w:firstRow="1" w:lastRow="0" w:firstColumn="1" w:lastColumn="0" w:noHBand="0" w:noVBand="1"/>
      </w:tblPr>
      <w:tblGrid>
        <w:gridCol w:w="2512"/>
        <w:gridCol w:w="3870"/>
        <w:gridCol w:w="1173"/>
        <w:gridCol w:w="1529"/>
        <w:gridCol w:w="1258"/>
      </w:tblGrid>
      <w:tr w:rsidR="00A906C2" w:rsidRPr="007C7C8F" w14:paraId="7BE4FA50" w14:textId="77777777" w:rsidTr="00A906C2">
        <w:trPr>
          <w:trHeight w:val="412"/>
        </w:trPr>
        <w:tc>
          <w:tcPr>
            <w:tcW w:w="121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B619A86" w14:textId="77777777" w:rsidR="00F04CA1" w:rsidRPr="009A000F" w:rsidRDefault="00F04CA1" w:rsidP="00F04CA1">
            <w:pPr>
              <w:spacing w:after="0" w:line="240" w:lineRule="auto"/>
              <w:ind w:left="142"/>
              <w:jc w:val="center"/>
              <w:rPr>
                <w:rFonts w:eastAsia="Times New Roman" w:cstheme="minorHAnsi"/>
                <w:bCs/>
                <w:sz w:val="18"/>
                <w:szCs w:val="18"/>
              </w:rPr>
            </w:pPr>
            <w:r>
              <w:rPr>
                <w:bCs/>
                <w:sz w:val="18"/>
                <w:szCs w:val="18"/>
              </w:rPr>
              <w:t xml:space="preserve">EMRI I MASËS </w:t>
            </w:r>
          </w:p>
        </w:tc>
        <w:tc>
          <w:tcPr>
            <w:tcW w:w="187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A71DB59" w14:textId="77777777" w:rsidR="00F04CA1" w:rsidRPr="009A000F" w:rsidRDefault="00F04CA1" w:rsidP="00F04CA1">
            <w:pPr>
              <w:spacing w:after="0" w:line="240" w:lineRule="auto"/>
              <w:jc w:val="center"/>
              <w:rPr>
                <w:rFonts w:eastAsia="Times New Roman" w:cstheme="minorHAnsi"/>
                <w:color w:val="000000"/>
                <w:sz w:val="18"/>
                <w:szCs w:val="18"/>
              </w:rPr>
            </w:pPr>
            <w:r>
              <w:rPr>
                <w:color w:val="000000"/>
                <w:sz w:val="18"/>
                <w:szCs w:val="18"/>
              </w:rPr>
              <w:t>PËRSHKRIMI I SHKURTËR</w:t>
            </w:r>
          </w:p>
        </w:tc>
        <w:tc>
          <w:tcPr>
            <w:tcW w:w="56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F8C8E9" w14:textId="77777777" w:rsidR="00F04CA1" w:rsidRPr="009A000F" w:rsidRDefault="00F04CA1" w:rsidP="00F04CA1">
            <w:pPr>
              <w:spacing w:after="0" w:line="240" w:lineRule="auto"/>
              <w:jc w:val="center"/>
              <w:rPr>
                <w:rFonts w:eastAsia="Times New Roman" w:cstheme="minorHAnsi"/>
                <w:color w:val="000000"/>
                <w:sz w:val="18"/>
                <w:szCs w:val="18"/>
              </w:rPr>
            </w:pPr>
            <w:r>
              <w:rPr>
                <w:color w:val="000000"/>
                <w:sz w:val="18"/>
                <w:szCs w:val="18"/>
              </w:rPr>
              <w:t xml:space="preserve">PERIUDHA  </w:t>
            </w:r>
          </w:p>
          <w:p w14:paraId="4F407BD8" w14:textId="77777777" w:rsidR="00F04CA1" w:rsidRPr="009A000F" w:rsidRDefault="00F04CA1" w:rsidP="00F04CA1">
            <w:pPr>
              <w:spacing w:after="0" w:line="240" w:lineRule="auto"/>
              <w:jc w:val="center"/>
              <w:rPr>
                <w:rFonts w:eastAsia="Times New Roman" w:cstheme="minorHAnsi"/>
                <w:color w:val="000000"/>
                <w:sz w:val="18"/>
                <w:szCs w:val="18"/>
              </w:rPr>
            </w:pPr>
            <w:r>
              <w:rPr>
                <w:color w:val="000000"/>
                <w:sz w:val="18"/>
                <w:szCs w:val="18"/>
              </w:rPr>
              <w:t>ZBATUESE</w:t>
            </w:r>
          </w:p>
          <w:p w14:paraId="77DBE834" w14:textId="77777777" w:rsidR="00F04CA1" w:rsidRPr="009A000F" w:rsidRDefault="00F04CA1" w:rsidP="00F04CA1">
            <w:pPr>
              <w:spacing w:after="0" w:line="240" w:lineRule="auto"/>
              <w:jc w:val="center"/>
              <w:rPr>
                <w:rFonts w:eastAsia="Times New Roman" w:cstheme="minorHAnsi"/>
                <w:color w:val="000000"/>
                <w:sz w:val="18"/>
                <w:szCs w:val="18"/>
              </w:rPr>
            </w:pPr>
            <w:r>
              <w:rPr>
                <w:color w:val="000000"/>
                <w:sz w:val="18"/>
                <w:szCs w:val="18"/>
              </w:rPr>
              <w:t>(YYYY-YYYY)</w:t>
            </w:r>
          </w:p>
        </w:tc>
        <w:tc>
          <w:tcPr>
            <w:tcW w:w="73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6811D2" w14:textId="77777777" w:rsidR="00F04CA1" w:rsidRPr="009A000F" w:rsidRDefault="00F04CA1" w:rsidP="00633A85">
            <w:pPr>
              <w:spacing w:after="0" w:line="240" w:lineRule="auto"/>
              <w:jc w:val="center"/>
              <w:rPr>
                <w:rFonts w:eastAsia="Times New Roman" w:cstheme="minorHAnsi"/>
                <w:color w:val="000000"/>
                <w:sz w:val="18"/>
                <w:szCs w:val="18"/>
              </w:rPr>
            </w:pPr>
            <w:r>
              <w:rPr>
                <w:color w:val="000000"/>
                <w:sz w:val="18"/>
                <w:szCs w:val="18"/>
              </w:rPr>
              <w:t>KURSIMET E VLERËSUARA TË ENERGJISË NË VITIN 2020 (KTOE), REDUKTIMI I GHG-së (EKKUIVALENTI KT CO2) DHE % E KONTRIBUTIT NË OBJEKTIVIN E EE PËR VITIN 2020</w:t>
            </w:r>
          </w:p>
        </w:tc>
        <w:tc>
          <w:tcPr>
            <w:tcW w:w="608"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58073BE" w14:textId="77777777" w:rsidR="00F04CA1" w:rsidRPr="009A000F" w:rsidRDefault="00F04CA1" w:rsidP="00633A85">
            <w:pPr>
              <w:spacing w:after="0" w:line="240" w:lineRule="auto"/>
              <w:jc w:val="center"/>
              <w:rPr>
                <w:rFonts w:eastAsia="Times New Roman" w:cstheme="minorHAnsi"/>
                <w:color w:val="000000"/>
                <w:sz w:val="18"/>
                <w:szCs w:val="18"/>
              </w:rPr>
            </w:pPr>
            <w:r>
              <w:rPr>
                <w:color w:val="000000"/>
                <w:sz w:val="18"/>
                <w:szCs w:val="18"/>
              </w:rPr>
              <w:t>BURIMI KU JANË MË SHUMË DETAJE</w:t>
            </w:r>
          </w:p>
        </w:tc>
      </w:tr>
      <w:tr w:rsidR="00A906C2" w:rsidRPr="009A000F" w14:paraId="138AD50B" w14:textId="77777777" w:rsidTr="00A906C2">
        <w:trPr>
          <w:trHeight w:val="1270"/>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3DB68" w14:textId="2F1175A7" w:rsidR="00F04CA1" w:rsidRPr="009A000F" w:rsidRDefault="00E6431D" w:rsidP="005024CE">
            <w:pPr>
              <w:spacing w:after="0" w:line="240" w:lineRule="auto"/>
              <w:ind w:left="60"/>
              <w:jc w:val="both"/>
              <w:rPr>
                <w:rFonts w:eastAsia="Times New Roman" w:cstheme="minorHAnsi"/>
                <w:bCs/>
                <w:sz w:val="18"/>
                <w:szCs w:val="18"/>
              </w:rPr>
            </w:pPr>
            <w:r>
              <w:rPr>
                <w:bCs/>
                <w:sz w:val="18"/>
                <w:szCs w:val="18"/>
              </w:rPr>
              <w:lastRenderedPageBreak/>
              <w:t>Zbatimi i masave të Efiçiencës së Energjisë në ndërtesat publike në komunat në vijim; (</w:t>
            </w:r>
            <w:proofErr w:type="spellStart"/>
            <w:r>
              <w:rPr>
                <w:bCs/>
                <w:sz w:val="18"/>
                <w:szCs w:val="18"/>
              </w:rPr>
              <w:t>Obliq</w:t>
            </w:r>
            <w:proofErr w:type="spellEnd"/>
            <w:r>
              <w:rPr>
                <w:bCs/>
                <w:sz w:val="18"/>
                <w:szCs w:val="18"/>
              </w:rPr>
              <w:t xml:space="preserve">, Kamenicë, </w:t>
            </w:r>
            <w:proofErr w:type="spellStart"/>
            <w:r>
              <w:rPr>
                <w:bCs/>
                <w:sz w:val="18"/>
                <w:szCs w:val="18"/>
              </w:rPr>
              <w:t>Graçanicë</w:t>
            </w:r>
            <w:proofErr w:type="spellEnd"/>
            <w:r>
              <w:rPr>
                <w:bCs/>
                <w:sz w:val="18"/>
                <w:szCs w:val="18"/>
              </w:rPr>
              <w:t>, Pejë dhe Dragash)</w:t>
            </w:r>
          </w:p>
        </w:tc>
        <w:tc>
          <w:tcPr>
            <w:tcW w:w="1871" w:type="pct"/>
            <w:tcBorders>
              <w:top w:val="single" w:sz="4" w:space="0" w:color="auto"/>
              <w:left w:val="single" w:sz="4" w:space="0" w:color="auto"/>
              <w:bottom w:val="single" w:sz="4" w:space="0" w:color="auto"/>
              <w:right w:val="single" w:sz="4" w:space="0" w:color="auto"/>
            </w:tcBorders>
          </w:tcPr>
          <w:p w14:paraId="03E4E081" w14:textId="3602BE43" w:rsidR="00F04CA1" w:rsidRPr="009A000F" w:rsidRDefault="00C61EAA" w:rsidP="005024CE">
            <w:pPr>
              <w:spacing w:after="0" w:line="240" w:lineRule="auto"/>
              <w:ind w:left="60"/>
              <w:jc w:val="both"/>
              <w:rPr>
                <w:rFonts w:eastAsia="Times New Roman" w:cstheme="minorHAnsi"/>
                <w:sz w:val="18"/>
                <w:szCs w:val="18"/>
              </w:rPr>
            </w:pPr>
            <w:r>
              <w:rPr>
                <w:sz w:val="18"/>
                <w:szCs w:val="18"/>
              </w:rPr>
              <w:t>Zbatimi i masave të EE-së në ndërtesa që përfshin si në vijim; Termoizolimi i mbështjellësit të ndërtesës, instalimi i ngrohjes dhe izolimit efikas dhe rinovimi i ndriçimit publik rrugor me sistem ndriçimi LED etj. Kostoja totale e investimit është 0.96 mil euro.</w:t>
            </w:r>
          </w:p>
        </w:tc>
        <w:tc>
          <w:tcPr>
            <w:tcW w:w="566" w:type="pct"/>
            <w:tcBorders>
              <w:top w:val="single" w:sz="4" w:space="0" w:color="auto"/>
              <w:left w:val="single" w:sz="4" w:space="0" w:color="auto"/>
              <w:bottom w:val="single" w:sz="4" w:space="0" w:color="auto"/>
              <w:right w:val="single" w:sz="4" w:space="0" w:color="auto"/>
            </w:tcBorders>
          </w:tcPr>
          <w:p w14:paraId="3542CC75"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4BA15FF4" w14:textId="0902651E" w:rsidR="009C6105" w:rsidRPr="009A000F" w:rsidRDefault="009C6105" w:rsidP="009C6105">
            <w:pPr>
              <w:spacing w:after="0" w:line="240" w:lineRule="auto"/>
              <w:ind w:left="60"/>
              <w:rPr>
                <w:rFonts w:eastAsia="Times New Roman" w:cstheme="minorHAnsi"/>
                <w:sz w:val="18"/>
                <w:szCs w:val="18"/>
              </w:rPr>
            </w:pPr>
            <w:r>
              <w:rPr>
                <w:sz w:val="18"/>
                <w:szCs w:val="18"/>
              </w:rPr>
              <w:t>2021</w:t>
            </w:r>
          </w:p>
          <w:p w14:paraId="65683D7C" w14:textId="6B0B9D81" w:rsidR="009C6105" w:rsidRPr="009A000F" w:rsidRDefault="009C6105" w:rsidP="009C6105">
            <w:pPr>
              <w:spacing w:after="0" w:line="240" w:lineRule="auto"/>
              <w:ind w:left="60"/>
              <w:rPr>
                <w:rFonts w:eastAsia="Times New Roman" w:cstheme="minorHAnsi"/>
                <w:sz w:val="18"/>
                <w:szCs w:val="18"/>
                <w:lang w:val="en-GB" w:eastAsia="en-GB"/>
              </w:rPr>
            </w:pPr>
          </w:p>
          <w:p w14:paraId="38B38D33"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42B26A10"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7E855F6B" w14:textId="56FF5109" w:rsidR="00F04CA1" w:rsidRPr="009A000F" w:rsidRDefault="00F04CA1" w:rsidP="009C6105">
            <w:pPr>
              <w:spacing w:after="0" w:line="240" w:lineRule="auto"/>
              <w:ind w:left="60"/>
              <w:rPr>
                <w:rFonts w:eastAsia="Times New Roman" w:cstheme="minorHAnsi"/>
                <w:sz w:val="18"/>
                <w:szCs w:val="18"/>
                <w:lang w:val="en-GB" w:eastAsia="en-GB"/>
              </w:rPr>
            </w:pPr>
          </w:p>
        </w:tc>
        <w:tc>
          <w:tcPr>
            <w:tcW w:w="739" w:type="pct"/>
            <w:tcBorders>
              <w:top w:val="single" w:sz="4" w:space="0" w:color="auto"/>
              <w:left w:val="single" w:sz="4" w:space="0" w:color="auto"/>
              <w:bottom w:val="single" w:sz="4" w:space="0" w:color="auto"/>
              <w:right w:val="single" w:sz="4" w:space="0" w:color="auto"/>
            </w:tcBorders>
          </w:tcPr>
          <w:p w14:paraId="1B4B2496" w14:textId="77777777" w:rsidR="00B356E1" w:rsidRPr="009A000F" w:rsidRDefault="00B356E1" w:rsidP="009C6105">
            <w:pPr>
              <w:spacing w:after="0" w:line="240" w:lineRule="auto"/>
              <w:ind w:left="60"/>
              <w:jc w:val="center"/>
              <w:rPr>
                <w:rFonts w:eastAsia="Times New Roman" w:cstheme="minorHAnsi"/>
                <w:sz w:val="18"/>
                <w:szCs w:val="18"/>
                <w:lang w:val="en-GB" w:eastAsia="en-GB"/>
              </w:rPr>
            </w:pPr>
          </w:p>
          <w:p w14:paraId="72EA1C62" w14:textId="77777777" w:rsidR="00B356E1" w:rsidRPr="009A000F" w:rsidRDefault="00B356E1" w:rsidP="009C6105">
            <w:pPr>
              <w:spacing w:after="0" w:line="240" w:lineRule="auto"/>
              <w:ind w:left="60"/>
              <w:jc w:val="center"/>
              <w:rPr>
                <w:rFonts w:eastAsia="Times New Roman" w:cstheme="minorHAnsi"/>
                <w:sz w:val="18"/>
                <w:szCs w:val="18"/>
                <w:lang w:val="en-GB" w:eastAsia="en-GB"/>
              </w:rPr>
            </w:pPr>
          </w:p>
          <w:p w14:paraId="04AA7FD8" w14:textId="77777777" w:rsidR="00F04CA1" w:rsidRPr="009A000F" w:rsidRDefault="00B356E1" w:rsidP="009C6105">
            <w:pPr>
              <w:spacing w:after="0" w:line="240" w:lineRule="auto"/>
              <w:ind w:left="60"/>
              <w:jc w:val="center"/>
              <w:rPr>
                <w:rFonts w:eastAsia="Times New Roman" w:cstheme="minorHAnsi"/>
                <w:sz w:val="18"/>
                <w:szCs w:val="18"/>
              </w:rPr>
            </w:pPr>
            <w:r>
              <w:rPr>
                <w:sz w:val="18"/>
                <w:szCs w:val="18"/>
              </w:rPr>
              <w:t>0.17 Ktoe</w:t>
            </w:r>
          </w:p>
          <w:p w14:paraId="5DAA92AA" w14:textId="2FB191A0" w:rsidR="00B356E1" w:rsidRPr="009A000F" w:rsidRDefault="00B356E1" w:rsidP="009C6105">
            <w:pPr>
              <w:spacing w:after="0" w:line="240" w:lineRule="auto"/>
              <w:ind w:left="60"/>
              <w:jc w:val="center"/>
              <w:rPr>
                <w:rFonts w:eastAsia="Times New Roman" w:cstheme="minorHAnsi"/>
                <w:sz w:val="18"/>
                <w:szCs w:val="18"/>
                <w:lang w:val="en-GB" w:eastAsia="en-GB"/>
              </w:rPr>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97B44" w14:textId="6600B421" w:rsidR="00F04CA1" w:rsidRPr="009A000F" w:rsidRDefault="00E001B3" w:rsidP="009C6105">
            <w:pPr>
              <w:spacing w:after="0" w:line="240" w:lineRule="auto"/>
              <w:ind w:left="60"/>
              <w:jc w:val="center"/>
              <w:rPr>
                <w:rFonts w:eastAsia="Times New Roman" w:cstheme="minorHAnsi"/>
                <w:sz w:val="18"/>
                <w:szCs w:val="18"/>
              </w:rPr>
            </w:pPr>
            <w:r>
              <w:rPr>
                <w:sz w:val="18"/>
                <w:szCs w:val="18"/>
              </w:rPr>
              <w:t>-</w:t>
            </w:r>
          </w:p>
        </w:tc>
      </w:tr>
      <w:tr w:rsidR="00A906C2" w:rsidRPr="009A000F" w14:paraId="1EA37B04"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D4D7C" w14:textId="0EA9F84E" w:rsidR="00E6431D" w:rsidRPr="009A000F" w:rsidRDefault="00E6431D" w:rsidP="005024CE">
            <w:pPr>
              <w:spacing w:after="0" w:line="240" w:lineRule="auto"/>
              <w:ind w:left="60"/>
              <w:jc w:val="both"/>
              <w:rPr>
                <w:rFonts w:eastAsia="Times New Roman" w:cstheme="minorHAnsi"/>
                <w:sz w:val="18"/>
                <w:szCs w:val="18"/>
              </w:rPr>
            </w:pPr>
            <w:r>
              <w:rPr>
                <w:sz w:val="18"/>
                <w:szCs w:val="18"/>
              </w:rPr>
              <w:t>Zbatimi i masave të EE-së në ndërte</w:t>
            </w:r>
            <w:r w:rsidR="005024CE">
              <w:rPr>
                <w:sz w:val="18"/>
                <w:szCs w:val="18"/>
              </w:rPr>
              <w:t>sat e qeverisë qendrore (investitori:</w:t>
            </w:r>
            <w:r>
              <w:rPr>
                <w:sz w:val="18"/>
                <w:szCs w:val="18"/>
              </w:rPr>
              <w:t xml:space="preserve"> Ministria e Drejtësisë)</w:t>
            </w:r>
          </w:p>
        </w:tc>
        <w:tc>
          <w:tcPr>
            <w:tcW w:w="1871" w:type="pct"/>
            <w:tcBorders>
              <w:top w:val="single" w:sz="4" w:space="0" w:color="auto"/>
              <w:left w:val="single" w:sz="4" w:space="0" w:color="auto"/>
              <w:bottom w:val="single" w:sz="4" w:space="0" w:color="auto"/>
              <w:right w:val="single" w:sz="4" w:space="0" w:color="auto"/>
            </w:tcBorders>
          </w:tcPr>
          <w:p w14:paraId="50B25B1B" w14:textId="6F38E3E8" w:rsidR="00E6431D" w:rsidRPr="009A000F" w:rsidRDefault="00E6431D" w:rsidP="005024CE">
            <w:pPr>
              <w:spacing w:after="0" w:line="240" w:lineRule="auto"/>
              <w:ind w:left="60"/>
              <w:jc w:val="both"/>
              <w:rPr>
                <w:rFonts w:eastAsia="Times New Roman" w:cstheme="minorHAnsi"/>
                <w:sz w:val="18"/>
                <w:szCs w:val="18"/>
              </w:rPr>
            </w:pPr>
            <w:r>
              <w:rPr>
                <w:sz w:val="18"/>
                <w:szCs w:val="18"/>
              </w:rPr>
              <w:t>Ndërrimi i sistemit të ndriçimit të brendshëm dhe kalimi në poqe LED</w:t>
            </w:r>
            <w:r w:rsidR="005024CE">
              <w:rPr>
                <w:sz w:val="18"/>
                <w:szCs w:val="18"/>
              </w:rPr>
              <w:t>.</w:t>
            </w:r>
          </w:p>
          <w:p w14:paraId="5AE25228" w14:textId="051190BA" w:rsidR="00CB0D01" w:rsidRPr="009A000F" w:rsidRDefault="005024CE" w:rsidP="005024CE">
            <w:pPr>
              <w:spacing w:after="0" w:line="240" w:lineRule="auto"/>
              <w:ind w:left="60"/>
              <w:jc w:val="both"/>
              <w:rPr>
                <w:rFonts w:eastAsia="Times New Roman" w:cstheme="minorHAnsi"/>
                <w:sz w:val="18"/>
                <w:szCs w:val="18"/>
              </w:rPr>
            </w:pPr>
            <w:r>
              <w:rPr>
                <w:sz w:val="18"/>
                <w:szCs w:val="18"/>
              </w:rPr>
              <w:t xml:space="preserve">Investimi </w:t>
            </w:r>
            <w:r w:rsidR="00CB0D01">
              <w:rPr>
                <w:sz w:val="18"/>
                <w:szCs w:val="18"/>
              </w:rPr>
              <w:t>total është 1.08 mil. euro</w:t>
            </w:r>
          </w:p>
        </w:tc>
        <w:tc>
          <w:tcPr>
            <w:tcW w:w="566" w:type="pct"/>
            <w:tcBorders>
              <w:top w:val="single" w:sz="4" w:space="0" w:color="auto"/>
              <w:left w:val="single" w:sz="4" w:space="0" w:color="auto"/>
              <w:bottom w:val="single" w:sz="4" w:space="0" w:color="auto"/>
              <w:right w:val="single" w:sz="4" w:space="0" w:color="auto"/>
            </w:tcBorders>
          </w:tcPr>
          <w:p w14:paraId="2322C78D" w14:textId="6ED1C3E8" w:rsidR="00E6431D" w:rsidRPr="009A000F" w:rsidRDefault="009C6105" w:rsidP="009C6105">
            <w:pPr>
              <w:spacing w:after="0" w:line="240" w:lineRule="auto"/>
              <w:ind w:left="60"/>
              <w:rPr>
                <w:rFonts w:eastAsia="Times New Roman" w:cstheme="minorHAnsi"/>
                <w:sz w:val="18"/>
                <w:szCs w:val="18"/>
              </w:rPr>
            </w:pPr>
            <w:r>
              <w:rPr>
                <w:sz w:val="18"/>
                <w:szCs w:val="18"/>
              </w:rPr>
              <w:t>2021</w:t>
            </w:r>
          </w:p>
          <w:p w14:paraId="3A0B91B7"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3776A6A4" w14:textId="084E2C71" w:rsidR="009C6105" w:rsidRPr="009A000F" w:rsidRDefault="009C6105" w:rsidP="009C6105">
            <w:pPr>
              <w:spacing w:after="0" w:line="240" w:lineRule="auto"/>
              <w:ind w:left="60"/>
              <w:rPr>
                <w:rFonts w:eastAsia="Times New Roman" w:cstheme="minorHAnsi"/>
                <w:sz w:val="18"/>
                <w:szCs w:val="18"/>
                <w:lang w:val="en-GB" w:eastAsia="en-GB"/>
              </w:rPr>
            </w:pPr>
          </w:p>
        </w:tc>
        <w:tc>
          <w:tcPr>
            <w:tcW w:w="739" w:type="pct"/>
            <w:tcBorders>
              <w:top w:val="single" w:sz="4" w:space="0" w:color="auto"/>
              <w:left w:val="single" w:sz="4" w:space="0" w:color="auto"/>
              <w:bottom w:val="single" w:sz="4" w:space="0" w:color="auto"/>
              <w:right w:val="single" w:sz="4" w:space="0" w:color="auto"/>
            </w:tcBorders>
          </w:tcPr>
          <w:p w14:paraId="5DE3C0CF" w14:textId="468A3E6C" w:rsidR="00E6431D" w:rsidRPr="009A000F" w:rsidRDefault="00B356E1" w:rsidP="009C6105">
            <w:pPr>
              <w:spacing w:after="0" w:line="240" w:lineRule="auto"/>
              <w:ind w:left="60"/>
              <w:jc w:val="center"/>
              <w:rPr>
                <w:rFonts w:eastAsia="Times New Roman" w:cstheme="minorHAnsi"/>
                <w:sz w:val="18"/>
                <w:szCs w:val="18"/>
              </w:rPr>
            </w:pPr>
            <w:r>
              <w:rPr>
                <w:sz w:val="18"/>
                <w:szCs w:val="18"/>
              </w:rPr>
              <w:t>0.196 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8C03C" w14:textId="77777777" w:rsidR="00E6431D" w:rsidRPr="009A000F" w:rsidRDefault="00E6431D" w:rsidP="009C6105">
            <w:pPr>
              <w:spacing w:after="0" w:line="240" w:lineRule="auto"/>
              <w:ind w:left="60"/>
              <w:jc w:val="center"/>
              <w:rPr>
                <w:rFonts w:eastAsia="Times New Roman" w:cstheme="minorHAnsi"/>
                <w:color w:val="000000"/>
                <w:sz w:val="18"/>
                <w:szCs w:val="18"/>
                <w:lang w:val="en-GB" w:eastAsia="en-GB"/>
              </w:rPr>
            </w:pPr>
          </w:p>
        </w:tc>
      </w:tr>
      <w:tr w:rsidR="00A906C2" w:rsidRPr="009A000F" w14:paraId="6E181F31" w14:textId="77777777" w:rsidTr="00A906C2">
        <w:trPr>
          <w:trHeight w:val="179"/>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30B4B" w14:textId="2A10BA98" w:rsidR="00E6431D" w:rsidRPr="009A000F" w:rsidRDefault="00E6431D" w:rsidP="005024CE">
            <w:pPr>
              <w:spacing w:after="0" w:line="240" w:lineRule="auto"/>
              <w:ind w:left="60"/>
              <w:jc w:val="both"/>
              <w:rPr>
                <w:rFonts w:eastAsia="Times New Roman" w:cstheme="minorHAnsi"/>
                <w:sz w:val="18"/>
                <w:szCs w:val="18"/>
              </w:rPr>
            </w:pPr>
            <w:r>
              <w:rPr>
                <w:sz w:val="18"/>
                <w:szCs w:val="18"/>
              </w:rPr>
              <w:t xml:space="preserve">Zbatimi i masave të EE-së </w:t>
            </w:r>
            <w:r w:rsidR="005024CE">
              <w:rPr>
                <w:sz w:val="18"/>
                <w:szCs w:val="18"/>
              </w:rPr>
              <w:t>në sektorin e bujqësisë (investitori</w:t>
            </w:r>
            <w:r w:rsidR="005024CE">
              <w:rPr>
                <w:sz w:val="18"/>
                <w:szCs w:val="18"/>
                <w:lang w:val="en-US"/>
              </w:rPr>
              <w:t>:</w:t>
            </w:r>
            <w:r>
              <w:rPr>
                <w:sz w:val="18"/>
                <w:szCs w:val="18"/>
              </w:rPr>
              <w:t xml:space="preserve"> Ministria e Bujqësisë)</w:t>
            </w:r>
          </w:p>
        </w:tc>
        <w:tc>
          <w:tcPr>
            <w:tcW w:w="1871" w:type="pct"/>
            <w:tcBorders>
              <w:top w:val="single" w:sz="4" w:space="0" w:color="auto"/>
              <w:left w:val="single" w:sz="4" w:space="0" w:color="auto"/>
              <w:bottom w:val="single" w:sz="4" w:space="0" w:color="auto"/>
              <w:right w:val="single" w:sz="4" w:space="0" w:color="auto"/>
            </w:tcBorders>
          </w:tcPr>
          <w:p w14:paraId="6FC4F09E" w14:textId="5FAFC71B" w:rsidR="00E6431D" w:rsidRPr="009A000F" w:rsidRDefault="00E6431D" w:rsidP="005024CE">
            <w:pPr>
              <w:spacing w:after="0" w:line="240" w:lineRule="auto"/>
              <w:ind w:left="60"/>
              <w:jc w:val="both"/>
              <w:rPr>
                <w:rFonts w:eastAsia="Times New Roman" w:cstheme="minorHAnsi"/>
                <w:sz w:val="18"/>
                <w:szCs w:val="18"/>
              </w:rPr>
            </w:pPr>
            <w:r>
              <w:rPr>
                <w:sz w:val="18"/>
                <w:szCs w:val="18"/>
              </w:rPr>
              <w:t>Zbatimi i masave të EE-së në sektorin e bujqësisë përmes Programit për Zhvillim Rural 2014-2021. Investimi total është 4.4 mil/ euro.</w:t>
            </w:r>
          </w:p>
        </w:tc>
        <w:tc>
          <w:tcPr>
            <w:tcW w:w="566" w:type="pct"/>
            <w:tcBorders>
              <w:top w:val="single" w:sz="4" w:space="0" w:color="auto"/>
              <w:left w:val="single" w:sz="4" w:space="0" w:color="auto"/>
              <w:bottom w:val="single" w:sz="4" w:space="0" w:color="auto"/>
              <w:right w:val="single" w:sz="4" w:space="0" w:color="auto"/>
            </w:tcBorders>
          </w:tcPr>
          <w:p w14:paraId="558C3990" w14:textId="2D5E8D37" w:rsidR="00E6431D" w:rsidRPr="009A000F" w:rsidRDefault="009C6105" w:rsidP="009C6105">
            <w:pPr>
              <w:spacing w:after="0" w:line="240" w:lineRule="auto"/>
              <w:ind w:left="60"/>
              <w:rPr>
                <w:rFonts w:eastAsia="Times New Roman" w:cstheme="minorHAnsi"/>
                <w:sz w:val="18"/>
                <w:szCs w:val="18"/>
              </w:rPr>
            </w:pPr>
            <w:r>
              <w:rPr>
                <w:sz w:val="18"/>
                <w:szCs w:val="18"/>
              </w:rPr>
              <w:t>2021</w:t>
            </w:r>
          </w:p>
          <w:p w14:paraId="4CFC2AFC"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5B4349CA"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714FDC53" w14:textId="71DA357F" w:rsidR="009C6105" w:rsidRPr="009A000F" w:rsidRDefault="009C6105" w:rsidP="009C6105">
            <w:pPr>
              <w:spacing w:after="0" w:line="240" w:lineRule="auto"/>
              <w:ind w:left="60"/>
              <w:rPr>
                <w:rFonts w:eastAsia="Times New Roman" w:cstheme="minorHAnsi"/>
                <w:sz w:val="18"/>
                <w:szCs w:val="18"/>
                <w:lang w:val="en-GB" w:eastAsia="en-GB"/>
              </w:rPr>
            </w:pPr>
          </w:p>
        </w:tc>
        <w:tc>
          <w:tcPr>
            <w:tcW w:w="739" w:type="pct"/>
            <w:tcBorders>
              <w:top w:val="single" w:sz="4" w:space="0" w:color="auto"/>
              <w:left w:val="single" w:sz="4" w:space="0" w:color="auto"/>
              <w:bottom w:val="single" w:sz="4" w:space="0" w:color="auto"/>
              <w:right w:val="single" w:sz="4" w:space="0" w:color="auto"/>
            </w:tcBorders>
          </w:tcPr>
          <w:p w14:paraId="1FC45C5B" w14:textId="041A7997" w:rsidR="00E6431D" w:rsidRPr="009A000F" w:rsidRDefault="00B356E1" w:rsidP="009C6105">
            <w:pPr>
              <w:spacing w:after="0" w:line="240" w:lineRule="auto"/>
              <w:ind w:left="60"/>
              <w:jc w:val="center"/>
              <w:rPr>
                <w:rFonts w:eastAsia="Times New Roman" w:cstheme="minorHAnsi"/>
                <w:sz w:val="18"/>
                <w:szCs w:val="18"/>
              </w:rPr>
            </w:pPr>
            <w:r>
              <w:rPr>
                <w:sz w:val="18"/>
                <w:szCs w:val="18"/>
              </w:rPr>
              <w:t>0.8 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7E0CE" w14:textId="77777777" w:rsidR="00E6431D" w:rsidRPr="009A000F" w:rsidRDefault="00E6431D" w:rsidP="009C6105">
            <w:pPr>
              <w:spacing w:after="0" w:line="240" w:lineRule="auto"/>
              <w:ind w:left="60"/>
              <w:jc w:val="center"/>
              <w:rPr>
                <w:rFonts w:eastAsia="Times New Roman" w:cstheme="minorHAnsi"/>
                <w:color w:val="000000"/>
                <w:sz w:val="18"/>
                <w:szCs w:val="18"/>
                <w:lang w:val="en-GB" w:eastAsia="en-GB"/>
              </w:rPr>
            </w:pPr>
          </w:p>
        </w:tc>
      </w:tr>
      <w:tr w:rsidR="00A906C2" w:rsidRPr="009A000F" w14:paraId="08C925F3"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18B45" w14:textId="0A52C1E9" w:rsidR="00E6431D" w:rsidRPr="009A000F" w:rsidRDefault="00E6431D" w:rsidP="005024CE">
            <w:pPr>
              <w:spacing w:after="0" w:line="240" w:lineRule="auto"/>
              <w:ind w:left="60"/>
              <w:jc w:val="both"/>
              <w:rPr>
                <w:rFonts w:eastAsia="Times New Roman" w:cstheme="minorHAnsi"/>
                <w:color w:val="000000"/>
                <w:sz w:val="18"/>
                <w:szCs w:val="18"/>
              </w:rPr>
            </w:pPr>
            <w:r>
              <w:rPr>
                <w:color w:val="000000"/>
                <w:sz w:val="18"/>
                <w:szCs w:val="18"/>
              </w:rPr>
              <w:t xml:space="preserve">Zbatimi i masave të EE-së në ndërtesat publike përmes Programit të Kosovës për Efiçiencë të Energjisë dhe Energjisë së </w:t>
            </w:r>
            <w:r w:rsidR="005024CE">
              <w:rPr>
                <w:color w:val="000000"/>
                <w:sz w:val="18"/>
                <w:szCs w:val="18"/>
              </w:rPr>
              <w:t>Ripërtëritshme, KEEREP, (investitori:</w:t>
            </w:r>
            <w:r>
              <w:rPr>
                <w:color w:val="000000"/>
                <w:sz w:val="18"/>
                <w:szCs w:val="18"/>
              </w:rPr>
              <w:t xml:space="preserve"> Banka Botërore)</w:t>
            </w:r>
          </w:p>
        </w:tc>
        <w:tc>
          <w:tcPr>
            <w:tcW w:w="1871" w:type="pct"/>
            <w:tcBorders>
              <w:top w:val="single" w:sz="4" w:space="0" w:color="auto"/>
              <w:left w:val="single" w:sz="4" w:space="0" w:color="auto"/>
              <w:bottom w:val="single" w:sz="4" w:space="0" w:color="auto"/>
              <w:right w:val="single" w:sz="4" w:space="0" w:color="auto"/>
            </w:tcBorders>
          </w:tcPr>
          <w:p w14:paraId="54F8A244" w14:textId="4D0A13D0" w:rsidR="00E6431D" w:rsidRPr="009A000F" w:rsidRDefault="00B96EFC" w:rsidP="005024CE">
            <w:pPr>
              <w:spacing w:after="0" w:line="240" w:lineRule="auto"/>
              <w:ind w:left="60"/>
              <w:jc w:val="both"/>
              <w:rPr>
                <w:rFonts w:eastAsia="Times New Roman" w:cstheme="minorHAnsi"/>
                <w:color w:val="000000"/>
                <w:sz w:val="18"/>
                <w:szCs w:val="18"/>
              </w:rPr>
            </w:pPr>
            <w:r>
              <w:rPr>
                <w:color w:val="000000"/>
                <w:sz w:val="18"/>
                <w:szCs w:val="18"/>
              </w:rPr>
              <w:t>Zbatimi i masave të EE-së në ndërtesat publike që përfshi si në vijim; Termoizolimi i mbështjellësit të ndërtesës, vendosja e ngrohjes dhe ftohjes efikase, ndërrimi i ndriçimit të brendshëm etj. Investimi total është 1,365,624 mil. euro.</w:t>
            </w:r>
          </w:p>
        </w:tc>
        <w:tc>
          <w:tcPr>
            <w:tcW w:w="566" w:type="pct"/>
            <w:tcBorders>
              <w:top w:val="single" w:sz="4" w:space="0" w:color="auto"/>
              <w:left w:val="single" w:sz="4" w:space="0" w:color="auto"/>
              <w:bottom w:val="single" w:sz="4" w:space="0" w:color="auto"/>
              <w:right w:val="single" w:sz="4" w:space="0" w:color="auto"/>
            </w:tcBorders>
          </w:tcPr>
          <w:p w14:paraId="2D1B647B" w14:textId="769B4E20" w:rsidR="00E6431D" w:rsidRPr="009A000F" w:rsidRDefault="009C6105" w:rsidP="009C6105">
            <w:pPr>
              <w:spacing w:after="0" w:line="240" w:lineRule="auto"/>
              <w:ind w:left="60"/>
              <w:rPr>
                <w:rFonts w:eastAsia="Times New Roman" w:cstheme="minorHAnsi"/>
                <w:color w:val="000000"/>
                <w:sz w:val="18"/>
                <w:szCs w:val="18"/>
              </w:rPr>
            </w:pPr>
            <w:r>
              <w:rPr>
                <w:color w:val="000000"/>
                <w:sz w:val="18"/>
                <w:szCs w:val="18"/>
              </w:rPr>
              <w:t>2021</w:t>
            </w:r>
          </w:p>
          <w:p w14:paraId="6A6CB62E" w14:textId="77777777" w:rsidR="009C6105" w:rsidRPr="009A000F" w:rsidRDefault="009C6105" w:rsidP="009C6105">
            <w:pPr>
              <w:spacing w:after="0" w:line="240" w:lineRule="auto"/>
              <w:ind w:left="60"/>
              <w:rPr>
                <w:rFonts w:eastAsia="Times New Roman" w:cstheme="minorHAnsi"/>
                <w:color w:val="000000"/>
                <w:sz w:val="18"/>
                <w:szCs w:val="18"/>
                <w:lang w:val="en-GB" w:eastAsia="en-GB"/>
              </w:rPr>
            </w:pPr>
          </w:p>
          <w:p w14:paraId="6176007D" w14:textId="3F72AB1E" w:rsidR="009C6105" w:rsidRPr="009A000F" w:rsidRDefault="009C6105" w:rsidP="009C6105">
            <w:pPr>
              <w:spacing w:after="0" w:line="240" w:lineRule="auto"/>
              <w:ind w:left="60"/>
              <w:rPr>
                <w:rFonts w:eastAsia="Times New Roman" w:cstheme="minorHAnsi"/>
                <w:i/>
                <w:color w:val="000000"/>
                <w:sz w:val="18"/>
                <w:szCs w:val="18"/>
                <w:lang w:val="en-GB" w:eastAsia="en-GB"/>
              </w:rPr>
            </w:pPr>
          </w:p>
        </w:tc>
        <w:tc>
          <w:tcPr>
            <w:tcW w:w="739" w:type="pct"/>
            <w:tcBorders>
              <w:top w:val="single" w:sz="4" w:space="0" w:color="auto"/>
              <w:left w:val="single" w:sz="4" w:space="0" w:color="auto"/>
              <w:bottom w:val="single" w:sz="4" w:space="0" w:color="auto"/>
              <w:right w:val="single" w:sz="4" w:space="0" w:color="auto"/>
            </w:tcBorders>
          </w:tcPr>
          <w:p w14:paraId="06FDA9EF" w14:textId="7A331061" w:rsidR="00E6431D" w:rsidRPr="009A000F" w:rsidRDefault="00B356E1" w:rsidP="009C6105">
            <w:pPr>
              <w:spacing w:after="0" w:line="240" w:lineRule="auto"/>
              <w:ind w:left="60"/>
              <w:jc w:val="center"/>
              <w:rPr>
                <w:rFonts w:eastAsia="Times New Roman" w:cstheme="minorHAnsi"/>
                <w:i/>
                <w:color w:val="000000"/>
                <w:sz w:val="18"/>
                <w:szCs w:val="18"/>
              </w:rPr>
            </w:pPr>
            <w:r>
              <w:rPr>
                <w:i/>
                <w:color w:val="000000"/>
                <w:sz w:val="18"/>
                <w:szCs w:val="18"/>
              </w:rPr>
              <w:t>0.25 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CE63A" w14:textId="77777777" w:rsidR="00E6431D" w:rsidRPr="009A000F" w:rsidRDefault="00E6431D" w:rsidP="009C6105">
            <w:pPr>
              <w:spacing w:after="0" w:line="240" w:lineRule="auto"/>
              <w:ind w:left="60"/>
              <w:jc w:val="center"/>
              <w:rPr>
                <w:rFonts w:eastAsia="Times New Roman" w:cstheme="minorHAnsi"/>
                <w:i/>
                <w:color w:val="000000"/>
                <w:sz w:val="18"/>
                <w:szCs w:val="18"/>
                <w:lang w:val="en-GB" w:eastAsia="en-GB"/>
              </w:rPr>
            </w:pPr>
          </w:p>
        </w:tc>
      </w:tr>
      <w:tr w:rsidR="00A906C2" w:rsidRPr="009A000F" w14:paraId="30DB61E0"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19DD1" w14:textId="55BE993D" w:rsidR="00E6431D" w:rsidRPr="009A000F" w:rsidRDefault="00E6431D" w:rsidP="005024CE">
            <w:pPr>
              <w:spacing w:after="0" w:line="240" w:lineRule="auto"/>
              <w:ind w:left="60"/>
              <w:jc w:val="both"/>
              <w:rPr>
                <w:rFonts w:eastAsia="Times New Roman" w:cstheme="minorHAnsi"/>
                <w:color w:val="000000"/>
                <w:sz w:val="18"/>
                <w:szCs w:val="18"/>
              </w:rPr>
            </w:pPr>
            <w:r>
              <w:rPr>
                <w:color w:val="000000"/>
                <w:sz w:val="18"/>
                <w:szCs w:val="18"/>
              </w:rPr>
              <w:t xml:space="preserve">Zbatimi i masave të EE-së në ndërtesat publike përmes Fondit të Kosovës për Efiçiencë të Energjisë </w:t>
            </w:r>
          </w:p>
        </w:tc>
        <w:tc>
          <w:tcPr>
            <w:tcW w:w="1871" w:type="pct"/>
            <w:tcBorders>
              <w:top w:val="single" w:sz="4" w:space="0" w:color="auto"/>
              <w:left w:val="single" w:sz="4" w:space="0" w:color="auto"/>
              <w:bottom w:val="single" w:sz="4" w:space="0" w:color="auto"/>
              <w:right w:val="single" w:sz="4" w:space="0" w:color="auto"/>
            </w:tcBorders>
          </w:tcPr>
          <w:p w14:paraId="7197EBBC" w14:textId="77777777" w:rsidR="00CB0D01" w:rsidRPr="009A000F" w:rsidRDefault="00E6431D" w:rsidP="005024CE">
            <w:pPr>
              <w:spacing w:after="0" w:line="240" w:lineRule="auto"/>
              <w:jc w:val="both"/>
              <w:rPr>
                <w:rFonts w:eastAsia="Times New Roman" w:cstheme="minorHAnsi"/>
                <w:color w:val="000000"/>
                <w:sz w:val="18"/>
                <w:szCs w:val="18"/>
              </w:rPr>
            </w:pPr>
            <w:r>
              <w:rPr>
                <w:color w:val="000000"/>
                <w:sz w:val="18"/>
                <w:szCs w:val="18"/>
              </w:rPr>
              <w:t xml:space="preserve">Zbatimi i masave të EE-së në ndërtesat publike është në fazën e implementimit dhe nuk mund të vlerësohet asnjë kursim pasi që projekti është në implementim e sipër. </w:t>
            </w:r>
          </w:p>
          <w:p w14:paraId="49D019CA" w14:textId="2249EE14" w:rsidR="00E6431D" w:rsidRPr="009A000F" w:rsidRDefault="00CB0D01" w:rsidP="005024CE">
            <w:pPr>
              <w:spacing w:after="0" w:line="240" w:lineRule="auto"/>
              <w:jc w:val="both"/>
              <w:rPr>
                <w:rFonts w:eastAsia="Times New Roman" w:cstheme="minorHAnsi"/>
                <w:color w:val="000000"/>
                <w:sz w:val="18"/>
                <w:szCs w:val="18"/>
              </w:rPr>
            </w:pPr>
            <w:r>
              <w:rPr>
                <w:color w:val="000000"/>
                <w:sz w:val="18"/>
                <w:szCs w:val="18"/>
              </w:rPr>
              <w:t xml:space="preserve">Investimi total për periudhën raportuese është: 5.06 mil. euro. </w:t>
            </w:r>
          </w:p>
        </w:tc>
        <w:tc>
          <w:tcPr>
            <w:tcW w:w="566" w:type="pct"/>
            <w:tcBorders>
              <w:top w:val="single" w:sz="4" w:space="0" w:color="auto"/>
              <w:left w:val="single" w:sz="4" w:space="0" w:color="auto"/>
              <w:bottom w:val="single" w:sz="4" w:space="0" w:color="auto"/>
              <w:right w:val="single" w:sz="4" w:space="0" w:color="auto"/>
            </w:tcBorders>
          </w:tcPr>
          <w:p w14:paraId="4F7A436F" w14:textId="64604BA7" w:rsidR="00E6431D" w:rsidRPr="009A000F" w:rsidRDefault="009C6105" w:rsidP="00E6431D">
            <w:pPr>
              <w:spacing w:after="0" w:line="240" w:lineRule="auto"/>
              <w:rPr>
                <w:rFonts w:eastAsia="Times New Roman" w:cstheme="minorHAnsi"/>
                <w:i/>
                <w:color w:val="000000"/>
                <w:sz w:val="18"/>
                <w:szCs w:val="18"/>
              </w:rPr>
            </w:pPr>
            <w:r>
              <w:rPr>
                <w:color w:val="000000"/>
                <w:sz w:val="18"/>
                <w:szCs w:val="18"/>
              </w:rPr>
              <w:t>2021</w:t>
            </w:r>
          </w:p>
        </w:tc>
        <w:tc>
          <w:tcPr>
            <w:tcW w:w="739" w:type="pct"/>
            <w:tcBorders>
              <w:top w:val="single" w:sz="4" w:space="0" w:color="auto"/>
              <w:left w:val="single" w:sz="4" w:space="0" w:color="auto"/>
              <w:bottom w:val="single" w:sz="4" w:space="0" w:color="auto"/>
              <w:right w:val="single" w:sz="4" w:space="0" w:color="auto"/>
            </w:tcBorders>
          </w:tcPr>
          <w:p w14:paraId="15DA72B2" w14:textId="77777777" w:rsidR="00DE2C85" w:rsidRPr="009A000F" w:rsidRDefault="00DE2C85" w:rsidP="00E6431D">
            <w:pPr>
              <w:spacing w:after="0" w:line="240" w:lineRule="auto"/>
              <w:jc w:val="center"/>
              <w:rPr>
                <w:rFonts w:eastAsia="Times New Roman" w:cstheme="minorHAnsi"/>
                <w:i/>
                <w:color w:val="000000"/>
                <w:sz w:val="18"/>
                <w:szCs w:val="18"/>
                <w:highlight w:val="yellow"/>
                <w:lang w:val="en-GB" w:eastAsia="en-GB"/>
              </w:rPr>
            </w:pPr>
          </w:p>
          <w:p w14:paraId="2079C621" w14:textId="1E49F220" w:rsidR="00E6431D" w:rsidRPr="009A000F" w:rsidRDefault="00B356E1" w:rsidP="00E6431D">
            <w:pPr>
              <w:spacing w:after="0" w:line="240" w:lineRule="auto"/>
              <w:jc w:val="center"/>
              <w:rPr>
                <w:rFonts w:eastAsia="Times New Roman" w:cstheme="minorHAnsi"/>
                <w:i/>
                <w:color w:val="000000"/>
                <w:sz w:val="18"/>
                <w:szCs w:val="18"/>
              </w:rPr>
            </w:pPr>
            <w:r>
              <w:rPr>
                <w:i/>
                <w:color w:val="000000"/>
                <w:sz w:val="18"/>
                <w:szCs w:val="18"/>
              </w:rPr>
              <w:t>0,92 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29A6E" w14:textId="77777777" w:rsidR="00E6431D" w:rsidRPr="009A000F" w:rsidRDefault="00E6431D" w:rsidP="00E6431D">
            <w:pPr>
              <w:spacing w:after="0" w:line="240" w:lineRule="auto"/>
              <w:jc w:val="center"/>
              <w:rPr>
                <w:rFonts w:eastAsia="Times New Roman" w:cstheme="minorHAnsi"/>
                <w:i/>
                <w:color w:val="000000"/>
                <w:sz w:val="18"/>
                <w:szCs w:val="18"/>
                <w:lang w:val="en-GB" w:eastAsia="en-GB"/>
              </w:rPr>
            </w:pPr>
          </w:p>
        </w:tc>
      </w:tr>
      <w:tr w:rsidR="00A906C2" w:rsidRPr="009A000F" w14:paraId="0486656D"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DC577" w14:textId="2ECCCE28" w:rsidR="002F2AC5" w:rsidRPr="009A000F" w:rsidRDefault="002F2AC5" w:rsidP="005024CE">
            <w:pPr>
              <w:pStyle w:val="Caption"/>
              <w:spacing w:line="240" w:lineRule="auto"/>
              <w:ind w:left="0"/>
              <w:jc w:val="both"/>
              <w:rPr>
                <w:rFonts w:asciiTheme="minorHAnsi" w:hAnsiTheme="minorHAnsi" w:cstheme="minorHAnsi"/>
                <w:b w:val="0"/>
                <w:bCs w:val="0"/>
                <w:color w:val="000000"/>
                <w:sz w:val="18"/>
                <w:szCs w:val="18"/>
              </w:rPr>
            </w:pPr>
            <w:r>
              <w:rPr>
                <w:rFonts w:asciiTheme="minorHAnsi" w:hAnsiTheme="minorHAnsi"/>
                <w:b w:val="0"/>
                <w:bCs w:val="0"/>
                <w:color w:val="000000"/>
                <w:sz w:val="18"/>
                <w:szCs w:val="18"/>
              </w:rPr>
              <w:t xml:space="preserve">Mekanizmi i BERZH-it për Financimin e Ekonomisë së Gjelbër (GEFF) ka vazhduar mbështetjen e NVM-ve përmes institucioneve mikrofinanciare gjatë vitit 2021. </w:t>
            </w:r>
          </w:p>
          <w:p w14:paraId="77B0A91B" w14:textId="77777777" w:rsidR="002F2AC5" w:rsidRPr="009A000F" w:rsidRDefault="002F2AC5" w:rsidP="005024CE">
            <w:pPr>
              <w:spacing w:after="0" w:line="240" w:lineRule="auto"/>
              <w:ind w:left="142"/>
              <w:jc w:val="both"/>
              <w:rPr>
                <w:rFonts w:eastAsia="Times New Roman" w:cstheme="minorHAnsi"/>
                <w:color w:val="000000"/>
                <w:sz w:val="18"/>
                <w:szCs w:val="18"/>
                <w:lang w:val="en-GB" w:eastAsia="en-GB"/>
              </w:rPr>
            </w:pPr>
          </w:p>
        </w:tc>
        <w:tc>
          <w:tcPr>
            <w:tcW w:w="1871" w:type="pct"/>
            <w:tcBorders>
              <w:top w:val="single" w:sz="4" w:space="0" w:color="auto"/>
              <w:left w:val="single" w:sz="4" w:space="0" w:color="auto"/>
              <w:bottom w:val="single" w:sz="4" w:space="0" w:color="auto"/>
              <w:right w:val="single" w:sz="4" w:space="0" w:color="auto"/>
            </w:tcBorders>
          </w:tcPr>
          <w:p w14:paraId="4F54731C" w14:textId="59D7BA27" w:rsidR="002F2AC5" w:rsidRPr="009A000F" w:rsidRDefault="002F2AC5" w:rsidP="005024CE">
            <w:pPr>
              <w:spacing w:after="0" w:line="240" w:lineRule="auto"/>
              <w:jc w:val="both"/>
              <w:rPr>
                <w:rFonts w:eastAsia="Times New Roman" w:cstheme="minorHAnsi"/>
                <w:color w:val="000000"/>
                <w:sz w:val="18"/>
                <w:szCs w:val="18"/>
              </w:rPr>
            </w:pPr>
            <w:r>
              <w:rPr>
                <w:bCs/>
                <w:color w:val="000000"/>
                <w:sz w:val="18"/>
                <w:szCs w:val="18"/>
              </w:rPr>
              <w:t>GEFF siguron financime për investime në ekonomi të gjelbër në sektorin privat si dhe për NVM-të për të zbatuar efiçiencën e energjisë dhe produktet dhe shërbimet e energjisë së ripërtëritshme.</w:t>
            </w:r>
          </w:p>
        </w:tc>
        <w:tc>
          <w:tcPr>
            <w:tcW w:w="566" w:type="pct"/>
            <w:tcBorders>
              <w:top w:val="single" w:sz="4" w:space="0" w:color="auto"/>
              <w:left w:val="single" w:sz="4" w:space="0" w:color="auto"/>
              <w:bottom w:val="single" w:sz="4" w:space="0" w:color="auto"/>
              <w:right w:val="single" w:sz="4" w:space="0" w:color="auto"/>
            </w:tcBorders>
          </w:tcPr>
          <w:p w14:paraId="75D0CE36" w14:textId="27BDE55A" w:rsidR="002F2AC5" w:rsidRPr="009A000F" w:rsidRDefault="002F2AC5" w:rsidP="00E6431D">
            <w:pPr>
              <w:spacing w:after="0" w:line="240" w:lineRule="auto"/>
              <w:rPr>
                <w:rFonts w:eastAsia="Times New Roman" w:cstheme="minorHAnsi"/>
                <w:color w:val="000000"/>
                <w:sz w:val="18"/>
                <w:szCs w:val="18"/>
              </w:rPr>
            </w:pPr>
            <w:r>
              <w:rPr>
                <w:color w:val="000000"/>
                <w:sz w:val="18"/>
                <w:szCs w:val="18"/>
              </w:rPr>
              <w:t>2021</w:t>
            </w:r>
          </w:p>
        </w:tc>
        <w:tc>
          <w:tcPr>
            <w:tcW w:w="739" w:type="pct"/>
            <w:tcBorders>
              <w:top w:val="single" w:sz="4" w:space="0" w:color="auto"/>
              <w:left w:val="single" w:sz="4" w:space="0" w:color="auto"/>
              <w:bottom w:val="single" w:sz="4" w:space="0" w:color="auto"/>
              <w:right w:val="single" w:sz="4" w:space="0" w:color="auto"/>
            </w:tcBorders>
          </w:tcPr>
          <w:p w14:paraId="71608136" w14:textId="77777777" w:rsidR="00DE2C85" w:rsidRPr="009A000F" w:rsidRDefault="00DE2C85" w:rsidP="00E6431D">
            <w:pPr>
              <w:spacing w:after="0" w:line="240" w:lineRule="auto"/>
              <w:jc w:val="center"/>
              <w:rPr>
                <w:rFonts w:eastAsia="Times New Roman" w:cstheme="minorHAnsi"/>
                <w:i/>
                <w:color w:val="000000"/>
                <w:sz w:val="18"/>
                <w:szCs w:val="18"/>
                <w:lang w:val="en-GB" w:eastAsia="en-GB"/>
              </w:rPr>
            </w:pPr>
          </w:p>
          <w:p w14:paraId="6683F409" w14:textId="74B8D216" w:rsidR="002F2AC5" w:rsidRPr="009A000F" w:rsidRDefault="00B356E1" w:rsidP="00E6431D">
            <w:pPr>
              <w:spacing w:after="0" w:line="240" w:lineRule="auto"/>
              <w:jc w:val="center"/>
              <w:rPr>
                <w:rFonts w:eastAsia="Times New Roman" w:cstheme="minorHAnsi"/>
                <w:i/>
                <w:color w:val="000000"/>
                <w:sz w:val="18"/>
                <w:szCs w:val="18"/>
              </w:rPr>
            </w:pPr>
            <w:r>
              <w:rPr>
                <w:i/>
                <w:color w:val="000000"/>
                <w:sz w:val="18"/>
                <w:szCs w:val="18"/>
              </w:rPr>
              <w:t>0.1 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5F860" w14:textId="77777777" w:rsidR="002F2AC5" w:rsidRPr="009A000F" w:rsidRDefault="002F2AC5" w:rsidP="00E6431D">
            <w:pPr>
              <w:spacing w:after="0" w:line="240" w:lineRule="auto"/>
              <w:jc w:val="center"/>
              <w:rPr>
                <w:rFonts w:eastAsia="Times New Roman" w:cstheme="minorHAnsi"/>
                <w:i/>
                <w:color w:val="000000"/>
                <w:sz w:val="18"/>
                <w:szCs w:val="18"/>
                <w:lang w:val="en-GB" w:eastAsia="en-GB"/>
              </w:rPr>
            </w:pPr>
          </w:p>
        </w:tc>
      </w:tr>
      <w:tr w:rsidR="00A906C2" w:rsidRPr="009A000F" w14:paraId="198579CD"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DDA68" w14:textId="127C9218" w:rsidR="00B96EFC" w:rsidRPr="009A000F" w:rsidRDefault="00B96EFC" w:rsidP="005024CE">
            <w:pPr>
              <w:spacing w:after="0" w:line="240" w:lineRule="auto"/>
              <w:ind w:left="142"/>
              <w:jc w:val="both"/>
              <w:rPr>
                <w:rFonts w:eastAsia="Times New Roman" w:cstheme="minorHAnsi"/>
                <w:sz w:val="18"/>
                <w:szCs w:val="18"/>
              </w:rPr>
            </w:pPr>
            <w:r>
              <w:rPr>
                <w:sz w:val="18"/>
                <w:szCs w:val="18"/>
              </w:rPr>
              <w:t>Zbatimi i masave të efiçiencës së energjisë në sektorin e amvisërive të mbështetura nga MCC në kuadër të programit MFK</w:t>
            </w:r>
          </w:p>
        </w:tc>
        <w:tc>
          <w:tcPr>
            <w:tcW w:w="1871" w:type="pct"/>
            <w:tcBorders>
              <w:top w:val="single" w:sz="4" w:space="0" w:color="auto"/>
              <w:left w:val="single" w:sz="4" w:space="0" w:color="auto"/>
              <w:bottom w:val="single" w:sz="4" w:space="0" w:color="auto"/>
              <w:right w:val="single" w:sz="4" w:space="0" w:color="auto"/>
            </w:tcBorders>
          </w:tcPr>
          <w:p w14:paraId="6030CE5A" w14:textId="198A4B7A" w:rsidR="00B96EFC" w:rsidRPr="009A000F" w:rsidRDefault="00B96EFC" w:rsidP="005024CE">
            <w:pPr>
              <w:spacing w:after="0" w:line="240" w:lineRule="auto"/>
              <w:jc w:val="both"/>
              <w:rPr>
                <w:rFonts w:eastAsia="Times New Roman" w:cstheme="minorHAnsi"/>
                <w:sz w:val="18"/>
                <w:szCs w:val="18"/>
              </w:rPr>
            </w:pPr>
            <w:r>
              <w:rPr>
                <w:sz w:val="18"/>
                <w:szCs w:val="18"/>
              </w:rPr>
              <w:t xml:space="preserve">Zbatimi i masave të EE-së në sektorin e amvisërive; </w:t>
            </w:r>
            <w:proofErr w:type="spellStart"/>
            <w:r>
              <w:rPr>
                <w:sz w:val="18"/>
                <w:szCs w:val="18"/>
              </w:rPr>
              <w:t>termoizolimi</w:t>
            </w:r>
            <w:proofErr w:type="spellEnd"/>
            <w:r>
              <w:rPr>
                <w:sz w:val="18"/>
                <w:szCs w:val="18"/>
              </w:rPr>
              <w:t xml:space="preserve"> i mbështjellësit të ndërtesës, ndërrimi i dyerve dhe dritareve, instalimi i sistemit efikas të ngrohjes dhe ftohjes, vendosja e ndriçimit efikas, instalimi i paneleve termike solare për SHW.   Investimi total prej rreth 4.06 mil. euro është bërë në kuadër të kornizës së HER, AER dhe WEE. Programi ka mbuluar 175 objekte banesore me 43,935 m</w:t>
            </w:r>
            <w:r>
              <w:rPr>
                <w:sz w:val="18"/>
                <w:szCs w:val="18"/>
                <w:vertAlign w:val="superscript"/>
              </w:rPr>
              <w:t>2</w:t>
            </w:r>
            <w:r>
              <w:rPr>
                <w:sz w:val="18"/>
                <w:szCs w:val="18"/>
              </w:rPr>
              <w:t>.</w:t>
            </w:r>
          </w:p>
        </w:tc>
        <w:tc>
          <w:tcPr>
            <w:tcW w:w="566" w:type="pct"/>
            <w:tcBorders>
              <w:top w:val="single" w:sz="4" w:space="0" w:color="auto"/>
              <w:left w:val="single" w:sz="4" w:space="0" w:color="auto"/>
              <w:bottom w:val="single" w:sz="4" w:space="0" w:color="auto"/>
              <w:right w:val="single" w:sz="4" w:space="0" w:color="auto"/>
            </w:tcBorders>
          </w:tcPr>
          <w:p w14:paraId="4B69353A" w14:textId="2ADBDA28" w:rsidR="00B96EFC" w:rsidRPr="009A000F" w:rsidRDefault="009C6105" w:rsidP="00E6431D">
            <w:pPr>
              <w:spacing w:after="0" w:line="240" w:lineRule="auto"/>
              <w:rPr>
                <w:rFonts w:eastAsia="Times New Roman" w:cstheme="minorHAnsi"/>
                <w:color w:val="000000"/>
                <w:sz w:val="18"/>
                <w:szCs w:val="18"/>
              </w:rPr>
            </w:pPr>
            <w:r>
              <w:rPr>
                <w:color w:val="000000"/>
                <w:sz w:val="18"/>
                <w:szCs w:val="18"/>
              </w:rPr>
              <w:t>2021</w:t>
            </w:r>
          </w:p>
        </w:tc>
        <w:tc>
          <w:tcPr>
            <w:tcW w:w="739" w:type="pct"/>
            <w:tcBorders>
              <w:top w:val="single" w:sz="4" w:space="0" w:color="auto"/>
              <w:left w:val="single" w:sz="4" w:space="0" w:color="auto"/>
              <w:bottom w:val="single" w:sz="4" w:space="0" w:color="auto"/>
              <w:right w:val="single" w:sz="4" w:space="0" w:color="auto"/>
            </w:tcBorders>
          </w:tcPr>
          <w:p w14:paraId="352864BC" w14:textId="77777777" w:rsidR="00DE2C85" w:rsidRPr="009A000F" w:rsidRDefault="00DE2C85" w:rsidP="00E6431D">
            <w:pPr>
              <w:spacing w:after="0" w:line="240" w:lineRule="auto"/>
              <w:jc w:val="center"/>
              <w:rPr>
                <w:rFonts w:eastAsia="Times New Roman" w:cstheme="minorHAnsi"/>
                <w:i/>
                <w:color w:val="000000"/>
                <w:sz w:val="18"/>
                <w:szCs w:val="18"/>
                <w:lang w:val="en-GB" w:eastAsia="en-GB"/>
              </w:rPr>
            </w:pPr>
          </w:p>
          <w:p w14:paraId="3A1FE59F" w14:textId="77777777" w:rsidR="00DE2C85" w:rsidRPr="009A000F" w:rsidRDefault="00DE2C85" w:rsidP="00E6431D">
            <w:pPr>
              <w:spacing w:after="0" w:line="240" w:lineRule="auto"/>
              <w:jc w:val="center"/>
              <w:rPr>
                <w:rFonts w:eastAsia="Times New Roman" w:cstheme="minorHAnsi"/>
                <w:i/>
                <w:color w:val="000000"/>
                <w:sz w:val="18"/>
                <w:szCs w:val="18"/>
                <w:lang w:val="en-GB" w:eastAsia="en-GB"/>
              </w:rPr>
            </w:pPr>
          </w:p>
          <w:p w14:paraId="1E2BC671" w14:textId="69AD5843" w:rsidR="00B96EFC" w:rsidRPr="009A000F" w:rsidRDefault="00667FA4" w:rsidP="00E6431D">
            <w:pPr>
              <w:spacing w:after="0" w:line="240" w:lineRule="auto"/>
              <w:jc w:val="center"/>
              <w:rPr>
                <w:rFonts w:eastAsia="Times New Roman" w:cstheme="minorHAnsi"/>
                <w:i/>
                <w:color w:val="000000"/>
                <w:sz w:val="18"/>
                <w:szCs w:val="18"/>
              </w:rPr>
            </w:pPr>
            <w:r>
              <w:rPr>
                <w:i/>
                <w:color w:val="000000"/>
                <w:sz w:val="18"/>
                <w:szCs w:val="18"/>
              </w:rPr>
              <w:t>0.74 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8A4C3" w14:textId="77777777" w:rsidR="00B96EFC" w:rsidRPr="009A000F" w:rsidRDefault="00B96EFC" w:rsidP="00E6431D">
            <w:pPr>
              <w:spacing w:after="0" w:line="240" w:lineRule="auto"/>
              <w:jc w:val="center"/>
              <w:rPr>
                <w:rFonts w:eastAsia="Times New Roman" w:cstheme="minorHAnsi"/>
                <w:i/>
                <w:color w:val="000000"/>
                <w:sz w:val="18"/>
                <w:szCs w:val="18"/>
                <w:lang w:val="en-GB" w:eastAsia="en-GB"/>
              </w:rPr>
            </w:pPr>
          </w:p>
        </w:tc>
      </w:tr>
      <w:tr w:rsidR="00A906C2" w:rsidRPr="009A000F" w14:paraId="25372817"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79FF9" w14:textId="73F17552" w:rsidR="009E5CF7" w:rsidRPr="009A000F" w:rsidRDefault="009E5CF7" w:rsidP="005024CE">
            <w:pPr>
              <w:spacing w:after="0" w:line="240" w:lineRule="auto"/>
              <w:ind w:left="142"/>
              <w:jc w:val="both"/>
              <w:rPr>
                <w:rFonts w:eastAsia="Times New Roman" w:cstheme="minorHAnsi"/>
                <w:color w:val="000000"/>
                <w:sz w:val="18"/>
                <w:szCs w:val="18"/>
              </w:rPr>
            </w:pPr>
            <w:r>
              <w:rPr>
                <w:color w:val="000000"/>
                <w:sz w:val="18"/>
                <w:szCs w:val="18"/>
              </w:rPr>
              <w:t xml:space="preserve">Investimet e bankave komerciale në energji të gjelbër dhe efiçiencë të energjisë </w:t>
            </w:r>
          </w:p>
        </w:tc>
        <w:tc>
          <w:tcPr>
            <w:tcW w:w="1871" w:type="pct"/>
            <w:tcBorders>
              <w:top w:val="single" w:sz="4" w:space="0" w:color="auto"/>
              <w:left w:val="single" w:sz="4" w:space="0" w:color="auto"/>
              <w:bottom w:val="single" w:sz="4" w:space="0" w:color="auto"/>
              <w:right w:val="single" w:sz="4" w:space="0" w:color="auto"/>
            </w:tcBorders>
          </w:tcPr>
          <w:p w14:paraId="3779F398" w14:textId="303E6AC9" w:rsidR="009E5CF7" w:rsidRPr="009A000F" w:rsidRDefault="009E5CF7" w:rsidP="005024CE">
            <w:pPr>
              <w:spacing w:after="0" w:line="240" w:lineRule="auto"/>
              <w:ind w:left="142"/>
              <w:jc w:val="both"/>
              <w:rPr>
                <w:rFonts w:eastAsia="Times New Roman" w:cstheme="minorHAnsi"/>
                <w:color w:val="000000"/>
                <w:sz w:val="18"/>
                <w:szCs w:val="18"/>
              </w:rPr>
            </w:pPr>
            <w:r>
              <w:rPr>
                <w:color w:val="000000"/>
                <w:sz w:val="18"/>
                <w:szCs w:val="18"/>
              </w:rPr>
              <w:t>Skema të ndryshme kreditore për financim të EE-së dhe ER-së “Energji t; Gjelbër dhe Efiçiencë të Energjisë” me një investim total prej 17,687,699.69 mil. euro.</w:t>
            </w:r>
          </w:p>
          <w:p w14:paraId="2BA0F0D2" w14:textId="77777777" w:rsidR="009E5CF7" w:rsidRPr="009A000F" w:rsidRDefault="009E5CF7" w:rsidP="00E6431D">
            <w:pPr>
              <w:spacing w:after="0" w:line="240" w:lineRule="auto"/>
              <w:rPr>
                <w:rFonts w:eastAsia="Times New Roman" w:cstheme="minorHAnsi"/>
                <w:color w:val="000000"/>
                <w:sz w:val="18"/>
                <w:szCs w:val="18"/>
                <w:lang w:val="en-GB" w:eastAsia="en-GB"/>
              </w:rPr>
            </w:pPr>
          </w:p>
        </w:tc>
        <w:tc>
          <w:tcPr>
            <w:tcW w:w="566" w:type="pct"/>
            <w:tcBorders>
              <w:top w:val="single" w:sz="4" w:space="0" w:color="auto"/>
              <w:left w:val="single" w:sz="4" w:space="0" w:color="auto"/>
              <w:bottom w:val="single" w:sz="4" w:space="0" w:color="auto"/>
              <w:right w:val="single" w:sz="4" w:space="0" w:color="auto"/>
            </w:tcBorders>
          </w:tcPr>
          <w:p w14:paraId="58436834" w14:textId="27EFA1FE" w:rsidR="009E5CF7" w:rsidRPr="009A000F" w:rsidRDefault="00211444" w:rsidP="00E6431D">
            <w:pPr>
              <w:spacing w:after="0" w:line="240" w:lineRule="auto"/>
              <w:rPr>
                <w:rFonts w:eastAsia="Times New Roman" w:cstheme="minorHAnsi"/>
                <w:color w:val="000000"/>
                <w:sz w:val="18"/>
                <w:szCs w:val="18"/>
              </w:rPr>
            </w:pPr>
            <w:r>
              <w:rPr>
                <w:color w:val="000000"/>
                <w:sz w:val="18"/>
                <w:szCs w:val="18"/>
              </w:rPr>
              <w:t>2021</w:t>
            </w:r>
          </w:p>
        </w:tc>
        <w:tc>
          <w:tcPr>
            <w:tcW w:w="739" w:type="pct"/>
            <w:tcBorders>
              <w:top w:val="single" w:sz="4" w:space="0" w:color="auto"/>
              <w:left w:val="single" w:sz="4" w:space="0" w:color="auto"/>
              <w:bottom w:val="single" w:sz="4" w:space="0" w:color="auto"/>
              <w:right w:val="single" w:sz="4" w:space="0" w:color="auto"/>
            </w:tcBorders>
          </w:tcPr>
          <w:p w14:paraId="2D016A69" w14:textId="02A233CE" w:rsidR="009E5CF7" w:rsidRPr="009A000F" w:rsidRDefault="009E5CF7" w:rsidP="00E6431D">
            <w:pPr>
              <w:spacing w:after="0" w:line="240" w:lineRule="auto"/>
              <w:jc w:val="center"/>
              <w:rPr>
                <w:rFonts w:eastAsia="Times New Roman" w:cstheme="minorHAnsi"/>
                <w:color w:val="000000"/>
                <w:sz w:val="18"/>
                <w:szCs w:val="18"/>
              </w:rPr>
            </w:pPr>
            <w:r>
              <w:rPr>
                <w:color w:val="000000"/>
                <w:sz w:val="18"/>
                <w:szCs w:val="18"/>
              </w:rPr>
              <w:t>3,215 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BF79E" w14:textId="77777777" w:rsidR="009E5CF7" w:rsidRPr="009A000F" w:rsidRDefault="009E5CF7" w:rsidP="00E6431D">
            <w:pPr>
              <w:spacing w:after="0" w:line="240" w:lineRule="auto"/>
              <w:jc w:val="center"/>
              <w:rPr>
                <w:rFonts w:eastAsia="Times New Roman" w:cstheme="minorHAnsi"/>
                <w:i/>
                <w:color w:val="000000"/>
                <w:sz w:val="18"/>
                <w:szCs w:val="18"/>
                <w:lang w:val="en-GB" w:eastAsia="en-GB"/>
              </w:rPr>
            </w:pPr>
          </w:p>
        </w:tc>
      </w:tr>
      <w:tr w:rsidR="00211444" w:rsidRPr="009A000F" w14:paraId="23782C42" w14:textId="77777777" w:rsidTr="00A906C2">
        <w:trPr>
          <w:trHeight w:val="458"/>
        </w:trPr>
        <w:tc>
          <w:tcPr>
            <w:tcW w:w="365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FEA390" w14:textId="771C9AC9" w:rsidR="00211444" w:rsidRPr="009A000F" w:rsidRDefault="00211444" w:rsidP="00211444">
            <w:pPr>
              <w:spacing w:after="0" w:line="240" w:lineRule="auto"/>
              <w:jc w:val="right"/>
              <w:rPr>
                <w:rFonts w:eastAsia="Times New Roman" w:cstheme="minorHAnsi"/>
                <w:color w:val="000000"/>
                <w:sz w:val="18"/>
                <w:szCs w:val="18"/>
              </w:rPr>
            </w:pPr>
            <w:r>
              <w:rPr>
                <w:color w:val="000000"/>
                <w:sz w:val="18"/>
                <w:szCs w:val="18"/>
              </w:rPr>
              <w:t xml:space="preserve">Total </w:t>
            </w:r>
          </w:p>
        </w:tc>
        <w:tc>
          <w:tcPr>
            <w:tcW w:w="739" w:type="pct"/>
            <w:tcBorders>
              <w:top w:val="single" w:sz="4" w:space="0" w:color="auto"/>
              <w:left w:val="single" w:sz="4" w:space="0" w:color="auto"/>
              <w:bottom w:val="single" w:sz="4" w:space="0" w:color="auto"/>
              <w:right w:val="single" w:sz="4" w:space="0" w:color="auto"/>
            </w:tcBorders>
          </w:tcPr>
          <w:p w14:paraId="5FD59B09" w14:textId="09FBA303" w:rsidR="00211444" w:rsidRPr="009A000F" w:rsidRDefault="00211444" w:rsidP="00E6431D">
            <w:pPr>
              <w:spacing w:after="0" w:line="240" w:lineRule="auto"/>
              <w:jc w:val="center"/>
              <w:rPr>
                <w:rFonts w:eastAsia="Times New Roman" w:cstheme="minorHAnsi"/>
                <w:color w:val="000000"/>
                <w:sz w:val="18"/>
                <w:szCs w:val="18"/>
              </w:rPr>
            </w:pPr>
            <w:r>
              <w:rPr>
                <w:color w:val="000000"/>
                <w:sz w:val="18"/>
                <w:szCs w:val="18"/>
              </w:rPr>
              <w:t>6.391ktoe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98C4D" w14:textId="77777777" w:rsidR="00211444" w:rsidRPr="009A000F" w:rsidRDefault="00211444" w:rsidP="00E6431D">
            <w:pPr>
              <w:spacing w:after="0" w:line="240" w:lineRule="auto"/>
              <w:jc w:val="center"/>
              <w:rPr>
                <w:rFonts w:eastAsia="Times New Roman" w:cstheme="minorHAnsi"/>
                <w:i/>
                <w:color w:val="000000"/>
                <w:sz w:val="18"/>
                <w:szCs w:val="18"/>
                <w:lang w:val="en-GB" w:eastAsia="en-GB"/>
              </w:rPr>
            </w:pPr>
          </w:p>
        </w:tc>
      </w:tr>
    </w:tbl>
    <w:p w14:paraId="61A99222" w14:textId="77777777" w:rsidR="002F2AC5" w:rsidRDefault="002F2AC5" w:rsidP="009C00A0">
      <w:pPr>
        <w:pStyle w:val="ListParagraph"/>
        <w:ind w:left="1080"/>
        <w:jc w:val="both"/>
        <w:rPr>
          <w:rFonts w:cstheme="minorHAnsi"/>
          <w:lang w:val="en-GB"/>
        </w:rPr>
      </w:pPr>
    </w:p>
    <w:p w14:paraId="68BF582E" w14:textId="77777777" w:rsidR="00211444" w:rsidRPr="00211444" w:rsidRDefault="00211444" w:rsidP="00F31884">
      <w:pPr>
        <w:pStyle w:val="ListParagraph"/>
        <w:numPr>
          <w:ilvl w:val="0"/>
          <w:numId w:val="14"/>
        </w:numPr>
        <w:ind w:left="360"/>
        <w:jc w:val="both"/>
        <w:rPr>
          <w:rFonts w:ascii="Calibri" w:eastAsia="Times New Roman" w:hAnsi="Calibri" w:cs="Times New Roman"/>
          <w:bCs/>
          <w:sz w:val="18"/>
          <w:szCs w:val="18"/>
        </w:rPr>
      </w:pPr>
      <w:r>
        <w:t>Gjatë periudhës raportuese janë ndërmarrë po ashtu veprime që parashohin të mbështesin zbatimin e DEE-së ose Ligjit për EE.</w:t>
      </w:r>
    </w:p>
    <w:p w14:paraId="047C2A8E" w14:textId="77777777" w:rsidR="003F4559" w:rsidRPr="003F4559" w:rsidRDefault="003F4559" w:rsidP="003F4559">
      <w:pPr>
        <w:pStyle w:val="ListParagraph"/>
        <w:numPr>
          <w:ilvl w:val="0"/>
          <w:numId w:val="14"/>
        </w:numPr>
        <w:jc w:val="both"/>
        <w:rPr>
          <w:rFonts w:ascii="Calibri" w:eastAsia="Times New Roman" w:hAnsi="Calibri" w:cs="Times New Roman"/>
          <w:bCs/>
          <w:sz w:val="18"/>
          <w:szCs w:val="18"/>
        </w:rPr>
      </w:pPr>
      <w:r>
        <w:rPr>
          <w:rFonts w:ascii="Calibri" w:hAnsi="Calibri"/>
          <w:bCs/>
          <w:sz w:val="18"/>
          <w:szCs w:val="18"/>
        </w:rPr>
        <w:t xml:space="preserve">Në kuadër të projekteve të asistencës teknike të implementuar nga GIZ-i ka pasur progres të konsiderueshëm në përgatitjen e sistemit të digjitalizimit për procedurat e certifikimit të performancës energjetike të ndërtesave. Softueri i llogaritjes dhe platforma e menaxhimit të </w:t>
      </w:r>
      <w:proofErr w:type="spellStart"/>
      <w:r>
        <w:rPr>
          <w:rFonts w:ascii="Calibri" w:hAnsi="Calibri"/>
          <w:bCs/>
          <w:sz w:val="18"/>
          <w:szCs w:val="18"/>
        </w:rPr>
        <w:t>të</w:t>
      </w:r>
      <w:proofErr w:type="spellEnd"/>
      <w:r>
        <w:rPr>
          <w:rFonts w:ascii="Calibri" w:hAnsi="Calibri"/>
          <w:bCs/>
          <w:sz w:val="18"/>
          <w:szCs w:val="18"/>
        </w:rPr>
        <w:t xml:space="preserve"> dhënave janë në fazën e finalizimit. Po ashtu janë zhvilluar edhe kërkesat teknike dhe udhëzimet për zbatimin e efiçiencës së energjisë në sektorë të ndryshëm. Janë zbatuar programe për zhvillim të kapaciteteve, duke synuar menaxherët komunalë të energjisë për planifikim, zbatim dhe monitorim (për të gjitha komunat e Kosovës).   </w:t>
      </w:r>
    </w:p>
    <w:p w14:paraId="2A794681" w14:textId="77777777" w:rsidR="003F4559" w:rsidRPr="003F4559" w:rsidRDefault="003F4559" w:rsidP="003F4559">
      <w:pPr>
        <w:pStyle w:val="ListParagraph"/>
        <w:numPr>
          <w:ilvl w:val="0"/>
          <w:numId w:val="14"/>
        </w:numPr>
        <w:jc w:val="both"/>
        <w:rPr>
          <w:rFonts w:ascii="Calibri" w:eastAsia="Times New Roman" w:hAnsi="Calibri" w:cs="Times New Roman"/>
          <w:bCs/>
          <w:sz w:val="18"/>
          <w:szCs w:val="18"/>
        </w:rPr>
      </w:pPr>
      <w:r>
        <w:rPr>
          <w:rFonts w:ascii="Calibri" w:hAnsi="Calibri"/>
          <w:bCs/>
          <w:sz w:val="18"/>
          <w:szCs w:val="18"/>
        </w:rPr>
        <w:lastRenderedPageBreak/>
        <w:t xml:space="preserve">Ka vazhduar programi për trajnimin e auditorëve të energjisë. Qendra për energji dhe qëndrueshmëri (QEQ) në Universitetin e Prishtinës ka vazhduar të ofrojë trajnime për auditorët e energjisë. </w:t>
      </w:r>
    </w:p>
    <w:p w14:paraId="09929031" w14:textId="77777777" w:rsidR="003F4559" w:rsidRPr="003F4559" w:rsidRDefault="003F4559" w:rsidP="003F4559">
      <w:pPr>
        <w:pStyle w:val="ListParagraph"/>
        <w:numPr>
          <w:ilvl w:val="0"/>
          <w:numId w:val="14"/>
        </w:numPr>
        <w:jc w:val="both"/>
        <w:rPr>
          <w:rFonts w:ascii="Calibri" w:eastAsia="Times New Roman" w:hAnsi="Calibri" w:cs="Times New Roman"/>
          <w:bCs/>
          <w:sz w:val="18"/>
          <w:szCs w:val="18"/>
        </w:rPr>
      </w:pPr>
      <w:r>
        <w:rPr>
          <w:rFonts w:ascii="Calibri" w:hAnsi="Calibri"/>
          <w:bCs/>
          <w:sz w:val="18"/>
          <w:szCs w:val="18"/>
        </w:rPr>
        <w:t>Janë zhvilluar aktivitete mbi aspektet gjinore me OJQ-të lokale duke ofruar një pasqyrë të diversitetit gjinor në sektorin e energjisë.</w:t>
      </w:r>
    </w:p>
    <w:p w14:paraId="56B26CA9" w14:textId="77777777" w:rsidR="003F4559" w:rsidRDefault="003F4559" w:rsidP="003F4559">
      <w:pPr>
        <w:pStyle w:val="ListParagraph"/>
        <w:numPr>
          <w:ilvl w:val="0"/>
          <w:numId w:val="14"/>
        </w:numPr>
        <w:jc w:val="both"/>
        <w:rPr>
          <w:rFonts w:ascii="Calibri" w:eastAsia="Times New Roman" w:hAnsi="Calibri" w:cs="Times New Roman"/>
          <w:bCs/>
          <w:sz w:val="18"/>
          <w:szCs w:val="18"/>
        </w:rPr>
      </w:pPr>
      <w:r>
        <w:rPr>
          <w:rFonts w:ascii="Calibri" w:hAnsi="Calibri"/>
          <w:bCs/>
          <w:sz w:val="18"/>
          <w:szCs w:val="18"/>
        </w:rPr>
        <w:t>Edicioni i 5</w:t>
      </w:r>
      <w:r>
        <w:rPr>
          <w:rFonts w:ascii="Calibri" w:hAnsi="Calibri"/>
          <w:bCs/>
          <w:sz w:val="18"/>
          <w:szCs w:val="18"/>
          <w:vertAlign w:val="superscript"/>
        </w:rPr>
        <w:t>-të</w:t>
      </w:r>
      <w:r>
        <w:rPr>
          <w:rFonts w:ascii="Calibri" w:hAnsi="Calibri"/>
          <w:bCs/>
          <w:sz w:val="18"/>
          <w:szCs w:val="18"/>
        </w:rPr>
        <w:t xml:space="preserve"> i Javës së Zhvillimit të Qëndrueshëm në Kosovë (KSDW) organizohet nga ME, MMPH, MZHE dhe mbështetet nga BE, GIZ, INDEP dhe BGF: Versioni i plotë i rekomandimeve të KSDW 2021 mund të gjendet në faqen e internetit të KSDW-së; </w:t>
      </w:r>
      <w:hyperlink r:id="rId18" w:history="1">
        <w:r>
          <w:rPr>
            <w:rStyle w:val="Hyperlink"/>
            <w:sz w:val="18"/>
            <w:szCs w:val="18"/>
          </w:rPr>
          <w:t>https://ksdw.rks-gov.net/storage/app/media/KSDW2021_Report_ENG-min.pdf</w:t>
        </w:r>
      </w:hyperlink>
    </w:p>
    <w:p w14:paraId="384787D7" w14:textId="62BEFB21" w:rsidR="00327909" w:rsidRDefault="00327909" w:rsidP="005024CE">
      <w:pPr>
        <w:pStyle w:val="Heading1"/>
        <w:jc w:val="both"/>
      </w:pPr>
      <w:r>
        <w:t>Ndërtesat e qeverisë qendrore (neni 5 i KEE-së) dhe ndërtesat me konsum afër zero-energji (neni 9 i DPEN-së)</w:t>
      </w:r>
    </w:p>
    <w:p w14:paraId="50A77332" w14:textId="7C8665F0" w:rsidR="003E7655" w:rsidRPr="00FA24F5" w:rsidRDefault="00FF04AF" w:rsidP="00AE50F6">
      <w:pPr>
        <w:spacing w:after="0" w:line="240" w:lineRule="auto"/>
        <w:jc w:val="both"/>
        <w:rPr>
          <w:rFonts w:cstheme="minorHAnsi"/>
        </w:rPr>
      </w:pPr>
      <w:r>
        <w:t xml:space="preserve">Programi për renovimin e ndërtesave të qeverisë qendrore është duke vazhduar përmes Programit të Kosovës për Efiçiencë të Energjisë dhe Energji të Ripërtëritshme (KEEREP) </w:t>
      </w:r>
    </w:p>
    <w:p w14:paraId="194F99F5" w14:textId="1CB8B003" w:rsidR="00FF04AF" w:rsidRPr="00717B12" w:rsidRDefault="003E7655" w:rsidP="00717B12">
      <w:pPr>
        <w:pStyle w:val="ListParagraph"/>
        <w:ind w:left="0"/>
        <w:jc w:val="both"/>
        <w:rPr>
          <w:rFonts w:cstheme="minorHAnsi"/>
        </w:rPr>
      </w:pPr>
      <w:r>
        <w:t xml:space="preserve">Plani i veprimit për ndërtesat me konsum afër zero-energji është ende si draft version. Miratimi i tij pritet në fund të vitit 2022. Disa projekte janë identifikuar të jenë në fazën e zhvillimit, kjo përfshin hartimin e detajuar për përmbushjen e kërkesave të NKAZE. </w:t>
      </w:r>
    </w:p>
    <w:p w14:paraId="283AE889" w14:textId="241F4DD8" w:rsidR="00B673BC" w:rsidRDefault="00B673BC" w:rsidP="00FA24F5">
      <w:pPr>
        <w:pStyle w:val="ListParagraph"/>
        <w:ind w:left="0"/>
        <w:jc w:val="both"/>
        <w:rPr>
          <w:i/>
          <w:color w:val="0070C0"/>
          <w:lang w:val="en-GB"/>
        </w:rPr>
      </w:pPr>
    </w:p>
    <w:tbl>
      <w:tblPr>
        <w:tblStyle w:val="TableGrid"/>
        <w:tblW w:w="5000" w:type="pct"/>
        <w:tblBorders>
          <w:top w:val="none" w:sz="0" w:space="0" w:color="auto"/>
          <w:left w:val="none" w:sz="0" w:space="0" w:color="auto"/>
        </w:tblBorders>
        <w:tblLook w:val="04A0" w:firstRow="1" w:lastRow="0" w:firstColumn="1" w:lastColumn="0" w:noHBand="0" w:noVBand="1"/>
      </w:tblPr>
      <w:tblGrid>
        <w:gridCol w:w="4603"/>
        <w:gridCol w:w="2470"/>
        <w:gridCol w:w="3002"/>
      </w:tblGrid>
      <w:tr w:rsidR="000E5744" w:rsidRPr="0014266E" w14:paraId="5EC55B3F" w14:textId="77777777" w:rsidTr="00B81907">
        <w:trPr>
          <w:trHeight w:val="570"/>
        </w:trPr>
        <w:tc>
          <w:tcPr>
            <w:tcW w:w="2284" w:type="pct"/>
            <w:tcBorders>
              <w:bottom w:val="single" w:sz="4" w:space="0" w:color="auto"/>
            </w:tcBorders>
            <w:shd w:val="clear" w:color="auto" w:fill="auto"/>
            <w:vAlign w:val="center"/>
            <w:hideMark/>
          </w:tcPr>
          <w:p w14:paraId="0B18C7D4" w14:textId="77777777" w:rsidR="000E5744" w:rsidRPr="0014266E" w:rsidRDefault="000E5744" w:rsidP="00811D7F">
            <w:pPr>
              <w:ind w:left="142"/>
              <w:jc w:val="center"/>
              <w:rPr>
                <w:rFonts w:ascii="Calibri" w:eastAsia="Times New Roman" w:hAnsi="Calibri" w:cs="Times New Roman"/>
                <w:bCs/>
                <w:sz w:val="18"/>
                <w:szCs w:val="18"/>
                <w:lang w:val="en-GB" w:eastAsia="en-GB"/>
              </w:rPr>
            </w:pPr>
          </w:p>
        </w:tc>
        <w:tc>
          <w:tcPr>
            <w:tcW w:w="1226" w:type="pct"/>
            <w:tcBorders>
              <w:top w:val="single" w:sz="4" w:space="0" w:color="auto"/>
              <w:bottom w:val="single" w:sz="4" w:space="0" w:color="auto"/>
            </w:tcBorders>
            <w:shd w:val="clear" w:color="auto" w:fill="8DB3E2" w:themeFill="text2" w:themeFillTint="66"/>
            <w:vAlign w:val="center"/>
            <w:hideMark/>
          </w:tcPr>
          <w:p w14:paraId="50B6CCC8" w14:textId="7D432FB8" w:rsidR="000E5744" w:rsidRPr="0014266E" w:rsidRDefault="000E5744" w:rsidP="00811D7F">
            <w:pPr>
              <w:ind w:left="142"/>
              <w:jc w:val="center"/>
              <w:rPr>
                <w:rFonts w:ascii="Calibri" w:eastAsia="Times New Roman" w:hAnsi="Calibri" w:cs="Times New Roman"/>
                <w:bCs/>
                <w:sz w:val="18"/>
                <w:szCs w:val="18"/>
              </w:rPr>
            </w:pPr>
            <w:r>
              <w:rPr>
                <w:rFonts w:ascii="Calibri" w:hAnsi="Calibri"/>
                <w:bCs/>
                <w:sz w:val="18"/>
                <w:szCs w:val="18"/>
              </w:rPr>
              <w:t>më 1 janar 2020</w:t>
            </w:r>
          </w:p>
        </w:tc>
        <w:tc>
          <w:tcPr>
            <w:tcW w:w="1490" w:type="pct"/>
            <w:tcBorders>
              <w:top w:val="single" w:sz="4" w:space="0" w:color="auto"/>
              <w:bottom w:val="single" w:sz="4" w:space="0" w:color="auto"/>
            </w:tcBorders>
            <w:shd w:val="clear" w:color="auto" w:fill="8DB3E2" w:themeFill="text2" w:themeFillTint="66"/>
            <w:vAlign w:val="center"/>
            <w:hideMark/>
          </w:tcPr>
          <w:p w14:paraId="0FDAFA6A" w14:textId="310282EC" w:rsidR="000E5744" w:rsidRPr="0014266E" w:rsidRDefault="000E5744" w:rsidP="00811D7F">
            <w:pPr>
              <w:ind w:left="142"/>
              <w:jc w:val="center"/>
              <w:rPr>
                <w:rFonts w:ascii="Calibri" w:eastAsia="Times New Roman" w:hAnsi="Calibri" w:cs="Times New Roman"/>
                <w:bCs/>
                <w:sz w:val="18"/>
                <w:szCs w:val="18"/>
              </w:rPr>
            </w:pPr>
            <w:r>
              <w:rPr>
                <w:rFonts w:ascii="Calibri" w:hAnsi="Calibri"/>
                <w:bCs/>
                <w:sz w:val="18"/>
                <w:szCs w:val="18"/>
              </w:rPr>
              <w:t>më 1 janar 2021</w:t>
            </w:r>
          </w:p>
        </w:tc>
      </w:tr>
      <w:tr w:rsidR="000E5744" w:rsidRPr="00277F01" w14:paraId="230592B4" w14:textId="77777777" w:rsidTr="00B81907">
        <w:trPr>
          <w:trHeight w:val="600"/>
        </w:trPr>
        <w:tc>
          <w:tcPr>
            <w:tcW w:w="2284" w:type="pct"/>
            <w:tcBorders>
              <w:top w:val="single" w:sz="4" w:space="0" w:color="auto"/>
              <w:left w:val="single" w:sz="4" w:space="0" w:color="auto"/>
            </w:tcBorders>
            <w:shd w:val="clear" w:color="auto" w:fill="8DB3E2" w:themeFill="text2" w:themeFillTint="66"/>
            <w:vAlign w:val="center"/>
            <w:hideMark/>
          </w:tcPr>
          <w:p w14:paraId="544A5634" w14:textId="39C7FE8F" w:rsidR="000E5744" w:rsidRPr="0014266E" w:rsidRDefault="000E5744" w:rsidP="005024CE">
            <w:pPr>
              <w:ind w:left="142"/>
              <w:jc w:val="both"/>
              <w:rPr>
                <w:rFonts w:ascii="Calibri" w:eastAsia="Times New Roman" w:hAnsi="Calibri" w:cs="Times New Roman"/>
                <w:bCs/>
                <w:sz w:val="18"/>
                <w:szCs w:val="18"/>
              </w:rPr>
            </w:pPr>
            <w:r>
              <w:rPr>
                <w:rFonts w:ascii="Calibri" w:hAnsi="Calibri"/>
                <w:bCs/>
                <w:sz w:val="18"/>
                <w:szCs w:val="18"/>
              </w:rPr>
              <w:t>Sipërfaqja totale e katit të ndërtesës [m</w:t>
            </w:r>
            <w:r>
              <w:rPr>
                <w:rFonts w:ascii="Calibri" w:hAnsi="Calibri"/>
                <w:bCs/>
                <w:sz w:val="18"/>
                <w:szCs w:val="18"/>
                <w:vertAlign w:val="superscript"/>
              </w:rPr>
              <w:t>2</w:t>
            </w:r>
            <w:r>
              <w:rPr>
                <w:rFonts w:ascii="Calibri" w:hAnsi="Calibri"/>
                <w:bCs/>
                <w:sz w:val="18"/>
                <w:szCs w:val="18"/>
              </w:rPr>
              <w:t>] së objekteve me sipërfaqe totale të shfrytëzueshme mbi 250 m</w:t>
            </w:r>
            <w:r>
              <w:rPr>
                <w:rFonts w:ascii="Calibri" w:hAnsi="Calibri"/>
                <w:bCs/>
                <w:sz w:val="18"/>
                <w:szCs w:val="18"/>
                <w:vertAlign w:val="superscript"/>
              </w:rPr>
              <w:t>2</w:t>
            </w:r>
            <w:r>
              <w:rPr>
                <w:rFonts w:ascii="Calibri" w:hAnsi="Calibri"/>
                <w:bCs/>
                <w:sz w:val="18"/>
                <w:szCs w:val="18"/>
              </w:rPr>
              <w:t xml:space="preserve"> në pronësi dhe të shfrytëzuara nga qeveria qendrore e Palëve Kontraktuese</w:t>
            </w:r>
          </w:p>
        </w:tc>
        <w:tc>
          <w:tcPr>
            <w:tcW w:w="1226" w:type="pct"/>
            <w:tcBorders>
              <w:top w:val="single" w:sz="4" w:space="0" w:color="auto"/>
            </w:tcBorders>
            <w:vAlign w:val="center"/>
            <w:hideMark/>
          </w:tcPr>
          <w:p w14:paraId="42D9EC52" w14:textId="58951A83" w:rsidR="000E5744" w:rsidRPr="0014266E" w:rsidRDefault="00984850" w:rsidP="00811D7F">
            <w:pPr>
              <w:ind w:left="142"/>
              <w:jc w:val="center"/>
              <w:rPr>
                <w:rFonts w:ascii="Calibri" w:eastAsia="Times New Roman" w:hAnsi="Calibri" w:cs="Times New Roman"/>
                <w:bCs/>
                <w:sz w:val="18"/>
                <w:szCs w:val="18"/>
              </w:rPr>
            </w:pPr>
            <w:r>
              <w:rPr>
                <w:rFonts w:ascii="Calibri" w:hAnsi="Calibri"/>
                <w:bCs/>
                <w:sz w:val="18"/>
                <w:szCs w:val="18"/>
              </w:rPr>
              <w:t>-</w:t>
            </w:r>
          </w:p>
        </w:tc>
        <w:tc>
          <w:tcPr>
            <w:tcW w:w="1490" w:type="pct"/>
            <w:tcBorders>
              <w:top w:val="single" w:sz="4" w:space="0" w:color="auto"/>
            </w:tcBorders>
            <w:vAlign w:val="center"/>
            <w:hideMark/>
          </w:tcPr>
          <w:p w14:paraId="3D4BE10D" w14:textId="6B270AA6" w:rsidR="000E5744" w:rsidRPr="0014266E" w:rsidRDefault="00984850" w:rsidP="00811D7F">
            <w:pPr>
              <w:ind w:left="142"/>
              <w:jc w:val="center"/>
              <w:rPr>
                <w:rFonts w:ascii="Calibri" w:eastAsia="Times New Roman" w:hAnsi="Calibri" w:cs="Times New Roman"/>
                <w:bCs/>
                <w:sz w:val="18"/>
                <w:szCs w:val="18"/>
              </w:rPr>
            </w:pPr>
            <w:r>
              <w:rPr>
                <w:rFonts w:ascii="Calibri" w:hAnsi="Calibri"/>
                <w:bCs/>
                <w:sz w:val="18"/>
                <w:szCs w:val="18"/>
              </w:rPr>
              <w:t>-</w:t>
            </w:r>
          </w:p>
        </w:tc>
      </w:tr>
      <w:tr w:rsidR="000E5744" w:rsidRPr="00277F01" w14:paraId="14D9306E" w14:textId="77777777" w:rsidTr="00B81907">
        <w:trPr>
          <w:trHeight w:val="699"/>
        </w:trPr>
        <w:tc>
          <w:tcPr>
            <w:tcW w:w="2284" w:type="pct"/>
            <w:tcBorders>
              <w:top w:val="single" w:sz="4" w:space="0" w:color="auto"/>
              <w:left w:val="single" w:sz="4" w:space="0" w:color="auto"/>
              <w:bottom w:val="single" w:sz="4" w:space="0" w:color="auto"/>
            </w:tcBorders>
            <w:shd w:val="clear" w:color="auto" w:fill="8DB3E2" w:themeFill="text2" w:themeFillTint="66"/>
            <w:vAlign w:val="center"/>
            <w:hideMark/>
          </w:tcPr>
          <w:p w14:paraId="27D9DB35" w14:textId="3715CB55" w:rsidR="000E5744" w:rsidRPr="0014266E" w:rsidRDefault="00B81907" w:rsidP="005024CE">
            <w:pPr>
              <w:ind w:left="142"/>
              <w:jc w:val="both"/>
              <w:rPr>
                <w:rFonts w:ascii="Calibri" w:eastAsia="Times New Roman" w:hAnsi="Calibri" w:cs="Times New Roman"/>
                <w:bCs/>
                <w:sz w:val="18"/>
                <w:szCs w:val="18"/>
              </w:rPr>
            </w:pPr>
            <w:r>
              <w:rPr>
                <w:rFonts w:ascii="Calibri" w:hAnsi="Calibri"/>
                <w:bCs/>
                <w:sz w:val="18"/>
                <w:szCs w:val="18"/>
              </w:rPr>
              <w:t>Sipërfaqja totale e katit të ndërtesës [m</w:t>
            </w:r>
            <w:r>
              <w:rPr>
                <w:rFonts w:ascii="Calibri" w:hAnsi="Calibri"/>
                <w:bCs/>
                <w:sz w:val="18"/>
                <w:szCs w:val="18"/>
                <w:vertAlign w:val="superscript"/>
              </w:rPr>
              <w:t>2</w:t>
            </w:r>
            <w:r>
              <w:rPr>
                <w:rFonts w:ascii="Calibri" w:hAnsi="Calibri"/>
                <w:bCs/>
                <w:sz w:val="18"/>
                <w:szCs w:val="18"/>
              </w:rPr>
              <w:t>] së objekteve që nuk plotësonin kërkesat e performancës energjetike të përmendura në nenin 5(1)</w:t>
            </w:r>
          </w:p>
        </w:tc>
        <w:tc>
          <w:tcPr>
            <w:tcW w:w="1226" w:type="pct"/>
            <w:tcBorders>
              <w:top w:val="single" w:sz="4" w:space="0" w:color="auto"/>
              <w:bottom w:val="single" w:sz="4" w:space="0" w:color="auto"/>
            </w:tcBorders>
            <w:vAlign w:val="center"/>
            <w:hideMark/>
          </w:tcPr>
          <w:p w14:paraId="6BBB5598" w14:textId="04562852" w:rsidR="000E5744" w:rsidRPr="0014266E" w:rsidRDefault="003E7655" w:rsidP="00811D7F">
            <w:pPr>
              <w:ind w:left="142"/>
              <w:jc w:val="center"/>
              <w:rPr>
                <w:rFonts w:ascii="Calibri" w:eastAsia="Times New Roman" w:hAnsi="Calibri" w:cs="Times New Roman"/>
                <w:bCs/>
                <w:sz w:val="18"/>
                <w:szCs w:val="18"/>
              </w:rPr>
            </w:pPr>
            <w:r>
              <w:rPr>
                <w:rFonts w:ascii="Calibri" w:hAnsi="Calibri"/>
                <w:bCs/>
                <w:sz w:val="18"/>
                <w:szCs w:val="18"/>
              </w:rPr>
              <w:t>NA</w:t>
            </w:r>
          </w:p>
        </w:tc>
        <w:tc>
          <w:tcPr>
            <w:tcW w:w="1490" w:type="pct"/>
            <w:tcBorders>
              <w:top w:val="single" w:sz="4" w:space="0" w:color="auto"/>
              <w:bottom w:val="single" w:sz="4" w:space="0" w:color="auto"/>
            </w:tcBorders>
            <w:vAlign w:val="center"/>
            <w:hideMark/>
          </w:tcPr>
          <w:p w14:paraId="0CCFA427" w14:textId="0259A53A" w:rsidR="000E5744" w:rsidRPr="0014266E" w:rsidRDefault="003E7655" w:rsidP="00811D7F">
            <w:pPr>
              <w:ind w:left="142"/>
              <w:jc w:val="center"/>
              <w:rPr>
                <w:rFonts w:ascii="Calibri" w:eastAsia="Times New Roman" w:hAnsi="Calibri" w:cs="Times New Roman"/>
                <w:bCs/>
                <w:sz w:val="18"/>
                <w:szCs w:val="18"/>
              </w:rPr>
            </w:pPr>
            <w:r>
              <w:rPr>
                <w:rFonts w:ascii="Calibri" w:hAnsi="Calibri"/>
                <w:bCs/>
                <w:sz w:val="18"/>
                <w:szCs w:val="18"/>
              </w:rPr>
              <w:t>NA</w:t>
            </w:r>
          </w:p>
        </w:tc>
      </w:tr>
      <w:tr w:rsidR="00B81907" w:rsidRPr="0014266E" w14:paraId="7CD8A278" w14:textId="77777777" w:rsidTr="00B81907">
        <w:trPr>
          <w:trHeight w:val="171"/>
        </w:trPr>
        <w:tc>
          <w:tcPr>
            <w:tcW w:w="2284" w:type="pct"/>
            <w:tcBorders>
              <w:top w:val="single" w:sz="4" w:space="0" w:color="auto"/>
              <w:left w:val="single" w:sz="4" w:space="0" w:color="auto"/>
            </w:tcBorders>
            <w:shd w:val="clear" w:color="auto" w:fill="8DB3E2" w:themeFill="text2" w:themeFillTint="66"/>
            <w:vAlign w:val="center"/>
          </w:tcPr>
          <w:p w14:paraId="201A6A01" w14:textId="77777777" w:rsidR="00B81907" w:rsidRPr="00B81907" w:rsidRDefault="00B81907" w:rsidP="005024CE">
            <w:pPr>
              <w:ind w:left="142"/>
              <w:jc w:val="both"/>
              <w:rPr>
                <w:rFonts w:ascii="Calibri" w:eastAsia="Times New Roman" w:hAnsi="Calibri" w:cs="Times New Roman"/>
                <w:bCs/>
                <w:sz w:val="18"/>
                <w:szCs w:val="18"/>
                <w:lang w:val="en-GB" w:eastAsia="en-GB"/>
              </w:rPr>
            </w:pPr>
          </w:p>
        </w:tc>
        <w:tc>
          <w:tcPr>
            <w:tcW w:w="1226" w:type="pct"/>
            <w:tcBorders>
              <w:top w:val="single" w:sz="4" w:space="0" w:color="auto"/>
            </w:tcBorders>
            <w:shd w:val="clear" w:color="auto" w:fill="8DB3E2" w:themeFill="text2" w:themeFillTint="66"/>
            <w:vAlign w:val="center"/>
          </w:tcPr>
          <w:p w14:paraId="30616A60" w14:textId="2F970EB0" w:rsidR="00B81907" w:rsidRPr="0014266E" w:rsidRDefault="00B81907" w:rsidP="00811D7F">
            <w:pPr>
              <w:ind w:left="142"/>
              <w:jc w:val="center"/>
              <w:rPr>
                <w:rFonts w:ascii="Calibri" w:eastAsia="Times New Roman" w:hAnsi="Calibri" w:cs="Times New Roman"/>
                <w:bCs/>
                <w:sz w:val="18"/>
                <w:szCs w:val="18"/>
              </w:rPr>
            </w:pPr>
            <w:r>
              <w:rPr>
                <w:rFonts w:ascii="Calibri" w:hAnsi="Calibri"/>
                <w:bCs/>
                <w:sz w:val="18"/>
                <w:szCs w:val="18"/>
              </w:rPr>
              <w:t>2020</w:t>
            </w:r>
          </w:p>
        </w:tc>
        <w:tc>
          <w:tcPr>
            <w:tcW w:w="1490" w:type="pct"/>
            <w:tcBorders>
              <w:top w:val="single" w:sz="4" w:space="0" w:color="auto"/>
            </w:tcBorders>
            <w:shd w:val="clear" w:color="auto" w:fill="8DB3E2" w:themeFill="text2" w:themeFillTint="66"/>
            <w:vAlign w:val="center"/>
          </w:tcPr>
          <w:p w14:paraId="243ABFB1" w14:textId="1F7CFAB8" w:rsidR="00B81907" w:rsidRPr="0014266E" w:rsidRDefault="00B81907" w:rsidP="00811D7F">
            <w:pPr>
              <w:ind w:left="142"/>
              <w:jc w:val="center"/>
              <w:rPr>
                <w:rFonts w:ascii="Calibri" w:eastAsia="Times New Roman" w:hAnsi="Calibri" w:cs="Times New Roman"/>
                <w:bCs/>
                <w:sz w:val="18"/>
                <w:szCs w:val="18"/>
              </w:rPr>
            </w:pPr>
            <w:r>
              <w:rPr>
                <w:rFonts w:ascii="Calibri" w:hAnsi="Calibri"/>
                <w:bCs/>
                <w:sz w:val="18"/>
                <w:szCs w:val="18"/>
              </w:rPr>
              <w:t>2021</w:t>
            </w:r>
          </w:p>
        </w:tc>
      </w:tr>
      <w:tr w:rsidR="00B81907" w:rsidRPr="00277F01" w14:paraId="361BD3EC" w14:textId="77777777" w:rsidTr="00B81907">
        <w:trPr>
          <w:trHeight w:val="614"/>
        </w:trPr>
        <w:tc>
          <w:tcPr>
            <w:tcW w:w="2284" w:type="pct"/>
            <w:tcBorders>
              <w:top w:val="single" w:sz="4" w:space="0" w:color="auto"/>
              <w:left w:val="single" w:sz="4" w:space="0" w:color="auto"/>
            </w:tcBorders>
            <w:shd w:val="clear" w:color="auto" w:fill="8DB3E2" w:themeFill="text2" w:themeFillTint="66"/>
            <w:vAlign w:val="center"/>
          </w:tcPr>
          <w:p w14:paraId="3059ADA1" w14:textId="393BC239" w:rsidR="00B81907" w:rsidRPr="00B81907" w:rsidRDefault="00B81907" w:rsidP="005024CE">
            <w:pPr>
              <w:ind w:left="142"/>
              <w:jc w:val="both"/>
              <w:rPr>
                <w:rFonts w:ascii="Calibri" w:eastAsia="Times New Roman" w:hAnsi="Calibri" w:cs="Times New Roman"/>
                <w:bCs/>
                <w:sz w:val="18"/>
                <w:szCs w:val="18"/>
              </w:rPr>
            </w:pPr>
            <w:r>
              <w:rPr>
                <w:rFonts w:ascii="Calibri" w:hAnsi="Calibri"/>
                <w:bCs/>
                <w:sz w:val="18"/>
                <w:szCs w:val="18"/>
              </w:rPr>
              <w:t>Sipërfaqja totale e katit të ndërtesës [m2] së objekteve të rinovuara siç përmendet në nenin 5(1)</w:t>
            </w:r>
          </w:p>
        </w:tc>
        <w:tc>
          <w:tcPr>
            <w:tcW w:w="1226" w:type="pct"/>
            <w:tcBorders>
              <w:top w:val="single" w:sz="4" w:space="0" w:color="auto"/>
            </w:tcBorders>
            <w:vAlign w:val="center"/>
          </w:tcPr>
          <w:p w14:paraId="7B66D75F" w14:textId="53D07432" w:rsidR="00B81907" w:rsidRPr="0014266E" w:rsidRDefault="00984850" w:rsidP="00811D7F">
            <w:pPr>
              <w:ind w:left="142"/>
              <w:jc w:val="center"/>
              <w:rPr>
                <w:rFonts w:ascii="Calibri" w:eastAsia="Times New Roman" w:hAnsi="Calibri" w:cs="Times New Roman"/>
                <w:bCs/>
                <w:sz w:val="18"/>
                <w:szCs w:val="18"/>
              </w:rPr>
            </w:pPr>
            <w:r>
              <w:rPr>
                <w:rFonts w:ascii="Calibri" w:hAnsi="Calibri"/>
                <w:bCs/>
                <w:sz w:val="18"/>
                <w:szCs w:val="18"/>
              </w:rPr>
              <w:t>-</w:t>
            </w:r>
          </w:p>
        </w:tc>
        <w:tc>
          <w:tcPr>
            <w:tcW w:w="1490" w:type="pct"/>
            <w:tcBorders>
              <w:top w:val="single" w:sz="4" w:space="0" w:color="auto"/>
            </w:tcBorders>
            <w:vAlign w:val="center"/>
          </w:tcPr>
          <w:p w14:paraId="33614834" w14:textId="7F067F99" w:rsidR="00B81907" w:rsidRPr="0014266E" w:rsidRDefault="00984850" w:rsidP="00811D7F">
            <w:pPr>
              <w:ind w:left="142"/>
              <w:jc w:val="center"/>
              <w:rPr>
                <w:rFonts w:ascii="Calibri" w:eastAsia="Times New Roman" w:hAnsi="Calibri" w:cs="Times New Roman"/>
                <w:bCs/>
                <w:sz w:val="18"/>
                <w:szCs w:val="18"/>
              </w:rPr>
            </w:pPr>
            <w:r>
              <w:rPr>
                <w:rFonts w:ascii="Calibri" w:hAnsi="Calibri"/>
                <w:bCs/>
                <w:sz w:val="18"/>
                <w:szCs w:val="18"/>
              </w:rPr>
              <w:t>-</w:t>
            </w:r>
          </w:p>
        </w:tc>
      </w:tr>
      <w:tr w:rsidR="00B81907" w:rsidRPr="00277F01" w14:paraId="28927948" w14:textId="77777777" w:rsidTr="0029765F">
        <w:trPr>
          <w:trHeight w:val="551"/>
        </w:trPr>
        <w:tc>
          <w:tcPr>
            <w:tcW w:w="2284" w:type="pct"/>
            <w:tcBorders>
              <w:top w:val="single" w:sz="4" w:space="0" w:color="auto"/>
              <w:left w:val="single" w:sz="4" w:space="0" w:color="auto"/>
              <w:bottom w:val="single" w:sz="4" w:space="0" w:color="auto"/>
            </w:tcBorders>
            <w:shd w:val="clear" w:color="auto" w:fill="8DB3E2" w:themeFill="text2" w:themeFillTint="66"/>
            <w:vAlign w:val="center"/>
          </w:tcPr>
          <w:p w14:paraId="4AB5FA02" w14:textId="6BFF9EB8" w:rsidR="00B81907" w:rsidRPr="00B81907" w:rsidRDefault="00B81907" w:rsidP="005024CE">
            <w:pPr>
              <w:ind w:left="142"/>
              <w:jc w:val="both"/>
              <w:rPr>
                <w:rFonts w:ascii="Calibri" w:eastAsia="Times New Roman" w:hAnsi="Calibri" w:cs="Times New Roman"/>
                <w:bCs/>
                <w:sz w:val="18"/>
                <w:szCs w:val="18"/>
              </w:rPr>
            </w:pPr>
            <w:r>
              <w:rPr>
                <w:rFonts w:ascii="Calibri" w:hAnsi="Calibri"/>
                <w:bCs/>
                <w:sz w:val="18"/>
                <w:szCs w:val="18"/>
              </w:rPr>
              <w:t>Sasia e kursimit të energjisë [ktoe] të arritur në vitin e caktuar në ndërtesat e pranueshme në pronësi dhe të shfrytëzuara nga qeveria qendrore për shkak të rinovimit të ndërtesave siç përcaktohet në nenin 5(1), e shprehur në energjinë primare ose përfundimtare</w:t>
            </w:r>
          </w:p>
        </w:tc>
        <w:tc>
          <w:tcPr>
            <w:tcW w:w="1226" w:type="pct"/>
            <w:tcBorders>
              <w:top w:val="single" w:sz="4" w:space="0" w:color="auto"/>
              <w:bottom w:val="single" w:sz="4" w:space="0" w:color="auto"/>
            </w:tcBorders>
            <w:vAlign w:val="center"/>
          </w:tcPr>
          <w:p w14:paraId="4244EF46" w14:textId="3759FDD4" w:rsidR="00B81907" w:rsidRPr="0014266E" w:rsidRDefault="00984850" w:rsidP="00811D7F">
            <w:pPr>
              <w:ind w:left="142"/>
              <w:jc w:val="center"/>
              <w:rPr>
                <w:rFonts w:ascii="Calibri" w:eastAsia="Times New Roman" w:hAnsi="Calibri" w:cs="Times New Roman"/>
                <w:bCs/>
                <w:sz w:val="18"/>
                <w:szCs w:val="18"/>
              </w:rPr>
            </w:pPr>
            <w:r>
              <w:rPr>
                <w:rFonts w:ascii="Calibri" w:hAnsi="Calibri"/>
                <w:bCs/>
                <w:sz w:val="18"/>
                <w:szCs w:val="18"/>
              </w:rPr>
              <w:t>-</w:t>
            </w:r>
          </w:p>
        </w:tc>
        <w:tc>
          <w:tcPr>
            <w:tcW w:w="1490" w:type="pct"/>
            <w:tcBorders>
              <w:top w:val="single" w:sz="4" w:space="0" w:color="auto"/>
              <w:bottom w:val="single" w:sz="4" w:space="0" w:color="auto"/>
            </w:tcBorders>
            <w:vAlign w:val="center"/>
          </w:tcPr>
          <w:p w14:paraId="699C3462" w14:textId="126B8190" w:rsidR="00B81907" w:rsidRPr="0014266E" w:rsidRDefault="00984850" w:rsidP="00811D7F">
            <w:pPr>
              <w:ind w:left="142"/>
              <w:jc w:val="center"/>
              <w:rPr>
                <w:rFonts w:ascii="Calibri" w:eastAsia="Times New Roman" w:hAnsi="Calibri" w:cs="Times New Roman"/>
                <w:bCs/>
                <w:sz w:val="18"/>
                <w:szCs w:val="18"/>
              </w:rPr>
            </w:pPr>
            <w:r>
              <w:rPr>
                <w:rFonts w:ascii="Calibri" w:hAnsi="Calibri"/>
                <w:bCs/>
                <w:sz w:val="18"/>
                <w:szCs w:val="18"/>
              </w:rPr>
              <w:t>-</w:t>
            </w:r>
          </w:p>
        </w:tc>
      </w:tr>
      <w:tr w:rsidR="0029765F" w:rsidRPr="00277F01" w14:paraId="17916775" w14:textId="77777777" w:rsidTr="00B81907">
        <w:trPr>
          <w:trHeight w:val="551"/>
        </w:trPr>
        <w:tc>
          <w:tcPr>
            <w:tcW w:w="2284" w:type="pct"/>
            <w:tcBorders>
              <w:top w:val="single" w:sz="4" w:space="0" w:color="auto"/>
              <w:left w:val="single" w:sz="4" w:space="0" w:color="auto"/>
            </w:tcBorders>
            <w:shd w:val="clear" w:color="auto" w:fill="8DB3E2" w:themeFill="text2" w:themeFillTint="66"/>
            <w:vAlign w:val="center"/>
          </w:tcPr>
          <w:p w14:paraId="2BC56C4E" w14:textId="6A277D4A" w:rsidR="0029765F" w:rsidRPr="00B81907" w:rsidRDefault="0029765F" w:rsidP="005024CE">
            <w:pPr>
              <w:ind w:left="142"/>
              <w:jc w:val="both"/>
              <w:rPr>
                <w:rFonts w:ascii="Calibri" w:eastAsia="Times New Roman" w:hAnsi="Calibri" w:cs="Times New Roman"/>
                <w:bCs/>
                <w:sz w:val="18"/>
                <w:szCs w:val="18"/>
              </w:rPr>
            </w:pPr>
            <w:r>
              <w:rPr>
                <w:rFonts w:ascii="Calibri" w:hAnsi="Calibri"/>
                <w:bCs/>
                <w:sz w:val="18"/>
                <w:szCs w:val="18"/>
              </w:rPr>
              <w:t>Numri dhe sipërfaqja e katit [m</w:t>
            </w:r>
            <w:r>
              <w:rPr>
                <w:rFonts w:ascii="Calibri" w:hAnsi="Calibri"/>
                <w:bCs/>
                <w:sz w:val="18"/>
                <w:szCs w:val="18"/>
                <w:vertAlign w:val="superscript"/>
              </w:rPr>
              <w:t>2</w:t>
            </w:r>
            <w:r>
              <w:rPr>
                <w:rFonts w:ascii="Calibri" w:hAnsi="Calibri"/>
                <w:bCs/>
                <w:sz w:val="18"/>
                <w:szCs w:val="18"/>
              </w:rPr>
              <w:t>] të ndërtesave të reja dhe të rinovuara me konsum afër zero-energji.</w:t>
            </w:r>
          </w:p>
        </w:tc>
        <w:tc>
          <w:tcPr>
            <w:tcW w:w="1226" w:type="pct"/>
            <w:tcBorders>
              <w:top w:val="single" w:sz="4" w:space="0" w:color="auto"/>
            </w:tcBorders>
            <w:vAlign w:val="center"/>
          </w:tcPr>
          <w:p w14:paraId="4FD8A67B" w14:textId="41563918" w:rsidR="0029765F" w:rsidRPr="0014266E" w:rsidRDefault="00984850" w:rsidP="00811D7F">
            <w:pPr>
              <w:ind w:left="142"/>
              <w:jc w:val="center"/>
              <w:rPr>
                <w:rFonts w:ascii="Calibri" w:eastAsia="Times New Roman" w:hAnsi="Calibri" w:cs="Times New Roman"/>
                <w:bCs/>
                <w:sz w:val="18"/>
                <w:szCs w:val="18"/>
              </w:rPr>
            </w:pPr>
            <w:r>
              <w:rPr>
                <w:rFonts w:ascii="Calibri" w:hAnsi="Calibri"/>
                <w:bCs/>
                <w:sz w:val="18"/>
                <w:szCs w:val="18"/>
              </w:rPr>
              <w:t>-</w:t>
            </w:r>
          </w:p>
        </w:tc>
        <w:tc>
          <w:tcPr>
            <w:tcW w:w="1490" w:type="pct"/>
            <w:tcBorders>
              <w:top w:val="single" w:sz="4" w:space="0" w:color="auto"/>
            </w:tcBorders>
            <w:vAlign w:val="center"/>
          </w:tcPr>
          <w:p w14:paraId="457794B9" w14:textId="23D92802" w:rsidR="0029765F" w:rsidRPr="0014266E" w:rsidRDefault="00984850" w:rsidP="00811D7F">
            <w:pPr>
              <w:ind w:left="142"/>
              <w:jc w:val="center"/>
              <w:rPr>
                <w:rFonts w:ascii="Calibri" w:eastAsia="Times New Roman" w:hAnsi="Calibri" w:cs="Times New Roman"/>
                <w:bCs/>
                <w:sz w:val="18"/>
                <w:szCs w:val="18"/>
              </w:rPr>
            </w:pPr>
            <w:r>
              <w:rPr>
                <w:rFonts w:ascii="Calibri" w:hAnsi="Calibri"/>
                <w:bCs/>
                <w:sz w:val="18"/>
                <w:szCs w:val="18"/>
              </w:rPr>
              <w:t>-</w:t>
            </w:r>
          </w:p>
        </w:tc>
      </w:tr>
    </w:tbl>
    <w:p w14:paraId="0EE9D02F" w14:textId="77777777" w:rsidR="00900C3A" w:rsidRPr="009309D2" w:rsidRDefault="00327909" w:rsidP="00F576C2">
      <w:pPr>
        <w:pStyle w:val="Heading1"/>
      </w:pPr>
      <w:r>
        <w:t>Detyrimet për efiçiencë të energjisë (neni 7)</w:t>
      </w:r>
    </w:p>
    <w:p w14:paraId="2302B4CE" w14:textId="77777777" w:rsidR="00633E46" w:rsidRPr="009A000F" w:rsidRDefault="00633E46" w:rsidP="00633E46">
      <w:pPr>
        <w:pStyle w:val="ECABodyText"/>
        <w:jc w:val="both"/>
        <w:rPr>
          <w:rFonts w:asciiTheme="minorHAnsi" w:hAnsiTheme="minorHAnsi" w:cstheme="minorHAnsi"/>
        </w:rPr>
      </w:pPr>
      <w:r>
        <w:rPr>
          <w:rFonts w:asciiTheme="minorHAnsi" w:hAnsiTheme="minorHAnsi"/>
        </w:rPr>
        <w:t xml:space="preserve">Ligji për Efiçiencë të Energjisë parasheh kombinimin e skemës së detyrimit për efiçiencën e EE-së dhe/ose masat alternative. Në kuadër të Programit Rajonal për Efiçiencë të Energjisë në Ballkanin Perëndimor Faza II – Dritarja e Dialogut të Politikave 1(a) (REEP Plus),  Ministrisë së Zhvillimit Ekonomik i është ofruar asistencë teknike në zhvillimin e politikave të saj dhe zbatimin e politikave të tilla për përmbushjen e detyrimeve të saj sipas nenit 7 të Direktivës 2012/ 27/BE. Raporti ka nënvizuar tri masa alternative të cilat kanë potencialin më të madh për të ndihmuar Kosovën që të arrijë obligimet e pritshme sipas nenit 7: Fondi i Efiçiencës së Energjisë, marrëveshjet vullnetare dhe rregulloret për dizajn të përgjegjshëm mjedisor. </w:t>
      </w:r>
    </w:p>
    <w:p w14:paraId="0F428C49" w14:textId="0497F296" w:rsidR="004A4ABB" w:rsidRPr="00A906C2" w:rsidRDefault="004A4ABB" w:rsidP="004A4ABB">
      <w:pPr>
        <w:spacing w:after="0" w:line="240" w:lineRule="auto"/>
        <w:jc w:val="both"/>
        <w:rPr>
          <w:rFonts w:eastAsia="Times New Roman" w:cstheme="minorHAnsi"/>
          <w:szCs w:val="20"/>
        </w:rPr>
      </w:pPr>
      <w:r>
        <w:t xml:space="preserve">Kosova ka vendosur të zbatojë masa alternative të politikave që synojnë reduktimin e konsumit përfundimtar të energjisë në vend të skemës së obligimeve. </w:t>
      </w:r>
    </w:p>
    <w:p w14:paraId="3B612D6B" w14:textId="06C1C086" w:rsidR="004A4ABB" w:rsidRPr="00A906C2" w:rsidRDefault="004A4ABB" w:rsidP="004A4ABB">
      <w:pPr>
        <w:spacing w:after="0" w:line="240" w:lineRule="auto"/>
        <w:jc w:val="both"/>
        <w:rPr>
          <w:rFonts w:eastAsia="Times New Roman" w:cstheme="minorHAnsi"/>
          <w:szCs w:val="20"/>
        </w:rPr>
      </w:pPr>
      <w:r>
        <w:t>Masat përfshijnë themelimin e Fondit për Efiçiencë të Energjisë (FEE) i cili është funksional që nga viti 2019.</w:t>
      </w:r>
    </w:p>
    <w:p w14:paraId="751AB9F2" w14:textId="6DBCEB62" w:rsidR="004A4ABB" w:rsidRDefault="00A906C2" w:rsidP="00596D2C">
      <w:pPr>
        <w:spacing w:after="0" w:line="240" w:lineRule="auto"/>
        <w:jc w:val="both"/>
        <w:rPr>
          <w:rFonts w:cstheme="minorHAnsi"/>
          <w:b/>
          <w:bCs/>
        </w:rPr>
      </w:pPr>
      <w:r>
        <w:lastRenderedPageBreak/>
        <w:t>Gjatë vitit 2021 nën “pakon 6” për renovimin e ndërtesave publike, FEE ka zbatuar masat e EE-së në 17 ndërtesa publike. Gjithashtu, është zhvilluar dhe funksionalizuar mekanizmi për trajnimin dhe certifikimin e auditorëve të energjisë dhe vlerësuesve të energjisë me Universitetin e Prishtinës.</w:t>
      </w:r>
    </w:p>
    <w:p w14:paraId="3CB21994" w14:textId="0A008EF9" w:rsidR="007A7C7D" w:rsidRPr="007A7C7D" w:rsidRDefault="00A906C2" w:rsidP="007A7C7D">
      <w:pPr>
        <w:pStyle w:val="ECABodyText"/>
        <w:jc w:val="both"/>
        <w:rPr>
          <w:rFonts w:asciiTheme="minorHAnsi" w:hAnsiTheme="minorHAnsi" w:cstheme="minorHAnsi"/>
        </w:rPr>
      </w:pPr>
      <w:r>
        <w:rPr>
          <w:rFonts w:asciiTheme="minorHAnsi" w:hAnsiTheme="minorHAnsi"/>
          <w:b/>
          <w:bCs/>
        </w:rPr>
        <w:t xml:space="preserve">Rregullorja për dizajn të përgjegjshëm mjedisor, </w:t>
      </w:r>
      <w:r>
        <w:rPr>
          <w:rFonts w:asciiTheme="minorHAnsi" w:hAnsiTheme="minorHAnsi"/>
        </w:rPr>
        <w:t xml:space="preserve">që përcakton standardet minimale të performancës për konsumin e energjisë për një sërë grupesh produktesh të përbashkëta nuk është transpozuar ende në legjislacionin kombëtar, transpozimi i saj është përfshirë nga GPT paralelisht me miratimin e PKEK-së që mbulon periudhën 2023/2030. </w:t>
      </w:r>
    </w:p>
    <w:p w14:paraId="3BB95F35" w14:textId="071BB163" w:rsidR="00B979D3" w:rsidRDefault="00B979D3" w:rsidP="00F75966">
      <w:pPr>
        <w:jc w:val="both"/>
        <w:rPr>
          <w:i/>
          <w:color w:val="0070C0"/>
          <w:lang w:val="en-GB"/>
        </w:rPr>
      </w:pPr>
    </w:p>
    <w:tbl>
      <w:tblPr>
        <w:tblW w:w="5000" w:type="pct"/>
        <w:jc w:val="center"/>
        <w:tblLayout w:type="fixed"/>
        <w:tblCellMar>
          <w:left w:w="115" w:type="dxa"/>
          <w:right w:w="115" w:type="dxa"/>
        </w:tblCellMar>
        <w:tblLook w:val="04A0" w:firstRow="1" w:lastRow="0" w:firstColumn="1" w:lastColumn="0" w:noHBand="0" w:noVBand="1"/>
      </w:tblPr>
      <w:tblGrid>
        <w:gridCol w:w="1552"/>
        <w:gridCol w:w="3029"/>
        <w:gridCol w:w="781"/>
        <w:gridCol w:w="796"/>
        <w:gridCol w:w="794"/>
        <w:gridCol w:w="663"/>
        <w:gridCol w:w="1456"/>
        <w:gridCol w:w="999"/>
      </w:tblGrid>
      <w:tr w:rsidR="007851AD" w:rsidRPr="00666537" w14:paraId="5D794181" w14:textId="77777777" w:rsidTr="007851AD">
        <w:trPr>
          <w:trHeight w:val="145"/>
          <w:jc w:val="center"/>
        </w:trPr>
        <w:tc>
          <w:tcPr>
            <w:tcW w:w="770" w:type="pct"/>
            <w:vMerge w:val="restart"/>
            <w:tcBorders>
              <w:top w:val="single" w:sz="4" w:space="0" w:color="auto"/>
              <w:left w:val="single" w:sz="4" w:space="0" w:color="auto"/>
              <w:right w:val="single" w:sz="4" w:space="0" w:color="auto"/>
            </w:tcBorders>
            <w:shd w:val="clear" w:color="auto" w:fill="8DB3E2" w:themeFill="text2" w:themeFillTint="66"/>
            <w:noWrap/>
            <w:vAlign w:val="center"/>
            <w:hideMark/>
          </w:tcPr>
          <w:p w14:paraId="0AD4E721" w14:textId="14216645" w:rsidR="007851AD" w:rsidRPr="004D4C01" w:rsidRDefault="007851AD" w:rsidP="007851AD">
            <w:pPr>
              <w:spacing w:after="0" w:line="240" w:lineRule="auto"/>
              <w:ind w:left="142"/>
              <w:jc w:val="center"/>
              <w:rPr>
                <w:rFonts w:ascii="Calibri" w:eastAsia="Times New Roman" w:hAnsi="Calibri" w:cs="Times New Roman"/>
                <w:bCs/>
                <w:sz w:val="18"/>
                <w:szCs w:val="18"/>
              </w:rPr>
            </w:pPr>
            <w:r>
              <w:rPr>
                <w:rFonts w:ascii="Calibri" w:hAnsi="Calibri"/>
                <w:bCs/>
                <w:sz w:val="18"/>
                <w:szCs w:val="18"/>
              </w:rPr>
              <w:t xml:space="preserve">LLOJI </w:t>
            </w:r>
          </w:p>
        </w:tc>
        <w:tc>
          <w:tcPr>
            <w:tcW w:w="1504" w:type="pct"/>
            <w:tcBorders>
              <w:top w:val="single" w:sz="4" w:space="0" w:color="auto"/>
              <w:left w:val="single" w:sz="4" w:space="0" w:color="auto"/>
              <w:right w:val="single" w:sz="4" w:space="0" w:color="auto"/>
            </w:tcBorders>
            <w:shd w:val="clear" w:color="auto" w:fill="8DB3E2" w:themeFill="text2" w:themeFillTint="66"/>
          </w:tcPr>
          <w:p w14:paraId="6F292321" w14:textId="77777777" w:rsidR="007851AD" w:rsidRDefault="007851AD" w:rsidP="00811D7F">
            <w:pPr>
              <w:spacing w:after="0" w:line="240" w:lineRule="auto"/>
              <w:jc w:val="center"/>
              <w:rPr>
                <w:rFonts w:eastAsia="Times New Roman" w:cstheme="minorHAnsi"/>
                <w:color w:val="000000"/>
                <w:sz w:val="18"/>
                <w:szCs w:val="18"/>
                <w:lang w:val="en-GB" w:eastAsia="en-GB"/>
              </w:rPr>
            </w:pPr>
          </w:p>
        </w:tc>
        <w:tc>
          <w:tcPr>
            <w:tcW w:w="1506"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C54EB4" w14:textId="46881F64" w:rsidR="007851AD" w:rsidRPr="004D4C01" w:rsidRDefault="007851AD" w:rsidP="00811D7F">
            <w:pPr>
              <w:spacing w:after="0" w:line="240" w:lineRule="auto"/>
              <w:jc w:val="center"/>
              <w:rPr>
                <w:rFonts w:eastAsia="Times New Roman" w:cstheme="minorHAnsi"/>
                <w:color w:val="000000"/>
                <w:sz w:val="18"/>
                <w:szCs w:val="18"/>
              </w:rPr>
            </w:pPr>
            <w:r>
              <w:rPr>
                <w:color w:val="000000"/>
                <w:sz w:val="18"/>
                <w:szCs w:val="18"/>
              </w:rPr>
              <w:t>KURSIMET VJETOR (KTOE)</w:t>
            </w:r>
          </w:p>
        </w:tc>
        <w:tc>
          <w:tcPr>
            <w:tcW w:w="723" w:type="pct"/>
            <w:vMerge w:val="restart"/>
            <w:tcBorders>
              <w:top w:val="single" w:sz="4" w:space="0" w:color="auto"/>
              <w:left w:val="single" w:sz="4" w:space="0" w:color="auto"/>
              <w:right w:val="single" w:sz="4" w:space="0" w:color="auto"/>
            </w:tcBorders>
            <w:shd w:val="clear" w:color="auto" w:fill="8DB3E2" w:themeFill="text2" w:themeFillTint="66"/>
            <w:vAlign w:val="center"/>
          </w:tcPr>
          <w:p w14:paraId="119E96E4" w14:textId="2F3F65D2" w:rsidR="007851AD" w:rsidRDefault="007851AD" w:rsidP="007851AD">
            <w:pPr>
              <w:spacing w:after="0" w:line="240" w:lineRule="auto"/>
              <w:jc w:val="center"/>
              <w:rPr>
                <w:rFonts w:eastAsia="Times New Roman" w:cstheme="minorHAnsi"/>
                <w:color w:val="000000"/>
                <w:sz w:val="18"/>
                <w:szCs w:val="18"/>
              </w:rPr>
            </w:pPr>
            <w:r>
              <w:rPr>
                <w:color w:val="000000"/>
                <w:sz w:val="18"/>
                <w:szCs w:val="18"/>
              </w:rPr>
              <w:t>TOTALI KUMULATIV (KTOE)</w:t>
            </w:r>
          </w:p>
        </w:tc>
        <w:tc>
          <w:tcPr>
            <w:tcW w:w="496" w:type="pct"/>
            <w:vMerge w:val="restart"/>
            <w:tcBorders>
              <w:top w:val="single" w:sz="4" w:space="0" w:color="auto"/>
              <w:left w:val="single" w:sz="4" w:space="0" w:color="auto"/>
              <w:right w:val="single" w:sz="4" w:space="0" w:color="auto"/>
            </w:tcBorders>
            <w:shd w:val="clear" w:color="auto" w:fill="8DB3E2" w:themeFill="text2" w:themeFillTint="66"/>
            <w:noWrap/>
            <w:vAlign w:val="center"/>
          </w:tcPr>
          <w:p w14:paraId="0B693093" w14:textId="264C7BF9" w:rsidR="007851AD" w:rsidRPr="004D4C01" w:rsidRDefault="007851AD" w:rsidP="005024CE">
            <w:pPr>
              <w:spacing w:after="0" w:line="240" w:lineRule="auto"/>
              <w:ind w:left="-103"/>
              <w:jc w:val="center"/>
              <w:rPr>
                <w:rFonts w:eastAsia="Times New Roman" w:cstheme="minorHAnsi"/>
                <w:color w:val="000000"/>
                <w:sz w:val="18"/>
                <w:szCs w:val="18"/>
              </w:rPr>
            </w:pPr>
            <w:r>
              <w:rPr>
                <w:color w:val="000000"/>
                <w:sz w:val="18"/>
                <w:szCs w:val="18"/>
              </w:rPr>
              <w:t>% E OBJEKTIVIT TË EEO</w:t>
            </w:r>
          </w:p>
        </w:tc>
      </w:tr>
      <w:tr w:rsidR="007851AD" w:rsidRPr="00666537" w14:paraId="4C307D10" w14:textId="77777777" w:rsidTr="007851AD">
        <w:trPr>
          <w:trHeight w:val="50"/>
          <w:jc w:val="center"/>
        </w:trPr>
        <w:tc>
          <w:tcPr>
            <w:tcW w:w="770" w:type="pct"/>
            <w:vMerge/>
            <w:tcBorders>
              <w:left w:val="single" w:sz="4" w:space="0" w:color="auto"/>
              <w:bottom w:val="single" w:sz="4" w:space="0" w:color="auto"/>
              <w:right w:val="single" w:sz="4" w:space="0" w:color="auto"/>
            </w:tcBorders>
            <w:shd w:val="clear" w:color="auto" w:fill="8DB3E2" w:themeFill="text2" w:themeFillTint="66"/>
            <w:noWrap/>
            <w:vAlign w:val="center"/>
          </w:tcPr>
          <w:p w14:paraId="3D3E4272" w14:textId="77777777" w:rsidR="007851AD" w:rsidRDefault="007851AD" w:rsidP="00811D7F">
            <w:pPr>
              <w:spacing w:after="0" w:line="240" w:lineRule="auto"/>
              <w:ind w:left="142"/>
              <w:jc w:val="center"/>
              <w:rPr>
                <w:rFonts w:ascii="Calibri" w:eastAsia="Times New Roman" w:hAnsi="Calibri" w:cs="Times New Roman"/>
                <w:bCs/>
                <w:sz w:val="18"/>
                <w:szCs w:val="18"/>
                <w:lang w:val="en-GB" w:eastAsia="en-GB"/>
              </w:rPr>
            </w:pPr>
          </w:p>
        </w:tc>
        <w:tc>
          <w:tcPr>
            <w:tcW w:w="1504" w:type="pct"/>
            <w:tcBorders>
              <w:left w:val="single" w:sz="4" w:space="0" w:color="auto"/>
              <w:bottom w:val="single" w:sz="4" w:space="0" w:color="auto"/>
              <w:right w:val="single" w:sz="4" w:space="0" w:color="auto"/>
            </w:tcBorders>
            <w:shd w:val="clear" w:color="auto" w:fill="8DB3E2" w:themeFill="text2" w:themeFillTint="66"/>
          </w:tcPr>
          <w:p w14:paraId="5D58122B" w14:textId="63FF6E24" w:rsidR="007851AD" w:rsidRDefault="007851AD" w:rsidP="00811D7F">
            <w:pPr>
              <w:spacing w:after="0" w:line="240" w:lineRule="auto"/>
              <w:jc w:val="center"/>
              <w:rPr>
                <w:rFonts w:eastAsia="Times New Roman" w:cstheme="minorHAnsi"/>
                <w:color w:val="000000"/>
                <w:sz w:val="18"/>
                <w:szCs w:val="18"/>
              </w:rPr>
            </w:pPr>
            <w:r>
              <w:rPr>
                <w:rFonts w:ascii="Calibri" w:hAnsi="Calibri"/>
                <w:bCs/>
                <w:sz w:val="18"/>
                <w:szCs w:val="18"/>
              </w:rPr>
              <w:t>EMRI I MASËS</w:t>
            </w:r>
          </w:p>
        </w:tc>
        <w:tc>
          <w:tcPr>
            <w:tcW w:w="3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87F265" w14:textId="1835A718" w:rsidR="007851AD" w:rsidRDefault="007851AD" w:rsidP="00811D7F">
            <w:pPr>
              <w:spacing w:after="0" w:line="240" w:lineRule="auto"/>
              <w:jc w:val="center"/>
              <w:rPr>
                <w:rFonts w:eastAsia="Times New Roman" w:cstheme="minorHAnsi"/>
                <w:color w:val="000000"/>
                <w:sz w:val="18"/>
                <w:szCs w:val="18"/>
              </w:rPr>
            </w:pPr>
            <w:r>
              <w:rPr>
                <w:color w:val="000000"/>
                <w:sz w:val="18"/>
                <w:szCs w:val="18"/>
              </w:rPr>
              <w:t>2017</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6B08A0" w14:textId="79000635" w:rsidR="007851AD" w:rsidRDefault="007851AD" w:rsidP="00811D7F">
            <w:pPr>
              <w:spacing w:after="0" w:line="240" w:lineRule="auto"/>
              <w:jc w:val="center"/>
              <w:rPr>
                <w:rFonts w:eastAsia="Times New Roman" w:cstheme="minorHAnsi"/>
                <w:color w:val="000000"/>
                <w:sz w:val="18"/>
                <w:szCs w:val="18"/>
              </w:rPr>
            </w:pPr>
            <w:r>
              <w:rPr>
                <w:color w:val="000000"/>
                <w:sz w:val="18"/>
                <w:szCs w:val="18"/>
              </w:rPr>
              <w:t>2018</w:t>
            </w:r>
          </w:p>
        </w:tc>
        <w:tc>
          <w:tcPr>
            <w:tcW w:w="39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36A63D" w14:textId="0CBF093D" w:rsidR="007851AD" w:rsidRDefault="007851AD" w:rsidP="00811D7F">
            <w:pPr>
              <w:spacing w:after="0" w:line="240" w:lineRule="auto"/>
              <w:jc w:val="center"/>
              <w:rPr>
                <w:rFonts w:eastAsia="Times New Roman" w:cstheme="minorHAnsi"/>
                <w:color w:val="000000"/>
                <w:sz w:val="18"/>
                <w:szCs w:val="18"/>
              </w:rPr>
            </w:pPr>
            <w:r>
              <w:rPr>
                <w:color w:val="000000"/>
                <w:sz w:val="18"/>
                <w:szCs w:val="18"/>
              </w:rPr>
              <w:t>2019</w:t>
            </w:r>
          </w:p>
        </w:tc>
        <w:tc>
          <w:tcPr>
            <w:tcW w:w="32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87E19D" w14:textId="45910422" w:rsidR="007851AD" w:rsidRDefault="007851AD" w:rsidP="00811D7F">
            <w:pPr>
              <w:spacing w:after="0" w:line="240" w:lineRule="auto"/>
              <w:jc w:val="center"/>
              <w:rPr>
                <w:rFonts w:eastAsia="Times New Roman" w:cstheme="minorHAnsi"/>
                <w:color w:val="000000"/>
                <w:sz w:val="18"/>
                <w:szCs w:val="18"/>
              </w:rPr>
            </w:pPr>
            <w:r>
              <w:rPr>
                <w:color w:val="000000"/>
                <w:sz w:val="18"/>
                <w:szCs w:val="18"/>
              </w:rPr>
              <w:t>2020</w:t>
            </w:r>
          </w:p>
        </w:tc>
        <w:tc>
          <w:tcPr>
            <w:tcW w:w="723" w:type="pct"/>
            <w:vMerge/>
            <w:tcBorders>
              <w:left w:val="single" w:sz="4" w:space="0" w:color="auto"/>
              <w:bottom w:val="single" w:sz="4" w:space="0" w:color="auto"/>
              <w:right w:val="single" w:sz="4" w:space="0" w:color="auto"/>
            </w:tcBorders>
            <w:shd w:val="clear" w:color="auto" w:fill="8DB3E2" w:themeFill="text2" w:themeFillTint="66"/>
          </w:tcPr>
          <w:p w14:paraId="433B3AAF" w14:textId="77777777" w:rsidR="007851AD" w:rsidRPr="004D4C01" w:rsidRDefault="007851AD" w:rsidP="007851AD">
            <w:pPr>
              <w:spacing w:after="0" w:line="240" w:lineRule="auto"/>
              <w:rPr>
                <w:rFonts w:eastAsia="Times New Roman" w:cstheme="minorHAnsi"/>
                <w:color w:val="000000"/>
                <w:sz w:val="18"/>
                <w:szCs w:val="18"/>
                <w:lang w:val="en-GB" w:eastAsia="en-GB"/>
              </w:rPr>
            </w:pPr>
          </w:p>
        </w:tc>
        <w:tc>
          <w:tcPr>
            <w:tcW w:w="496" w:type="pct"/>
            <w:vMerge/>
            <w:tcBorders>
              <w:left w:val="single" w:sz="4" w:space="0" w:color="auto"/>
              <w:bottom w:val="single" w:sz="4" w:space="0" w:color="auto"/>
              <w:right w:val="single" w:sz="4" w:space="0" w:color="auto"/>
            </w:tcBorders>
            <w:shd w:val="clear" w:color="auto" w:fill="8DB3E2" w:themeFill="text2" w:themeFillTint="66"/>
            <w:noWrap/>
            <w:vAlign w:val="center"/>
          </w:tcPr>
          <w:p w14:paraId="2FE7017A" w14:textId="0C0F54F7" w:rsidR="007851AD" w:rsidRPr="004D4C01" w:rsidRDefault="007851AD" w:rsidP="00811D7F">
            <w:pPr>
              <w:spacing w:after="0" w:line="240" w:lineRule="auto"/>
              <w:jc w:val="center"/>
              <w:rPr>
                <w:rFonts w:eastAsia="Times New Roman" w:cstheme="minorHAnsi"/>
                <w:color w:val="000000"/>
                <w:sz w:val="18"/>
                <w:szCs w:val="18"/>
                <w:lang w:val="en-GB" w:eastAsia="en-GB"/>
              </w:rPr>
            </w:pPr>
          </w:p>
        </w:tc>
      </w:tr>
      <w:tr w:rsidR="007851AD" w:rsidRPr="008631BE" w14:paraId="04DEB6DE"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2E45B" w14:textId="32F24AF6" w:rsidR="007851AD" w:rsidRPr="004D4C01" w:rsidRDefault="007851AD" w:rsidP="0008676B">
            <w:pPr>
              <w:spacing w:after="0" w:line="240" w:lineRule="auto"/>
              <w:ind w:left="142"/>
              <w:rPr>
                <w:rFonts w:ascii="Calibri" w:eastAsia="Times New Roman" w:hAnsi="Calibri" w:cs="Times New Roman"/>
                <w:bCs/>
                <w:sz w:val="18"/>
                <w:szCs w:val="18"/>
              </w:rPr>
            </w:pPr>
            <w:r>
              <w:rPr>
                <w:rFonts w:ascii="Calibri" w:hAnsi="Calibri"/>
                <w:bCs/>
                <w:sz w:val="18"/>
                <w:szCs w:val="18"/>
              </w:rPr>
              <w:t>EEOS</w:t>
            </w:r>
          </w:p>
        </w:tc>
        <w:tc>
          <w:tcPr>
            <w:tcW w:w="1504" w:type="pct"/>
            <w:tcBorders>
              <w:top w:val="single" w:sz="4" w:space="0" w:color="auto"/>
              <w:left w:val="single" w:sz="4" w:space="0" w:color="auto"/>
              <w:bottom w:val="single" w:sz="4" w:space="0" w:color="auto"/>
              <w:right w:val="single" w:sz="4" w:space="0" w:color="auto"/>
            </w:tcBorders>
          </w:tcPr>
          <w:p w14:paraId="0CB875C6"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288F3F84" w14:textId="16BDDC48"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3AE3C4AD"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1A84773C" w14:textId="4DD68CC8"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66DEE8D3"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0BAA4542"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6D10E" w14:textId="524712D5"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788971F2"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A1FA3" w14:textId="0F2F1FF0" w:rsidR="007851AD" w:rsidRPr="004D4C01" w:rsidRDefault="007851AD" w:rsidP="00811D7F">
            <w:pPr>
              <w:spacing w:after="0" w:line="240" w:lineRule="auto"/>
              <w:ind w:left="142"/>
              <w:rPr>
                <w:rFonts w:ascii="Calibri" w:eastAsia="Times New Roman" w:hAnsi="Calibri" w:cs="Times New Roman"/>
                <w:bCs/>
                <w:sz w:val="18"/>
                <w:szCs w:val="18"/>
              </w:rPr>
            </w:pPr>
            <w:r>
              <w:rPr>
                <w:rFonts w:ascii="Calibri" w:hAnsi="Calibri"/>
                <w:bCs/>
                <w:sz w:val="18"/>
                <w:szCs w:val="18"/>
              </w:rPr>
              <w:t xml:space="preserve">Masa alternative 1: </w:t>
            </w:r>
          </w:p>
        </w:tc>
        <w:tc>
          <w:tcPr>
            <w:tcW w:w="1504" w:type="pct"/>
            <w:tcBorders>
              <w:top w:val="single" w:sz="4" w:space="0" w:color="auto"/>
              <w:left w:val="single" w:sz="4" w:space="0" w:color="auto"/>
              <w:bottom w:val="single" w:sz="4" w:space="0" w:color="auto"/>
              <w:right w:val="single" w:sz="4" w:space="0" w:color="auto"/>
            </w:tcBorders>
          </w:tcPr>
          <w:p w14:paraId="3B09195B" w14:textId="43706E12"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583CAADF" w14:textId="1B8AE893"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5797C139"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2A741431" w14:textId="4EFCE98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423753D9"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233C1463"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88093" w14:textId="1E2F9A38"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3B2D00FC"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55C5B" w14:textId="0F6531E6" w:rsidR="007851AD" w:rsidRPr="004D4C01" w:rsidRDefault="007851AD" w:rsidP="00811D7F">
            <w:pPr>
              <w:spacing w:after="0" w:line="240" w:lineRule="auto"/>
              <w:ind w:left="142"/>
              <w:rPr>
                <w:rFonts w:ascii="Calibri" w:eastAsia="Times New Roman" w:hAnsi="Calibri" w:cs="Times New Roman"/>
                <w:bCs/>
                <w:sz w:val="18"/>
                <w:szCs w:val="18"/>
              </w:rPr>
            </w:pPr>
            <w:r>
              <w:rPr>
                <w:rFonts w:ascii="Calibri" w:hAnsi="Calibri"/>
                <w:bCs/>
                <w:sz w:val="18"/>
                <w:szCs w:val="18"/>
              </w:rPr>
              <w:t>Masa alternative 2:</w:t>
            </w:r>
          </w:p>
        </w:tc>
        <w:tc>
          <w:tcPr>
            <w:tcW w:w="1504" w:type="pct"/>
            <w:tcBorders>
              <w:top w:val="single" w:sz="4" w:space="0" w:color="auto"/>
              <w:left w:val="single" w:sz="4" w:space="0" w:color="auto"/>
              <w:bottom w:val="single" w:sz="4" w:space="0" w:color="auto"/>
              <w:right w:val="single" w:sz="4" w:space="0" w:color="auto"/>
            </w:tcBorders>
          </w:tcPr>
          <w:p w14:paraId="1C6B03BC" w14:textId="4B3B7AF6"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3914EA3F" w14:textId="671E9C9C"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70C3E29A"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726B4EE5" w14:textId="73DC9819"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19BEA97F"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7DAE9F56"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91BD1" w14:textId="52E6DCBA"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5E851234"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B9824" w14:textId="19D6A792" w:rsidR="007851AD" w:rsidRPr="004D4C01" w:rsidRDefault="007851AD" w:rsidP="00811D7F">
            <w:pPr>
              <w:spacing w:after="0" w:line="240" w:lineRule="auto"/>
              <w:ind w:left="142"/>
              <w:rPr>
                <w:rFonts w:ascii="Calibri" w:eastAsia="Times New Roman" w:hAnsi="Calibri" w:cs="Times New Roman"/>
                <w:bCs/>
                <w:sz w:val="18"/>
                <w:szCs w:val="18"/>
              </w:rPr>
            </w:pPr>
            <w:r>
              <w:rPr>
                <w:rFonts w:ascii="Calibri" w:hAnsi="Calibri"/>
                <w:bCs/>
                <w:sz w:val="18"/>
                <w:szCs w:val="18"/>
              </w:rPr>
              <w:t>Masa alternative 3:</w:t>
            </w:r>
          </w:p>
        </w:tc>
        <w:tc>
          <w:tcPr>
            <w:tcW w:w="1504" w:type="pct"/>
            <w:tcBorders>
              <w:top w:val="single" w:sz="4" w:space="0" w:color="auto"/>
              <w:left w:val="single" w:sz="4" w:space="0" w:color="auto"/>
              <w:bottom w:val="single" w:sz="4" w:space="0" w:color="auto"/>
              <w:right w:val="single" w:sz="4" w:space="0" w:color="auto"/>
            </w:tcBorders>
          </w:tcPr>
          <w:p w14:paraId="1BF49217" w14:textId="43E901B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2E5879B1" w14:textId="507B0ED3"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15D25051"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13414243" w14:textId="25D920F6"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4997B857"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06227040"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7BDB1" w14:textId="2F23A94B"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1AC0FF74"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84C1A" w14:textId="49762149" w:rsidR="007851AD" w:rsidRPr="004D4C01" w:rsidRDefault="007851AD" w:rsidP="00811D7F">
            <w:pPr>
              <w:spacing w:after="0" w:line="240" w:lineRule="auto"/>
              <w:ind w:left="142"/>
              <w:rPr>
                <w:rFonts w:ascii="Calibri" w:eastAsia="Times New Roman" w:hAnsi="Calibri" w:cs="Times New Roman"/>
                <w:bCs/>
                <w:sz w:val="18"/>
                <w:szCs w:val="18"/>
              </w:rPr>
            </w:pPr>
            <w:r>
              <w:rPr>
                <w:rFonts w:ascii="Calibri" w:hAnsi="Calibri"/>
                <w:bCs/>
                <w:sz w:val="18"/>
                <w:szCs w:val="18"/>
              </w:rPr>
              <w:t>Masa alternative 4:</w:t>
            </w:r>
          </w:p>
        </w:tc>
        <w:tc>
          <w:tcPr>
            <w:tcW w:w="1504" w:type="pct"/>
            <w:tcBorders>
              <w:top w:val="single" w:sz="4" w:space="0" w:color="auto"/>
              <w:left w:val="single" w:sz="4" w:space="0" w:color="auto"/>
              <w:bottom w:val="single" w:sz="4" w:space="0" w:color="auto"/>
              <w:right w:val="single" w:sz="4" w:space="0" w:color="auto"/>
            </w:tcBorders>
          </w:tcPr>
          <w:p w14:paraId="49414E8E" w14:textId="5CF394DB"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692C5AE8" w14:textId="1095433E"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3A9A188C"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65A871D6" w14:textId="405FE9D3"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0A240CBE"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0F78DD6D"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97B04" w14:textId="7238FE18"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976830" w14:paraId="38D249BF"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4C50D" w14:textId="56C0AC6B" w:rsidR="007851AD" w:rsidRPr="004D4C01" w:rsidRDefault="007851AD" w:rsidP="00811D7F">
            <w:pPr>
              <w:spacing w:after="0" w:line="240" w:lineRule="auto"/>
              <w:ind w:left="142"/>
              <w:rPr>
                <w:rFonts w:ascii="Calibri" w:eastAsia="Times New Roman" w:hAnsi="Calibri" w:cs="Times New Roman"/>
                <w:bCs/>
                <w:sz w:val="18"/>
                <w:szCs w:val="18"/>
              </w:rPr>
            </w:pPr>
            <w:r>
              <w:rPr>
                <w:rFonts w:ascii="Calibri" w:hAnsi="Calibri"/>
                <w:bCs/>
                <w:sz w:val="18"/>
                <w:szCs w:val="18"/>
              </w:rPr>
              <w:t>Masa alternative 5:</w:t>
            </w:r>
          </w:p>
        </w:tc>
        <w:tc>
          <w:tcPr>
            <w:tcW w:w="1504" w:type="pct"/>
            <w:tcBorders>
              <w:top w:val="single" w:sz="4" w:space="0" w:color="auto"/>
              <w:left w:val="single" w:sz="4" w:space="0" w:color="auto"/>
              <w:bottom w:val="single" w:sz="4" w:space="0" w:color="auto"/>
              <w:right w:val="single" w:sz="4" w:space="0" w:color="auto"/>
            </w:tcBorders>
          </w:tcPr>
          <w:p w14:paraId="7539B746" w14:textId="07A28B6D"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2CD8819B" w14:textId="696F7DCB"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29766E05"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08F0D0C8" w14:textId="44AC84FB"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19864859"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08E66A3B"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240F1" w14:textId="2AD35812"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3C0AA14D"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76640950" w14:textId="178DE16F" w:rsidR="007851AD" w:rsidRPr="004D4C01" w:rsidRDefault="007851AD" w:rsidP="007851AD">
            <w:pPr>
              <w:spacing w:after="0" w:line="240" w:lineRule="auto"/>
              <w:ind w:left="142"/>
              <w:rPr>
                <w:rFonts w:ascii="Calibri" w:eastAsia="Times New Roman" w:hAnsi="Calibri" w:cs="Times New Roman"/>
                <w:bCs/>
                <w:sz w:val="18"/>
                <w:szCs w:val="18"/>
              </w:rPr>
            </w:pPr>
            <w:r>
              <w:rPr>
                <w:rFonts w:ascii="Calibri" w:hAnsi="Calibri"/>
                <w:bCs/>
                <w:sz w:val="18"/>
                <w:szCs w:val="18"/>
              </w:rPr>
              <w:t xml:space="preserve">TOTALI </w:t>
            </w:r>
          </w:p>
        </w:tc>
        <w:tc>
          <w:tcPr>
            <w:tcW w:w="1504" w:type="pct"/>
            <w:tcBorders>
              <w:top w:val="single" w:sz="4" w:space="0" w:color="auto"/>
              <w:left w:val="single" w:sz="4" w:space="0" w:color="auto"/>
              <w:bottom w:val="single" w:sz="4" w:space="0" w:color="auto"/>
              <w:right w:val="single" w:sz="4" w:space="0" w:color="auto"/>
            </w:tcBorders>
          </w:tcPr>
          <w:p w14:paraId="1DD55A1E" w14:textId="77777777"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6C63599" w14:textId="4238F32A"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34C8E37" w14:textId="77777777"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D033262" w14:textId="3F6791AE"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EB0A08E" w14:textId="77777777"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55EEBE31" w14:textId="77777777"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C6851" w14:textId="0A861C0C"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r>
    </w:tbl>
    <w:p w14:paraId="07DD318B" w14:textId="77777777" w:rsidR="00FD7C2F" w:rsidRDefault="00FD7C2F" w:rsidP="00F1229B">
      <w:pPr>
        <w:jc w:val="both"/>
        <w:rPr>
          <w:b/>
          <w:i/>
          <w:color w:val="0070C0"/>
          <w:lang w:val="en-GB"/>
        </w:rPr>
      </w:pPr>
    </w:p>
    <w:p w14:paraId="3D9D33C9" w14:textId="3F08BAC7" w:rsidR="0014266E" w:rsidRPr="009309D2" w:rsidRDefault="0014266E" w:rsidP="00B81907">
      <w:pPr>
        <w:pStyle w:val="Heading1"/>
      </w:pPr>
      <w:r>
        <w:t>Auditimet e energjisë (neni 8) dhe shërbimet energjetike (neni 18)</w:t>
      </w:r>
    </w:p>
    <w:p w14:paraId="61B1A867" w14:textId="2477D579" w:rsidR="00FC5256" w:rsidRDefault="00FC5256" w:rsidP="00B81907">
      <w:pPr>
        <w:jc w:val="both"/>
        <w:rPr>
          <w:rFonts w:ascii="Times New Roman" w:hAnsi="Times New Roman" w:cs="Times New Roman"/>
          <w:i/>
          <w:sz w:val="24"/>
          <w:szCs w:val="24"/>
        </w:rPr>
      </w:pPr>
      <w:r>
        <w:t>Gjatë vitit 2020 dhe 2021 ishte shpallur tenderi për përgatitjen e auditimit të energjisë në nivel komunal. Janë kryer 77 auditime të energjisë dhe kursimet në emetimet e CO</w:t>
      </w:r>
      <w:r>
        <w:rPr>
          <w:vertAlign w:val="subscript"/>
        </w:rPr>
        <w:t xml:space="preserve">2 </w:t>
      </w:r>
      <w:r>
        <w:t>janë vlerësuar të jenë 3237.18 tonë/vit.  Gjatë vitit 2021, Qendra për Qëndrueshmëri e Universitetit të Prishtinës “</w:t>
      </w:r>
      <w:proofErr w:type="spellStart"/>
      <w:r>
        <w:t>Hasan</w:t>
      </w:r>
      <w:proofErr w:type="spellEnd"/>
      <w:r>
        <w:t xml:space="preserve"> Prishtina” ka trajnuar dhe certifikuar 59 auditorë të energjisë (</w:t>
      </w:r>
      <w:hyperlink r:id="rId19" w:history="1">
        <w:r>
          <w:rPr>
            <w:rStyle w:val="Hyperlink"/>
            <w:rFonts w:ascii="Times New Roman" w:hAnsi="Times New Roman"/>
            <w:i/>
            <w:sz w:val="24"/>
            <w:szCs w:val="24"/>
          </w:rPr>
          <w:t>https://fkee-rks.net/en/</w:t>
        </w:r>
      </w:hyperlink>
      <w:r>
        <w:rPr>
          <w:rFonts w:ascii="Times New Roman" w:hAnsi="Times New Roman"/>
          <w:i/>
          <w:sz w:val="24"/>
          <w:szCs w:val="24"/>
        </w:rPr>
        <w:t>)</w:t>
      </w:r>
    </w:p>
    <w:p w14:paraId="7F255A56" w14:textId="4274FC84" w:rsidR="00E3153F" w:rsidRPr="00E3153F" w:rsidRDefault="00B673BC" w:rsidP="00E3153F">
      <w:pPr>
        <w:jc w:val="both"/>
        <w:rPr>
          <w:rFonts w:ascii="Calibri" w:eastAsia="Times New Roman" w:hAnsi="Calibri" w:cs="Calibri"/>
          <w:color w:val="000000"/>
        </w:rPr>
      </w:pPr>
      <w:r>
        <w:t xml:space="preserve">Shënime: Janë bërë përpjekje për të ngritur investimet e bankave komerciale në masat e energjisë së gjelbër dhe efiçiencës së energjisë dhe shuma totale e investimit është </w:t>
      </w:r>
      <w:r>
        <w:rPr>
          <w:rFonts w:ascii="Calibri" w:hAnsi="Calibri"/>
          <w:color w:val="000000"/>
        </w:rPr>
        <w:t>17,687,699.69 mil. euro.</w:t>
      </w:r>
    </w:p>
    <w:p w14:paraId="6C5274B7" w14:textId="71CC32F9" w:rsidR="00633A85" w:rsidRDefault="0014266E" w:rsidP="0014266E">
      <w:pPr>
        <w:jc w:val="both"/>
        <w:rPr>
          <w:i/>
          <w:color w:val="0070C0"/>
        </w:rPr>
      </w:pPr>
      <w:r>
        <w:rPr>
          <w:i/>
          <w:color w:val="0070C0"/>
        </w:rPr>
        <w:t xml:space="preserve">Ju lutemi jepni informacion në tabelën e mëposhtme: </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4603"/>
        <w:gridCol w:w="2470"/>
        <w:gridCol w:w="3002"/>
      </w:tblGrid>
      <w:tr w:rsidR="005B2EDD" w:rsidRPr="0014266E" w14:paraId="15084669" w14:textId="77777777" w:rsidTr="00B81907">
        <w:trPr>
          <w:trHeight w:val="570"/>
        </w:trPr>
        <w:tc>
          <w:tcPr>
            <w:tcW w:w="2284" w:type="pct"/>
            <w:tcBorders>
              <w:bottom w:val="single" w:sz="4" w:space="0" w:color="auto"/>
            </w:tcBorders>
            <w:shd w:val="clear" w:color="auto" w:fill="auto"/>
            <w:vAlign w:val="center"/>
            <w:hideMark/>
          </w:tcPr>
          <w:p w14:paraId="590495DD" w14:textId="77777777" w:rsidR="005B2EDD" w:rsidRPr="0014266E" w:rsidRDefault="005B2EDD" w:rsidP="00811D7F">
            <w:pPr>
              <w:ind w:left="142"/>
              <w:jc w:val="center"/>
              <w:rPr>
                <w:rFonts w:ascii="Calibri" w:eastAsia="Times New Roman" w:hAnsi="Calibri" w:cs="Times New Roman"/>
                <w:bCs/>
                <w:sz w:val="18"/>
                <w:szCs w:val="18"/>
                <w:lang w:val="en-GB" w:eastAsia="en-GB"/>
              </w:rPr>
            </w:pPr>
          </w:p>
        </w:tc>
        <w:tc>
          <w:tcPr>
            <w:tcW w:w="1226" w:type="pct"/>
            <w:tcBorders>
              <w:top w:val="single" w:sz="4" w:space="0" w:color="auto"/>
              <w:bottom w:val="single" w:sz="4" w:space="0" w:color="auto"/>
            </w:tcBorders>
            <w:shd w:val="clear" w:color="auto" w:fill="8DB3E2" w:themeFill="text2" w:themeFillTint="66"/>
            <w:vAlign w:val="center"/>
            <w:hideMark/>
          </w:tcPr>
          <w:p w14:paraId="1FF61C46" w14:textId="2AF75B7B" w:rsidR="005B2EDD" w:rsidRPr="0014266E" w:rsidRDefault="005B2EDD" w:rsidP="00811D7F">
            <w:pPr>
              <w:ind w:left="142"/>
              <w:jc w:val="center"/>
              <w:rPr>
                <w:rFonts w:ascii="Calibri" w:eastAsia="Times New Roman" w:hAnsi="Calibri" w:cs="Times New Roman"/>
                <w:bCs/>
                <w:sz w:val="18"/>
                <w:szCs w:val="18"/>
              </w:rPr>
            </w:pPr>
            <w:r>
              <w:rPr>
                <w:rFonts w:ascii="Calibri" w:hAnsi="Calibri"/>
                <w:bCs/>
                <w:sz w:val="18"/>
                <w:szCs w:val="18"/>
              </w:rPr>
              <w:t>2020</w:t>
            </w:r>
          </w:p>
        </w:tc>
        <w:tc>
          <w:tcPr>
            <w:tcW w:w="1490" w:type="pct"/>
            <w:tcBorders>
              <w:top w:val="single" w:sz="4" w:space="0" w:color="auto"/>
              <w:bottom w:val="single" w:sz="4" w:space="0" w:color="auto"/>
            </w:tcBorders>
            <w:shd w:val="clear" w:color="auto" w:fill="8DB3E2" w:themeFill="text2" w:themeFillTint="66"/>
            <w:vAlign w:val="center"/>
            <w:hideMark/>
          </w:tcPr>
          <w:p w14:paraId="3FA76CDE" w14:textId="56044A59" w:rsidR="005B2EDD" w:rsidRPr="0014266E" w:rsidRDefault="005B2EDD" w:rsidP="00811D7F">
            <w:pPr>
              <w:ind w:left="142"/>
              <w:jc w:val="center"/>
              <w:rPr>
                <w:rFonts w:ascii="Calibri" w:eastAsia="Times New Roman" w:hAnsi="Calibri" w:cs="Times New Roman"/>
                <w:bCs/>
                <w:sz w:val="18"/>
                <w:szCs w:val="18"/>
              </w:rPr>
            </w:pPr>
            <w:r>
              <w:rPr>
                <w:rFonts w:ascii="Calibri" w:hAnsi="Calibri"/>
                <w:bCs/>
                <w:sz w:val="18"/>
                <w:szCs w:val="18"/>
              </w:rPr>
              <w:t>2021</w:t>
            </w:r>
          </w:p>
        </w:tc>
      </w:tr>
      <w:tr w:rsidR="005B2EDD" w:rsidRPr="00277F01" w14:paraId="7E4FE2BA" w14:textId="77777777" w:rsidTr="00B81907">
        <w:trPr>
          <w:trHeight w:val="600"/>
        </w:trPr>
        <w:tc>
          <w:tcPr>
            <w:tcW w:w="2284" w:type="pct"/>
            <w:tcBorders>
              <w:top w:val="single" w:sz="4" w:space="0" w:color="auto"/>
              <w:left w:val="single" w:sz="4" w:space="0" w:color="auto"/>
            </w:tcBorders>
            <w:shd w:val="clear" w:color="auto" w:fill="8DB3E2" w:themeFill="text2" w:themeFillTint="66"/>
            <w:vAlign w:val="center"/>
            <w:hideMark/>
          </w:tcPr>
          <w:p w14:paraId="7981E1BD" w14:textId="77777777" w:rsidR="005B2EDD" w:rsidRPr="0014266E" w:rsidRDefault="005B2EDD" w:rsidP="00811D7F">
            <w:pPr>
              <w:ind w:left="142"/>
              <w:jc w:val="center"/>
              <w:rPr>
                <w:rFonts w:ascii="Calibri" w:eastAsia="Times New Roman" w:hAnsi="Calibri" w:cs="Times New Roman"/>
                <w:bCs/>
                <w:sz w:val="18"/>
                <w:szCs w:val="18"/>
              </w:rPr>
            </w:pPr>
            <w:r>
              <w:rPr>
                <w:rFonts w:ascii="Calibri" w:hAnsi="Calibri"/>
                <w:bCs/>
                <w:sz w:val="18"/>
                <w:szCs w:val="18"/>
              </w:rPr>
              <w:t>Numri i auditimeve të energjisë të realizuara.</w:t>
            </w:r>
          </w:p>
        </w:tc>
        <w:tc>
          <w:tcPr>
            <w:tcW w:w="1226" w:type="pct"/>
            <w:tcBorders>
              <w:top w:val="single" w:sz="4" w:space="0" w:color="auto"/>
            </w:tcBorders>
            <w:vAlign w:val="center"/>
            <w:hideMark/>
          </w:tcPr>
          <w:p w14:paraId="06BE0753" w14:textId="0A58FE97" w:rsidR="005B2EDD" w:rsidRPr="0014266E" w:rsidRDefault="00633A85" w:rsidP="00811D7F">
            <w:pPr>
              <w:ind w:left="142"/>
              <w:jc w:val="center"/>
              <w:rPr>
                <w:rFonts w:ascii="Calibri" w:eastAsia="Times New Roman" w:hAnsi="Calibri" w:cs="Times New Roman"/>
                <w:bCs/>
                <w:sz w:val="18"/>
                <w:szCs w:val="18"/>
              </w:rPr>
            </w:pPr>
            <w:r>
              <w:rPr>
                <w:rFonts w:ascii="Calibri" w:hAnsi="Calibri"/>
                <w:bCs/>
                <w:sz w:val="18"/>
                <w:szCs w:val="18"/>
              </w:rPr>
              <w:t>-</w:t>
            </w:r>
          </w:p>
        </w:tc>
        <w:tc>
          <w:tcPr>
            <w:tcW w:w="1490" w:type="pct"/>
            <w:tcBorders>
              <w:top w:val="single" w:sz="4" w:space="0" w:color="auto"/>
            </w:tcBorders>
            <w:vAlign w:val="center"/>
            <w:hideMark/>
          </w:tcPr>
          <w:p w14:paraId="432BB1C6" w14:textId="0A4B2660" w:rsidR="005B2EDD" w:rsidRPr="0014266E" w:rsidRDefault="00633A85" w:rsidP="00811D7F">
            <w:pPr>
              <w:ind w:left="142"/>
              <w:jc w:val="center"/>
              <w:rPr>
                <w:rFonts w:ascii="Calibri" w:eastAsia="Times New Roman" w:hAnsi="Calibri" w:cs="Times New Roman"/>
                <w:bCs/>
                <w:sz w:val="18"/>
                <w:szCs w:val="18"/>
              </w:rPr>
            </w:pPr>
            <w:r>
              <w:rPr>
                <w:rFonts w:ascii="Calibri" w:hAnsi="Calibri"/>
                <w:bCs/>
                <w:sz w:val="18"/>
                <w:szCs w:val="18"/>
              </w:rPr>
              <w:t>77</w:t>
            </w:r>
          </w:p>
        </w:tc>
      </w:tr>
      <w:tr w:rsidR="005B2EDD" w:rsidRPr="00277F01" w14:paraId="02864005" w14:textId="77777777" w:rsidTr="00B81907">
        <w:trPr>
          <w:trHeight w:val="1800"/>
        </w:trPr>
        <w:tc>
          <w:tcPr>
            <w:tcW w:w="2284" w:type="pct"/>
            <w:tcBorders>
              <w:top w:val="single" w:sz="4" w:space="0" w:color="auto"/>
              <w:left w:val="single" w:sz="4" w:space="0" w:color="auto"/>
            </w:tcBorders>
            <w:shd w:val="clear" w:color="auto" w:fill="8DB3E2" w:themeFill="text2" w:themeFillTint="66"/>
            <w:vAlign w:val="center"/>
            <w:hideMark/>
          </w:tcPr>
          <w:p w14:paraId="59B9E5B1" w14:textId="31F33298" w:rsidR="005B2EDD" w:rsidRPr="0014266E" w:rsidRDefault="005B2EDD" w:rsidP="00811D7F">
            <w:pPr>
              <w:ind w:left="142"/>
              <w:jc w:val="center"/>
              <w:rPr>
                <w:rFonts w:ascii="Calibri" w:eastAsia="Times New Roman" w:hAnsi="Calibri" w:cs="Times New Roman"/>
                <w:bCs/>
                <w:sz w:val="18"/>
                <w:szCs w:val="18"/>
              </w:rPr>
            </w:pPr>
            <w:r>
              <w:rPr>
                <w:rFonts w:ascii="Calibri" w:hAnsi="Calibri"/>
                <w:bCs/>
                <w:sz w:val="18"/>
                <w:szCs w:val="18"/>
              </w:rPr>
              <w:t>Numri total i vlerësuar i kompanive të mëdha në territorin e CP-së për të cilat zbatohet neni 8(4) i Direktivës 2012/27/BE</w:t>
            </w:r>
          </w:p>
        </w:tc>
        <w:tc>
          <w:tcPr>
            <w:tcW w:w="1226" w:type="pct"/>
            <w:tcBorders>
              <w:top w:val="single" w:sz="4" w:space="0" w:color="auto"/>
            </w:tcBorders>
            <w:vAlign w:val="center"/>
            <w:hideMark/>
          </w:tcPr>
          <w:p w14:paraId="4BAD9556" w14:textId="5A38EFA0" w:rsidR="005B2EDD" w:rsidRPr="0014266E" w:rsidRDefault="00A906C2" w:rsidP="00811D7F">
            <w:pPr>
              <w:ind w:left="142"/>
              <w:jc w:val="center"/>
              <w:rPr>
                <w:rFonts w:ascii="Calibri" w:eastAsia="Times New Roman" w:hAnsi="Calibri" w:cs="Times New Roman"/>
                <w:bCs/>
                <w:sz w:val="18"/>
                <w:szCs w:val="18"/>
              </w:rPr>
            </w:pPr>
            <w:r>
              <w:rPr>
                <w:rFonts w:ascii="Calibri" w:hAnsi="Calibri"/>
                <w:bCs/>
                <w:sz w:val="18"/>
                <w:szCs w:val="18"/>
              </w:rPr>
              <w:t>-</w:t>
            </w:r>
          </w:p>
        </w:tc>
        <w:tc>
          <w:tcPr>
            <w:tcW w:w="1490" w:type="pct"/>
            <w:tcBorders>
              <w:top w:val="single" w:sz="4" w:space="0" w:color="auto"/>
            </w:tcBorders>
            <w:vAlign w:val="center"/>
            <w:hideMark/>
          </w:tcPr>
          <w:p w14:paraId="5D46DC82" w14:textId="43C6F66C" w:rsidR="005B2EDD" w:rsidRPr="0014266E" w:rsidRDefault="00B02406" w:rsidP="00811D7F">
            <w:pPr>
              <w:ind w:left="142"/>
              <w:jc w:val="center"/>
              <w:rPr>
                <w:rFonts w:ascii="Calibri" w:eastAsia="Times New Roman" w:hAnsi="Calibri" w:cs="Times New Roman"/>
                <w:bCs/>
                <w:sz w:val="18"/>
                <w:szCs w:val="18"/>
              </w:rPr>
            </w:pPr>
            <w:r>
              <w:rPr>
                <w:rFonts w:ascii="Calibri" w:hAnsi="Calibri"/>
                <w:bCs/>
                <w:sz w:val="18"/>
                <w:szCs w:val="18"/>
              </w:rPr>
              <w:t>-</w:t>
            </w:r>
          </w:p>
        </w:tc>
      </w:tr>
      <w:tr w:rsidR="005B2EDD" w:rsidRPr="00277F01" w14:paraId="1D63F5B6" w14:textId="77777777" w:rsidTr="00B81907">
        <w:trPr>
          <w:trHeight w:val="900"/>
        </w:trPr>
        <w:tc>
          <w:tcPr>
            <w:tcW w:w="2284" w:type="pct"/>
            <w:tcBorders>
              <w:top w:val="single" w:sz="4" w:space="0" w:color="auto"/>
              <w:left w:val="single" w:sz="4" w:space="0" w:color="auto"/>
              <w:bottom w:val="single" w:sz="4" w:space="0" w:color="auto"/>
            </w:tcBorders>
            <w:shd w:val="clear" w:color="auto" w:fill="8DB3E2" w:themeFill="text2" w:themeFillTint="66"/>
            <w:vAlign w:val="center"/>
            <w:hideMark/>
          </w:tcPr>
          <w:p w14:paraId="7352BCA8" w14:textId="3C9C8949" w:rsidR="005B2EDD" w:rsidRPr="0014266E" w:rsidRDefault="005B2EDD" w:rsidP="00811D7F">
            <w:pPr>
              <w:ind w:left="142"/>
              <w:jc w:val="center"/>
              <w:rPr>
                <w:rFonts w:ascii="Calibri" w:eastAsia="Times New Roman" w:hAnsi="Calibri" w:cs="Times New Roman"/>
                <w:bCs/>
                <w:sz w:val="18"/>
                <w:szCs w:val="18"/>
              </w:rPr>
            </w:pPr>
            <w:r>
              <w:rPr>
                <w:rFonts w:ascii="Calibri" w:hAnsi="Calibri"/>
                <w:bCs/>
                <w:sz w:val="18"/>
                <w:szCs w:val="18"/>
              </w:rPr>
              <w:lastRenderedPageBreak/>
              <w:t>Numri i auditimeve të energjisë të realizuara në ato ndërmarrje</w:t>
            </w:r>
          </w:p>
        </w:tc>
        <w:tc>
          <w:tcPr>
            <w:tcW w:w="1226" w:type="pct"/>
            <w:tcBorders>
              <w:top w:val="single" w:sz="4" w:space="0" w:color="auto"/>
              <w:bottom w:val="single" w:sz="4" w:space="0" w:color="auto"/>
            </w:tcBorders>
            <w:vAlign w:val="center"/>
            <w:hideMark/>
          </w:tcPr>
          <w:p w14:paraId="481C65C1" w14:textId="42E85A1C" w:rsidR="005B2EDD" w:rsidRPr="0014266E" w:rsidRDefault="00B02406" w:rsidP="00811D7F">
            <w:pPr>
              <w:ind w:left="142"/>
              <w:jc w:val="center"/>
              <w:rPr>
                <w:rFonts w:ascii="Calibri" w:eastAsia="Times New Roman" w:hAnsi="Calibri" w:cs="Times New Roman"/>
                <w:bCs/>
                <w:sz w:val="18"/>
                <w:szCs w:val="18"/>
              </w:rPr>
            </w:pPr>
            <w:r>
              <w:rPr>
                <w:rFonts w:ascii="Calibri" w:hAnsi="Calibri"/>
                <w:bCs/>
                <w:sz w:val="18"/>
                <w:szCs w:val="18"/>
              </w:rPr>
              <w:t>-</w:t>
            </w:r>
          </w:p>
        </w:tc>
        <w:tc>
          <w:tcPr>
            <w:tcW w:w="1490" w:type="pct"/>
            <w:tcBorders>
              <w:top w:val="single" w:sz="4" w:space="0" w:color="auto"/>
              <w:bottom w:val="single" w:sz="4" w:space="0" w:color="auto"/>
            </w:tcBorders>
            <w:vAlign w:val="center"/>
            <w:hideMark/>
          </w:tcPr>
          <w:p w14:paraId="04787D1A" w14:textId="66D5CBF2" w:rsidR="005B2EDD" w:rsidRPr="0014266E" w:rsidRDefault="00B02406" w:rsidP="00811D7F">
            <w:pPr>
              <w:ind w:left="142"/>
              <w:jc w:val="center"/>
              <w:rPr>
                <w:rFonts w:ascii="Calibri" w:eastAsia="Times New Roman" w:hAnsi="Calibri" w:cs="Times New Roman"/>
                <w:bCs/>
                <w:sz w:val="18"/>
                <w:szCs w:val="18"/>
              </w:rPr>
            </w:pPr>
            <w:r>
              <w:rPr>
                <w:rFonts w:ascii="Calibri" w:hAnsi="Calibri"/>
                <w:bCs/>
                <w:sz w:val="18"/>
                <w:szCs w:val="18"/>
              </w:rPr>
              <w:t>-</w:t>
            </w:r>
          </w:p>
        </w:tc>
      </w:tr>
      <w:tr w:rsidR="00B81907" w:rsidRPr="007C7C8F" w14:paraId="4BDBD77E" w14:textId="77777777" w:rsidTr="00B81907">
        <w:trPr>
          <w:trHeight w:val="900"/>
        </w:trPr>
        <w:tc>
          <w:tcPr>
            <w:tcW w:w="2284" w:type="pct"/>
            <w:tcBorders>
              <w:top w:val="single" w:sz="4" w:space="0" w:color="auto"/>
              <w:left w:val="single" w:sz="4" w:space="0" w:color="auto"/>
            </w:tcBorders>
            <w:shd w:val="clear" w:color="auto" w:fill="8DB3E2" w:themeFill="text2" w:themeFillTint="66"/>
            <w:vAlign w:val="center"/>
          </w:tcPr>
          <w:p w14:paraId="2C8E785A" w14:textId="71BDCA2A" w:rsidR="00B81907" w:rsidRPr="0014266E" w:rsidRDefault="00B81907" w:rsidP="00B81907">
            <w:pPr>
              <w:ind w:left="142"/>
              <w:jc w:val="center"/>
              <w:rPr>
                <w:rFonts w:ascii="Calibri" w:eastAsia="Times New Roman" w:hAnsi="Calibri" w:cs="Times New Roman"/>
                <w:bCs/>
                <w:sz w:val="18"/>
                <w:szCs w:val="18"/>
              </w:rPr>
            </w:pPr>
            <w:r>
              <w:rPr>
                <w:rFonts w:ascii="Calibri" w:hAnsi="Calibri"/>
                <w:bCs/>
                <w:sz w:val="18"/>
                <w:szCs w:val="18"/>
              </w:rPr>
              <w:t>Lidhja e internetit me faqen e internetit ku është lista ose ndërfaqja e ofruesve të shërbimeve të energjisë</w:t>
            </w:r>
          </w:p>
        </w:tc>
        <w:tc>
          <w:tcPr>
            <w:tcW w:w="2716" w:type="pct"/>
            <w:gridSpan w:val="2"/>
            <w:tcBorders>
              <w:top w:val="single" w:sz="4" w:space="0" w:color="auto"/>
            </w:tcBorders>
            <w:vAlign w:val="center"/>
          </w:tcPr>
          <w:p w14:paraId="0CA90970" w14:textId="47847917" w:rsidR="00B81907" w:rsidRPr="0014266E" w:rsidRDefault="00B02406" w:rsidP="00811D7F">
            <w:pPr>
              <w:ind w:left="142"/>
              <w:jc w:val="center"/>
              <w:rPr>
                <w:rFonts w:ascii="Calibri" w:eastAsia="Times New Roman" w:hAnsi="Calibri" w:cs="Times New Roman"/>
                <w:bCs/>
                <w:sz w:val="18"/>
                <w:szCs w:val="18"/>
              </w:rPr>
            </w:pPr>
            <w:r>
              <w:rPr>
                <w:rFonts w:ascii="Calibri" w:hAnsi="Calibri"/>
                <w:bCs/>
                <w:sz w:val="18"/>
                <w:szCs w:val="18"/>
              </w:rPr>
              <w:t>Asnjë kompani ESCO nuk është themeluar gjatë periudhës raportuese</w:t>
            </w:r>
          </w:p>
        </w:tc>
      </w:tr>
    </w:tbl>
    <w:p w14:paraId="33218657" w14:textId="6C02B38F" w:rsidR="005B2EDD" w:rsidRPr="009309D2" w:rsidRDefault="005B2EDD" w:rsidP="005B2EDD">
      <w:pPr>
        <w:pStyle w:val="Heading1"/>
        <w:ind w:left="714" w:hanging="357"/>
      </w:pPr>
      <w:r>
        <w:t>Faktorët për transformim të energjisë (Shtojca IV DEE-së)</w:t>
      </w:r>
    </w:p>
    <w:p w14:paraId="58618CCC" w14:textId="00850B33" w:rsidR="005B2EDD" w:rsidRPr="00B02406" w:rsidRDefault="00B02406" w:rsidP="005B2EDD">
      <w:pPr>
        <w:jc w:val="both"/>
        <w:rPr>
          <w:rFonts w:ascii="Times New Roman" w:hAnsi="Times New Roman" w:cs="Times New Roman"/>
          <w:iCs/>
          <w:sz w:val="24"/>
          <w:szCs w:val="24"/>
        </w:rPr>
      </w:pPr>
      <w:r>
        <w:rPr>
          <w:rFonts w:ascii="Times New Roman" w:hAnsi="Times New Roman"/>
          <w:iCs/>
          <w:sz w:val="24"/>
          <w:szCs w:val="24"/>
        </w:rPr>
        <w:t xml:space="preserve">Ne konfirmojmë se faktorët kombëtarë të energjisë primare për energjinë elektrike janë aplikuar si në Shtojcën IV të Direktivës 2012/27/BE. </w:t>
      </w:r>
    </w:p>
    <w:p w14:paraId="5312F920" w14:textId="35147C9F" w:rsidR="00FD7C2F" w:rsidRDefault="00F1229B" w:rsidP="00F1229B">
      <w:pPr>
        <w:jc w:val="both"/>
        <w:rPr>
          <w:b/>
          <w:i/>
          <w:color w:val="0070C0"/>
        </w:rPr>
      </w:pPr>
      <w:r>
        <w:rPr>
          <w:b/>
          <w:i/>
          <w:color w:val="0070C0"/>
        </w:rPr>
        <w:t xml:space="preserve">SHËNIM: </w:t>
      </w:r>
    </w:p>
    <w:p w14:paraId="4453C1FB" w14:textId="7C2965C5" w:rsidR="00F1229B" w:rsidRDefault="00F1229B" w:rsidP="00F1229B">
      <w:pPr>
        <w:jc w:val="both"/>
        <w:rPr>
          <w:b/>
          <w:i/>
          <w:color w:val="0070C0"/>
        </w:rPr>
      </w:pPr>
      <w:r>
        <w:rPr>
          <w:b/>
          <w:i/>
          <w:color w:val="0070C0"/>
        </w:rPr>
        <w:t>Të dhënat për konsumin primar dhe përfundimtar të energjisë në vitin 2020 duhet të futen në tabelën MS Excel (shih Pjesën 2 të Raportit)!</w:t>
      </w:r>
    </w:p>
    <w:p w14:paraId="6D440E25" w14:textId="77777777" w:rsidR="00900C3A" w:rsidRPr="009309D2" w:rsidRDefault="00900C3A" w:rsidP="00DA4990">
      <w:pPr>
        <w:jc w:val="both"/>
        <w:rPr>
          <w:lang w:val="en-GB"/>
        </w:rPr>
      </w:pPr>
    </w:p>
    <w:sectPr w:rsidR="00900C3A" w:rsidRPr="009309D2" w:rsidSect="00211444">
      <w:headerReference w:type="default" r:id="rId20"/>
      <w:footerReference w:type="default" r:id="rId21"/>
      <w:pgSz w:w="11906" w:h="16838" w:code="9"/>
      <w:pgMar w:top="1440" w:right="926" w:bottom="1440" w:left="90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92FC6" w16cid:durableId="27FE4668"/>
  <w16cid:commentId w16cid:paraId="72387388" w16cid:durableId="27FE4669"/>
  <w16cid:commentId w16cid:paraId="6B4A1AF4" w16cid:durableId="27FE46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E09F" w14:textId="77777777" w:rsidR="001A2CC2" w:rsidRDefault="001A2CC2" w:rsidP="009255C9">
      <w:pPr>
        <w:spacing w:after="0" w:line="240" w:lineRule="auto"/>
      </w:pPr>
      <w:r>
        <w:separator/>
      </w:r>
    </w:p>
  </w:endnote>
  <w:endnote w:type="continuationSeparator" w:id="0">
    <w:p w14:paraId="2C935A2A" w14:textId="77777777" w:rsidR="001A2CC2" w:rsidRDefault="001A2CC2" w:rsidP="0092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689500"/>
      <w:docPartObj>
        <w:docPartGallery w:val="Page Numbers (Bottom of Page)"/>
        <w:docPartUnique/>
      </w:docPartObj>
    </w:sdtPr>
    <w:sdtEndPr>
      <w:rPr>
        <w:noProof/>
      </w:rPr>
    </w:sdtEndPr>
    <w:sdtContent>
      <w:p w14:paraId="071A1F0F" w14:textId="0EDAC364" w:rsidR="00CB2F4B" w:rsidRDefault="00CB2F4B">
        <w:pPr>
          <w:pStyle w:val="Footer"/>
          <w:jc w:val="right"/>
        </w:pPr>
        <w:r>
          <w:fldChar w:fldCharType="begin"/>
        </w:r>
        <w:r>
          <w:instrText xml:space="preserve"> PAGE   \* MERGEFORMAT </w:instrText>
        </w:r>
        <w:r>
          <w:fldChar w:fldCharType="separate"/>
        </w:r>
        <w:r w:rsidR="005024CE">
          <w:rPr>
            <w:noProof/>
          </w:rPr>
          <w:t>10</w:t>
        </w:r>
        <w:r>
          <w:fldChar w:fldCharType="end"/>
        </w:r>
      </w:p>
    </w:sdtContent>
  </w:sdt>
  <w:p w14:paraId="724184B3" w14:textId="77777777" w:rsidR="00CB2F4B" w:rsidRDefault="00CB2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46BBB" w14:textId="77777777" w:rsidR="001A2CC2" w:rsidRDefault="001A2CC2" w:rsidP="009255C9">
      <w:pPr>
        <w:spacing w:after="0" w:line="240" w:lineRule="auto"/>
      </w:pPr>
      <w:r>
        <w:separator/>
      </w:r>
    </w:p>
  </w:footnote>
  <w:footnote w:type="continuationSeparator" w:id="0">
    <w:p w14:paraId="67529C7D" w14:textId="77777777" w:rsidR="001A2CC2" w:rsidRDefault="001A2CC2" w:rsidP="0092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87C5" w14:textId="77777777" w:rsidR="0060796F" w:rsidRDefault="0060796F">
    <w:pPr>
      <w:pStyle w:val="Header"/>
    </w:pPr>
  </w:p>
  <w:p w14:paraId="05168113" w14:textId="77777777" w:rsidR="009255C9" w:rsidRDefault="00925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2237"/>
    <w:multiLevelType w:val="hybridMultilevel"/>
    <w:tmpl w:val="F030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6516A"/>
    <w:multiLevelType w:val="hybridMultilevel"/>
    <w:tmpl w:val="2D824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27D06"/>
    <w:multiLevelType w:val="hybridMultilevel"/>
    <w:tmpl w:val="4CCC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932F9"/>
    <w:multiLevelType w:val="hybridMultilevel"/>
    <w:tmpl w:val="19ECB4BA"/>
    <w:lvl w:ilvl="0" w:tplc="FB767BC8">
      <w:start w:val="1"/>
      <w:numFmt w:val="upperLetter"/>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E3940"/>
    <w:multiLevelType w:val="hybridMultilevel"/>
    <w:tmpl w:val="16946D20"/>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53749"/>
    <w:multiLevelType w:val="hybridMultilevel"/>
    <w:tmpl w:val="3AC89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F4524"/>
    <w:multiLevelType w:val="hybridMultilevel"/>
    <w:tmpl w:val="8EBC3F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AD2E5E"/>
    <w:multiLevelType w:val="hybridMultilevel"/>
    <w:tmpl w:val="646AA420"/>
    <w:lvl w:ilvl="0" w:tplc="D104091A">
      <w:start w:val="9"/>
      <w:numFmt w:val="bullet"/>
      <w:lvlText w:val="-"/>
      <w:lvlJc w:val="left"/>
      <w:pPr>
        <w:ind w:left="720" w:hanging="360"/>
      </w:pPr>
      <w:rPr>
        <w:rFonts w:ascii="Calibri" w:eastAsia="Times New Roman" w:hAnsi="Calibri" w:cs="Calibri" w:hint="default"/>
        <w:color w:val="FF0000"/>
        <w:sz w:val="18"/>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69D85752"/>
    <w:multiLevelType w:val="hybridMultilevel"/>
    <w:tmpl w:val="ABE894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620FD0"/>
    <w:multiLevelType w:val="multilevel"/>
    <w:tmpl w:val="924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E7DDE"/>
    <w:multiLevelType w:val="hybridMultilevel"/>
    <w:tmpl w:val="115E8E48"/>
    <w:lvl w:ilvl="0" w:tplc="8EA6DB58">
      <w:numFmt w:val="bullet"/>
      <w:lvlText w:val="-"/>
      <w:lvlJc w:val="left"/>
      <w:pPr>
        <w:ind w:left="1080" w:hanging="360"/>
      </w:pPr>
      <w:rPr>
        <w:rFonts w:ascii="Calibri" w:eastAsiaTheme="minorHAnsi" w:hAnsi="Calibri" w:cs="Calibr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15:restartNumberingAfterBreak="0">
    <w:nsid w:val="6E574D2E"/>
    <w:multiLevelType w:val="multilevel"/>
    <w:tmpl w:val="3B3E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F70BD"/>
    <w:multiLevelType w:val="hybridMultilevel"/>
    <w:tmpl w:val="8A70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12"/>
  </w:num>
  <w:num w:numId="8">
    <w:abstractNumId w:val="8"/>
  </w:num>
  <w:num w:numId="9">
    <w:abstractNumId w:val="3"/>
    <w:lvlOverride w:ilvl="0">
      <w:startOverride w:val="1"/>
    </w:lvlOverride>
  </w:num>
  <w:num w:numId="10">
    <w:abstractNumId w:val="3"/>
  </w:num>
  <w:num w:numId="11">
    <w:abstractNumId w:val="3"/>
    <w:lvlOverride w:ilvl="0">
      <w:startOverride w:val="1"/>
    </w:lvlOverride>
  </w:num>
  <w:num w:numId="12">
    <w:abstractNumId w:val="3"/>
  </w:num>
  <w:num w:numId="13">
    <w:abstractNumId w:val="7"/>
  </w:num>
  <w:num w:numId="14">
    <w:abstractNumId w:val="10"/>
  </w:num>
  <w:num w:numId="15">
    <w:abstractNumId w:val="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E0MDewNLU0N7BQ0lEKTi0uzszPAykwrwUAEyuhOSwAAAA="/>
  </w:docVars>
  <w:rsids>
    <w:rsidRoot w:val="000921C1"/>
    <w:rsid w:val="0000117E"/>
    <w:rsid w:val="00007AC4"/>
    <w:rsid w:val="0001306E"/>
    <w:rsid w:val="00031460"/>
    <w:rsid w:val="00035929"/>
    <w:rsid w:val="00043139"/>
    <w:rsid w:val="0004431A"/>
    <w:rsid w:val="00046F85"/>
    <w:rsid w:val="00050237"/>
    <w:rsid w:val="00057709"/>
    <w:rsid w:val="000631CF"/>
    <w:rsid w:val="00071E80"/>
    <w:rsid w:val="00073CA6"/>
    <w:rsid w:val="0008676B"/>
    <w:rsid w:val="000921C1"/>
    <w:rsid w:val="000A11CB"/>
    <w:rsid w:val="000A3E46"/>
    <w:rsid w:val="000B2A31"/>
    <w:rsid w:val="000B319A"/>
    <w:rsid w:val="000B3BAC"/>
    <w:rsid w:val="000B7F7A"/>
    <w:rsid w:val="000D156F"/>
    <w:rsid w:val="000D6B97"/>
    <w:rsid w:val="000E2C87"/>
    <w:rsid w:val="000E5744"/>
    <w:rsid w:val="000E649D"/>
    <w:rsid w:val="000E7DAB"/>
    <w:rsid w:val="000F7E87"/>
    <w:rsid w:val="00122CFD"/>
    <w:rsid w:val="00124F62"/>
    <w:rsid w:val="0012652E"/>
    <w:rsid w:val="00131602"/>
    <w:rsid w:val="0014266E"/>
    <w:rsid w:val="00173C4F"/>
    <w:rsid w:val="00184F4F"/>
    <w:rsid w:val="00185EAD"/>
    <w:rsid w:val="00193F14"/>
    <w:rsid w:val="001A2CC2"/>
    <w:rsid w:val="001C1C34"/>
    <w:rsid w:val="001C49E1"/>
    <w:rsid w:val="001D6B04"/>
    <w:rsid w:val="001E3896"/>
    <w:rsid w:val="001F0C24"/>
    <w:rsid w:val="001F1370"/>
    <w:rsid w:val="001F3275"/>
    <w:rsid w:val="001F7C1A"/>
    <w:rsid w:val="00205F0A"/>
    <w:rsid w:val="002110FE"/>
    <w:rsid w:val="00211444"/>
    <w:rsid w:val="002126A1"/>
    <w:rsid w:val="00213B9F"/>
    <w:rsid w:val="00215526"/>
    <w:rsid w:val="00216FCF"/>
    <w:rsid w:val="00254C35"/>
    <w:rsid w:val="00266D38"/>
    <w:rsid w:val="002702D4"/>
    <w:rsid w:val="002740F4"/>
    <w:rsid w:val="00277F01"/>
    <w:rsid w:val="002804EC"/>
    <w:rsid w:val="00292868"/>
    <w:rsid w:val="0029765F"/>
    <w:rsid w:val="002A46DC"/>
    <w:rsid w:val="002A4BE4"/>
    <w:rsid w:val="002C3039"/>
    <w:rsid w:val="002D5129"/>
    <w:rsid w:val="002D7EC0"/>
    <w:rsid w:val="002F0CEC"/>
    <w:rsid w:val="002F2AC5"/>
    <w:rsid w:val="002F41BB"/>
    <w:rsid w:val="002F6954"/>
    <w:rsid w:val="0030167C"/>
    <w:rsid w:val="00324063"/>
    <w:rsid w:val="00327909"/>
    <w:rsid w:val="00327B8A"/>
    <w:rsid w:val="003406ED"/>
    <w:rsid w:val="00354DD9"/>
    <w:rsid w:val="0038674C"/>
    <w:rsid w:val="0039090F"/>
    <w:rsid w:val="003A3C80"/>
    <w:rsid w:val="003A564A"/>
    <w:rsid w:val="003C1F04"/>
    <w:rsid w:val="003D2A8A"/>
    <w:rsid w:val="003E1BF7"/>
    <w:rsid w:val="003E3F20"/>
    <w:rsid w:val="003E7655"/>
    <w:rsid w:val="003F4559"/>
    <w:rsid w:val="00426C40"/>
    <w:rsid w:val="0043755B"/>
    <w:rsid w:val="00474150"/>
    <w:rsid w:val="00490845"/>
    <w:rsid w:val="004920AE"/>
    <w:rsid w:val="00495BEC"/>
    <w:rsid w:val="004964E2"/>
    <w:rsid w:val="004A300C"/>
    <w:rsid w:val="004A4ABB"/>
    <w:rsid w:val="004A6432"/>
    <w:rsid w:val="004D4C01"/>
    <w:rsid w:val="004E5454"/>
    <w:rsid w:val="004F400F"/>
    <w:rsid w:val="00500421"/>
    <w:rsid w:val="005024CE"/>
    <w:rsid w:val="00522376"/>
    <w:rsid w:val="005331FC"/>
    <w:rsid w:val="00544622"/>
    <w:rsid w:val="005474C7"/>
    <w:rsid w:val="005733A6"/>
    <w:rsid w:val="00587739"/>
    <w:rsid w:val="00594EC2"/>
    <w:rsid w:val="00596D2C"/>
    <w:rsid w:val="0059719E"/>
    <w:rsid w:val="005A4CF9"/>
    <w:rsid w:val="005B02B8"/>
    <w:rsid w:val="005B2EDD"/>
    <w:rsid w:val="005B3D17"/>
    <w:rsid w:val="005B64D3"/>
    <w:rsid w:val="005D67FB"/>
    <w:rsid w:val="005E4A94"/>
    <w:rsid w:val="005F50D0"/>
    <w:rsid w:val="005F534E"/>
    <w:rsid w:val="005F57F0"/>
    <w:rsid w:val="005F60A4"/>
    <w:rsid w:val="006015D4"/>
    <w:rsid w:val="0060436C"/>
    <w:rsid w:val="0060796F"/>
    <w:rsid w:val="00607C72"/>
    <w:rsid w:val="00617E10"/>
    <w:rsid w:val="00620A8B"/>
    <w:rsid w:val="00625403"/>
    <w:rsid w:val="00625D5A"/>
    <w:rsid w:val="006268EE"/>
    <w:rsid w:val="0063148A"/>
    <w:rsid w:val="00633A85"/>
    <w:rsid w:val="00633E46"/>
    <w:rsid w:val="0063527B"/>
    <w:rsid w:val="00640A5B"/>
    <w:rsid w:val="00647014"/>
    <w:rsid w:val="00652854"/>
    <w:rsid w:val="00655A51"/>
    <w:rsid w:val="00666537"/>
    <w:rsid w:val="00667FA4"/>
    <w:rsid w:val="00672651"/>
    <w:rsid w:val="00676542"/>
    <w:rsid w:val="00692B67"/>
    <w:rsid w:val="00695880"/>
    <w:rsid w:val="0069608C"/>
    <w:rsid w:val="00697FD2"/>
    <w:rsid w:val="006A3130"/>
    <w:rsid w:val="006A5E2A"/>
    <w:rsid w:val="006C1AC4"/>
    <w:rsid w:val="006C4256"/>
    <w:rsid w:val="006E2DC3"/>
    <w:rsid w:val="006E3CE8"/>
    <w:rsid w:val="006E3D30"/>
    <w:rsid w:val="006F1FEF"/>
    <w:rsid w:val="00711A9D"/>
    <w:rsid w:val="00712A3F"/>
    <w:rsid w:val="00717B12"/>
    <w:rsid w:val="0073010D"/>
    <w:rsid w:val="00732600"/>
    <w:rsid w:val="00744C32"/>
    <w:rsid w:val="007455BB"/>
    <w:rsid w:val="007533DD"/>
    <w:rsid w:val="007851AD"/>
    <w:rsid w:val="007A4F29"/>
    <w:rsid w:val="007A6339"/>
    <w:rsid w:val="007A7C7D"/>
    <w:rsid w:val="007B1383"/>
    <w:rsid w:val="007B43A4"/>
    <w:rsid w:val="007B6AD3"/>
    <w:rsid w:val="007C0E31"/>
    <w:rsid w:val="007C7C8F"/>
    <w:rsid w:val="007E7026"/>
    <w:rsid w:val="007E7E37"/>
    <w:rsid w:val="007F2F25"/>
    <w:rsid w:val="00800AF2"/>
    <w:rsid w:val="00811D7F"/>
    <w:rsid w:val="00820E27"/>
    <w:rsid w:val="00826186"/>
    <w:rsid w:val="00827F92"/>
    <w:rsid w:val="00830D6F"/>
    <w:rsid w:val="00836D31"/>
    <w:rsid w:val="00842AA3"/>
    <w:rsid w:val="008450CD"/>
    <w:rsid w:val="00860A86"/>
    <w:rsid w:val="00860BAD"/>
    <w:rsid w:val="008631BE"/>
    <w:rsid w:val="00871E59"/>
    <w:rsid w:val="0087662C"/>
    <w:rsid w:val="00877787"/>
    <w:rsid w:val="00897C68"/>
    <w:rsid w:val="008B074D"/>
    <w:rsid w:val="008D4C01"/>
    <w:rsid w:val="008E2687"/>
    <w:rsid w:val="008E55BF"/>
    <w:rsid w:val="00900C3A"/>
    <w:rsid w:val="00900ED0"/>
    <w:rsid w:val="009014F5"/>
    <w:rsid w:val="00912F4C"/>
    <w:rsid w:val="00920973"/>
    <w:rsid w:val="009255C9"/>
    <w:rsid w:val="00926E71"/>
    <w:rsid w:val="009309D2"/>
    <w:rsid w:val="00933A4C"/>
    <w:rsid w:val="00946C32"/>
    <w:rsid w:val="00961F04"/>
    <w:rsid w:val="009649F6"/>
    <w:rsid w:val="00975878"/>
    <w:rsid w:val="00976830"/>
    <w:rsid w:val="0098114D"/>
    <w:rsid w:val="00984850"/>
    <w:rsid w:val="00995CFF"/>
    <w:rsid w:val="009A000F"/>
    <w:rsid w:val="009B05FA"/>
    <w:rsid w:val="009C00A0"/>
    <w:rsid w:val="009C0BC7"/>
    <w:rsid w:val="009C1754"/>
    <w:rsid w:val="009C6105"/>
    <w:rsid w:val="009C6517"/>
    <w:rsid w:val="009D0A82"/>
    <w:rsid w:val="009D36F4"/>
    <w:rsid w:val="009D7414"/>
    <w:rsid w:val="009E1E48"/>
    <w:rsid w:val="009E5CF7"/>
    <w:rsid w:val="009E7207"/>
    <w:rsid w:val="00A02752"/>
    <w:rsid w:val="00A17CEB"/>
    <w:rsid w:val="00A22010"/>
    <w:rsid w:val="00A22EEF"/>
    <w:rsid w:val="00A27642"/>
    <w:rsid w:val="00A30315"/>
    <w:rsid w:val="00A31229"/>
    <w:rsid w:val="00A451E0"/>
    <w:rsid w:val="00A510D5"/>
    <w:rsid w:val="00A56D46"/>
    <w:rsid w:val="00A66E36"/>
    <w:rsid w:val="00A906C2"/>
    <w:rsid w:val="00A96570"/>
    <w:rsid w:val="00A968F1"/>
    <w:rsid w:val="00AA1E97"/>
    <w:rsid w:val="00AA2F6D"/>
    <w:rsid w:val="00AB65AE"/>
    <w:rsid w:val="00AD6BC5"/>
    <w:rsid w:val="00AE18CD"/>
    <w:rsid w:val="00AE2CF3"/>
    <w:rsid w:val="00AE50F6"/>
    <w:rsid w:val="00AE620D"/>
    <w:rsid w:val="00AF16A5"/>
    <w:rsid w:val="00B02406"/>
    <w:rsid w:val="00B07A24"/>
    <w:rsid w:val="00B14C19"/>
    <w:rsid w:val="00B25B64"/>
    <w:rsid w:val="00B356E1"/>
    <w:rsid w:val="00B3759F"/>
    <w:rsid w:val="00B47509"/>
    <w:rsid w:val="00B52AB9"/>
    <w:rsid w:val="00B53024"/>
    <w:rsid w:val="00B61BFB"/>
    <w:rsid w:val="00B6500F"/>
    <w:rsid w:val="00B673BC"/>
    <w:rsid w:val="00B81907"/>
    <w:rsid w:val="00B94C65"/>
    <w:rsid w:val="00B96EFC"/>
    <w:rsid w:val="00B979D3"/>
    <w:rsid w:val="00BA0A38"/>
    <w:rsid w:val="00BA43D6"/>
    <w:rsid w:val="00BA65FA"/>
    <w:rsid w:val="00BB167C"/>
    <w:rsid w:val="00BC108F"/>
    <w:rsid w:val="00BC4B04"/>
    <w:rsid w:val="00BD3BB0"/>
    <w:rsid w:val="00BD5CB8"/>
    <w:rsid w:val="00C02E2C"/>
    <w:rsid w:val="00C1292A"/>
    <w:rsid w:val="00C12AC2"/>
    <w:rsid w:val="00C20B22"/>
    <w:rsid w:val="00C21FF0"/>
    <w:rsid w:val="00C40467"/>
    <w:rsid w:val="00C448BB"/>
    <w:rsid w:val="00C61EAA"/>
    <w:rsid w:val="00C65082"/>
    <w:rsid w:val="00C6730B"/>
    <w:rsid w:val="00C80613"/>
    <w:rsid w:val="00C8073E"/>
    <w:rsid w:val="00C81B54"/>
    <w:rsid w:val="00C8286D"/>
    <w:rsid w:val="00C8537E"/>
    <w:rsid w:val="00CA05D7"/>
    <w:rsid w:val="00CA11FF"/>
    <w:rsid w:val="00CA3F9D"/>
    <w:rsid w:val="00CA5689"/>
    <w:rsid w:val="00CA7C01"/>
    <w:rsid w:val="00CB0D01"/>
    <w:rsid w:val="00CB2F4B"/>
    <w:rsid w:val="00CB3B62"/>
    <w:rsid w:val="00CB400D"/>
    <w:rsid w:val="00CB4513"/>
    <w:rsid w:val="00CC30BB"/>
    <w:rsid w:val="00CC6160"/>
    <w:rsid w:val="00CD0E8C"/>
    <w:rsid w:val="00CE4FE4"/>
    <w:rsid w:val="00CF7B31"/>
    <w:rsid w:val="00D151C9"/>
    <w:rsid w:val="00D27EE2"/>
    <w:rsid w:val="00D33770"/>
    <w:rsid w:val="00D421E4"/>
    <w:rsid w:val="00D54271"/>
    <w:rsid w:val="00D57DA6"/>
    <w:rsid w:val="00D75DB3"/>
    <w:rsid w:val="00D96966"/>
    <w:rsid w:val="00DA2C60"/>
    <w:rsid w:val="00DA4990"/>
    <w:rsid w:val="00DB119A"/>
    <w:rsid w:val="00DC036E"/>
    <w:rsid w:val="00DC21FF"/>
    <w:rsid w:val="00DD4D48"/>
    <w:rsid w:val="00DE1402"/>
    <w:rsid w:val="00DE2C85"/>
    <w:rsid w:val="00E001B3"/>
    <w:rsid w:val="00E05527"/>
    <w:rsid w:val="00E140AD"/>
    <w:rsid w:val="00E24320"/>
    <w:rsid w:val="00E246A9"/>
    <w:rsid w:val="00E3153F"/>
    <w:rsid w:val="00E37DB3"/>
    <w:rsid w:val="00E40F9B"/>
    <w:rsid w:val="00E51027"/>
    <w:rsid w:val="00E6431D"/>
    <w:rsid w:val="00E74F54"/>
    <w:rsid w:val="00E751A5"/>
    <w:rsid w:val="00E76030"/>
    <w:rsid w:val="00E84D14"/>
    <w:rsid w:val="00EC59C1"/>
    <w:rsid w:val="00ED7A74"/>
    <w:rsid w:val="00EF1451"/>
    <w:rsid w:val="00F04CA1"/>
    <w:rsid w:val="00F1229B"/>
    <w:rsid w:val="00F2028B"/>
    <w:rsid w:val="00F204E4"/>
    <w:rsid w:val="00F20F7A"/>
    <w:rsid w:val="00F21B85"/>
    <w:rsid w:val="00F3037D"/>
    <w:rsid w:val="00F31884"/>
    <w:rsid w:val="00F31EB8"/>
    <w:rsid w:val="00F43422"/>
    <w:rsid w:val="00F538CB"/>
    <w:rsid w:val="00F555B7"/>
    <w:rsid w:val="00F576C2"/>
    <w:rsid w:val="00F63068"/>
    <w:rsid w:val="00F74E68"/>
    <w:rsid w:val="00F75966"/>
    <w:rsid w:val="00F8521D"/>
    <w:rsid w:val="00F90BB7"/>
    <w:rsid w:val="00FA24F5"/>
    <w:rsid w:val="00FA684B"/>
    <w:rsid w:val="00FA7E12"/>
    <w:rsid w:val="00FC5256"/>
    <w:rsid w:val="00FD7C2F"/>
    <w:rsid w:val="00FE36A0"/>
    <w:rsid w:val="00FE512F"/>
    <w:rsid w:val="00FE6FA7"/>
    <w:rsid w:val="00FF04AF"/>
    <w:rsid w:val="00FF7C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AF1D"/>
  <w15:docId w15:val="{7BAFB7F1-875D-4C1F-BE0F-1ED0404B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44"/>
  </w:style>
  <w:style w:type="paragraph" w:styleId="Heading1">
    <w:name w:val="heading 1"/>
    <w:basedOn w:val="Normal"/>
    <w:next w:val="Normal"/>
    <w:link w:val="Heading1Char"/>
    <w:uiPriority w:val="9"/>
    <w:qFormat/>
    <w:rsid w:val="00F576C2"/>
    <w:pPr>
      <w:keepNext/>
      <w:keepLines/>
      <w:numPr>
        <w:numId w:val="2"/>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9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0921C1"/>
    <w:pPr>
      <w:spacing w:before="120" w:after="0" w:line="312" w:lineRule="atLeast"/>
      <w:jc w:val="both"/>
    </w:pPr>
    <w:rPr>
      <w:rFonts w:ascii="Times New Roman" w:eastAsia="Times New Roman" w:hAnsi="Times New Roman" w:cs="Times New Roman"/>
      <w:sz w:val="24"/>
      <w:szCs w:val="24"/>
      <w:lang w:eastAsia="de-AT"/>
    </w:rPr>
  </w:style>
  <w:style w:type="paragraph" w:customStyle="1" w:styleId="sti-art2">
    <w:name w:val="sti-art2"/>
    <w:basedOn w:val="Normal"/>
    <w:rsid w:val="000921C1"/>
    <w:pPr>
      <w:spacing w:before="60" w:after="120" w:line="312" w:lineRule="atLeast"/>
      <w:jc w:val="center"/>
    </w:pPr>
    <w:rPr>
      <w:rFonts w:ascii="Times New Roman" w:eastAsia="Times New Roman" w:hAnsi="Times New Roman" w:cs="Times New Roman"/>
      <w:b/>
      <w:bCs/>
      <w:sz w:val="24"/>
      <w:szCs w:val="24"/>
      <w:lang w:eastAsia="de-AT"/>
    </w:rPr>
  </w:style>
  <w:style w:type="paragraph" w:customStyle="1" w:styleId="ti-art2">
    <w:name w:val="ti-art2"/>
    <w:basedOn w:val="Normal"/>
    <w:rsid w:val="000921C1"/>
    <w:pPr>
      <w:spacing w:before="360" w:after="120" w:line="312" w:lineRule="atLeast"/>
      <w:jc w:val="center"/>
    </w:pPr>
    <w:rPr>
      <w:rFonts w:ascii="Times New Roman" w:eastAsia="Times New Roman" w:hAnsi="Times New Roman" w:cs="Times New Roman"/>
      <w:i/>
      <w:iCs/>
      <w:sz w:val="24"/>
      <w:szCs w:val="24"/>
      <w:lang w:eastAsia="de-AT"/>
    </w:rPr>
  </w:style>
  <w:style w:type="paragraph" w:styleId="BalloonText">
    <w:name w:val="Balloon Text"/>
    <w:basedOn w:val="Normal"/>
    <w:link w:val="BalloonTextChar"/>
    <w:uiPriority w:val="99"/>
    <w:semiHidden/>
    <w:unhideWhenUsed/>
    <w:rsid w:val="0090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3A"/>
    <w:rPr>
      <w:rFonts w:ascii="Tahoma" w:hAnsi="Tahoma" w:cs="Tahoma"/>
      <w:sz w:val="16"/>
      <w:szCs w:val="16"/>
      <w:lang w:val="sq-AL"/>
    </w:rPr>
  </w:style>
  <w:style w:type="table" w:styleId="TableGrid">
    <w:name w:val="Table Grid"/>
    <w:basedOn w:val="TableNormal"/>
    <w:uiPriority w:val="59"/>
    <w:rsid w:val="0090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References,Bullet Points,Indent Paragraph,Numbered Para 1,Dot pt,No Spacing1,List Paragraph Char Char Char,Indicator Text,List Paragraph1,MAIN CONTENT,List Paragraph12,F5 List Paragraph,List Paragraph11,OBC Bullet,Normal numbered,L,lp1"/>
    <w:basedOn w:val="Normal"/>
    <w:link w:val="ListParagraphChar"/>
    <w:uiPriority w:val="34"/>
    <w:qFormat/>
    <w:rsid w:val="00620A8B"/>
    <w:pPr>
      <w:ind w:left="720"/>
      <w:contextualSpacing/>
    </w:pPr>
  </w:style>
  <w:style w:type="paragraph" w:customStyle="1" w:styleId="BodyText1">
    <w:name w:val="Body Text1"/>
    <w:rsid w:val="00620A8B"/>
    <w:pPr>
      <w:spacing w:after="120" w:line="36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F576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909"/>
    <w:rPr>
      <w:rFonts w:asciiTheme="majorHAnsi" w:eastAsiaTheme="majorEastAsia" w:hAnsiTheme="majorHAnsi" w:cstheme="majorBidi"/>
      <w:b/>
      <w:bCs/>
      <w:color w:val="4F81BD" w:themeColor="accent1"/>
      <w:sz w:val="26"/>
      <w:szCs w:val="26"/>
      <w:lang w:val="sq-AL"/>
    </w:rPr>
  </w:style>
  <w:style w:type="character" w:styleId="Hyperlink">
    <w:name w:val="Hyperlink"/>
    <w:basedOn w:val="DefaultParagraphFont"/>
    <w:uiPriority w:val="99"/>
    <w:unhideWhenUsed/>
    <w:rsid w:val="00C6730B"/>
    <w:rPr>
      <w:color w:val="0000FF" w:themeColor="hyperlink"/>
      <w:u w:val="single"/>
    </w:rPr>
  </w:style>
  <w:style w:type="character" w:styleId="FollowedHyperlink">
    <w:name w:val="FollowedHyperlink"/>
    <w:basedOn w:val="DefaultParagraphFont"/>
    <w:uiPriority w:val="99"/>
    <w:semiHidden/>
    <w:unhideWhenUsed/>
    <w:rsid w:val="00C6730B"/>
    <w:rPr>
      <w:color w:val="800080" w:themeColor="followedHyperlink"/>
      <w:u w:val="single"/>
    </w:rPr>
  </w:style>
  <w:style w:type="paragraph" w:styleId="Header">
    <w:name w:val="header"/>
    <w:basedOn w:val="Normal"/>
    <w:link w:val="HeaderChar"/>
    <w:uiPriority w:val="99"/>
    <w:unhideWhenUsed/>
    <w:rsid w:val="009255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55C9"/>
    <w:rPr>
      <w:lang w:val="sq-AL"/>
    </w:rPr>
  </w:style>
  <w:style w:type="paragraph" w:styleId="Footer">
    <w:name w:val="footer"/>
    <w:basedOn w:val="Normal"/>
    <w:link w:val="FooterChar"/>
    <w:uiPriority w:val="99"/>
    <w:unhideWhenUsed/>
    <w:rsid w:val="009255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55C9"/>
    <w:rPr>
      <w:lang w:val="sq-AL"/>
    </w:rPr>
  </w:style>
  <w:style w:type="paragraph" w:styleId="FootnoteText">
    <w:name w:val="footnote text"/>
    <w:basedOn w:val="Normal"/>
    <w:link w:val="FootnoteTextChar"/>
    <w:uiPriority w:val="99"/>
    <w:semiHidden/>
    <w:unhideWhenUsed/>
    <w:rsid w:val="00925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5C9"/>
    <w:rPr>
      <w:sz w:val="20"/>
      <w:szCs w:val="20"/>
      <w:lang w:val="sq-AL"/>
    </w:rPr>
  </w:style>
  <w:style w:type="character" w:styleId="FootnoteReference">
    <w:name w:val="footnote reference"/>
    <w:basedOn w:val="DefaultParagraphFont"/>
    <w:uiPriority w:val="99"/>
    <w:semiHidden/>
    <w:unhideWhenUsed/>
    <w:rsid w:val="009255C9"/>
    <w:rPr>
      <w:vertAlign w:val="superscript"/>
    </w:rPr>
  </w:style>
  <w:style w:type="character" w:styleId="CommentReference">
    <w:name w:val="annotation reference"/>
    <w:basedOn w:val="DefaultParagraphFont"/>
    <w:uiPriority w:val="99"/>
    <w:semiHidden/>
    <w:unhideWhenUsed/>
    <w:rsid w:val="00697FD2"/>
    <w:rPr>
      <w:sz w:val="16"/>
      <w:szCs w:val="16"/>
    </w:rPr>
  </w:style>
  <w:style w:type="paragraph" w:styleId="CommentText">
    <w:name w:val="annotation text"/>
    <w:basedOn w:val="Normal"/>
    <w:link w:val="CommentTextChar"/>
    <w:uiPriority w:val="99"/>
    <w:semiHidden/>
    <w:unhideWhenUsed/>
    <w:rsid w:val="00697FD2"/>
    <w:pPr>
      <w:spacing w:line="240" w:lineRule="auto"/>
    </w:pPr>
    <w:rPr>
      <w:sz w:val="20"/>
      <w:szCs w:val="20"/>
    </w:rPr>
  </w:style>
  <w:style w:type="character" w:customStyle="1" w:styleId="CommentTextChar">
    <w:name w:val="Comment Text Char"/>
    <w:basedOn w:val="DefaultParagraphFont"/>
    <w:link w:val="CommentText"/>
    <w:uiPriority w:val="99"/>
    <w:semiHidden/>
    <w:rsid w:val="00697FD2"/>
    <w:rPr>
      <w:sz w:val="20"/>
      <w:szCs w:val="20"/>
      <w:lang w:val="sq-AL"/>
    </w:rPr>
  </w:style>
  <w:style w:type="paragraph" w:styleId="CommentSubject">
    <w:name w:val="annotation subject"/>
    <w:basedOn w:val="CommentText"/>
    <w:next w:val="CommentText"/>
    <w:link w:val="CommentSubjectChar"/>
    <w:uiPriority w:val="99"/>
    <w:semiHidden/>
    <w:unhideWhenUsed/>
    <w:rsid w:val="00697FD2"/>
    <w:rPr>
      <w:b/>
      <w:bCs/>
    </w:rPr>
  </w:style>
  <w:style w:type="character" w:customStyle="1" w:styleId="CommentSubjectChar">
    <w:name w:val="Comment Subject Char"/>
    <w:basedOn w:val="CommentTextChar"/>
    <w:link w:val="CommentSubject"/>
    <w:uiPriority w:val="99"/>
    <w:semiHidden/>
    <w:rsid w:val="00697FD2"/>
    <w:rPr>
      <w:b/>
      <w:bCs/>
      <w:sz w:val="20"/>
      <w:szCs w:val="20"/>
      <w:lang w:val="sq-AL"/>
    </w:rPr>
  </w:style>
  <w:style w:type="character" w:customStyle="1" w:styleId="UnresolvedMention1">
    <w:name w:val="Unresolved Mention1"/>
    <w:basedOn w:val="DefaultParagraphFont"/>
    <w:uiPriority w:val="99"/>
    <w:semiHidden/>
    <w:unhideWhenUsed/>
    <w:rsid w:val="00071E80"/>
    <w:rPr>
      <w:color w:val="605E5C"/>
      <w:shd w:val="clear" w:color="auto" w:fill="E1DFDD"/>
    </w:rPr>
  </w:style>
  <w:style w:type="paragraph" w:customStyle="1" w:styleId="ECABodyText">
    <w:name w:val="ECA Body Text"/>
    <w:link w:val="ECABodyTextChar"/>
    <w:qFormat/>
    <w:rsid w:val="00633E46"/>
    <w:pPr>
      <w:spacing w:after="240" w:line="240" w:lineRule="auto"/>
    </w:pPr>
    <w:rPr>
      <w:rFonts w:ascii="Book Antiqua" w:eastAsia="Times New Roman" w:hAnsi="Book Antiqua" w:cs="Times New Roman"/>
      <w:szCs w:val="20"/>
    </w:rPr>
  </w:style>
  <w:style w:type="character" w:customStyle="1" w:styleId="ECABodyTextChar">
    <w:name w:val="ECA Body Text Char"/>
    <w:basedOn w:val="DefaultParagraphFont"/>
    <w:link w:val="ECABodyText"/>
    <w:rsid w:val="00633E46"/>
    <w:rPr>
      <w:rFonts w:ascii="Book Antiqua" w:eastAsia="Times New Roman" w:hAnsi="Book Antiqua" w:cs="Times New Roman"/>
      <w:szCs w:val="20"/>
    </w:rPr>
  </w:style>
  <w:style w:type="character" w:customStyle="1" w:styleId="ListParagraphChar">
    <w:name w:val="List Paragraph Char"/>
    <w:aliases w:val="Ha Char,References Char,Bullet Points Char,Indent Paragraph Char,Numbered Para 1 Char,Dot pt Char,No Spacing1 Char,List Paragraph Char Char Char Char,Indicator Text Char,List Paragraph1 Char,MAIN CONTENT Char,List Paragraph12 Char"/>
    <w:basedOn w:val="DefaultParagraphFont"/>
    <w:link w:val="ListParagraph"/>
    <w:uiPriority w:val="34"/>
    <w:qFormat/>
    <w:rsid w:val="00826186"/>
    <w:rPr>
      <w:lang w:val="sq-AL"/>
    </w:rPr>
  </w:style>
  <w:style w:type="paragraph" w:styleId="Caption">
    <w:name w:val="caption"/>
    <w:aliases w:val="Tabellen"/>
    <w:basedOn w:val="Normal"/>
    <w:next w:val="Normal"/>
    <w:qFormat/>
    <w:rsid w:val="00F538CB"/>
    <w:pPr>
      <w:spacing w:after="0"/>
      <w:ind w:left="357"/>
    </w:pPr>
    <w:rPr>
      <w:rFonts w:ascii="Calibri" w:eastAsia="Times New Roman" w:hAnsi="Calibri" w:cs="Times New Roman"/>
      <w:b/>
      <w:bCs/>
      <w:sz w:val="20"/>
      <w:szCs w:val="20"/>
    </w:rPr>
  </w:style>
  <w:style w:type="paragraph" w:styleId="Revision">
    <w:name w:val="Revision"/>
    <w:hidden/>
    <w:uiPriority w:val="99"/>
    <w:semiHidden/>
    <w:rsid w:val="007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607">
      <w:bodyDiv w:val="1"/>
      <w:marLeft w:val="0"/>
      <w:marRight w:val="0"/>
      <w:marTop w:val="0"/>
      <w:marBottom w:val="0"/>
      <w:divBdr>
        <w:top w:val="none" w:sz="0" w:space="0" w:color="auto"/>
        <w:left w:val="none" w:sz="0" w:space="0" w:color="auto"/>
        <w:bottom w:val="none" w:sz="0" w:space="0" w:color="auto"/>
        <w:right w:val="none" w:sz="0" w:space="0" w:color="auto"/>
      </w:divBdr>
    </w:div>
    <w:div w:id="422532985">
      <w:bodyDiv w:val="1"/>
      <w:marLeft w:val="0"/>
      <w:marRight w:val="0"/>
      <w:marTop w:val="0"/>
      <w:marBottom w:val="0"/>
      <w:divBdr>
        <w:top w:val="none" w:sz="0" w:space="0" w:color="auto"/>
        <w:left w:val="none" w:sz="0" w:space="0" w:color="auto"/>
        <w:bottom w:val="none" w:sz="0" w:space="0" w:color="auto"/>
        <w:right w:val="none" w:sz="0" w:space="0" w:color="auto"/>
      </w:divBdr>
    </w:div>
    <w:div w:id="610555302">
      <w:bodyDiv w:val="1"/>
      <w:marLeft w:val="0"/>
      <w:marRight w:val="0"/>
      <w:marTop w:val="0"/>
      <w:marBottom w:val="0"/>
      <w:divBdr>
        <w:top w:val="none" w:sz="0" w:space="0" w:color="auto"/>
        <w:left w:val="none" w:sz="0" w:space="0" w:color="auto"/>
        <w:bottom w:val="none" w:sz="0" w:space="0" w:color="auto"/>
        <w:right w:val="none" w:sz="0" w:space="0" w:color="auto"/>
      </w:divBdr>
    </w:div>
    <w:div w:id="635186417">
      <w:bodyDiv w:val="1"/>
      <w:marLeft w:val="0"/>
      <w:marRight w:val="0"/>
      <w:marTop w:val="0"/>
      <w:marBottom w:val="0"/>
      <w:divBdr>
        <w:top w:val="none" w:sz="0" w:space="0" w:color="auto"/>
        <w:left w:val="none" w:sz="0" w:space="0" w:color="auto"/>
        <w:bottom w:val="none" w:sz="0" w:space="0" w:color="auto"/>
        <w:right w:val="none" w:sz="0" w:space="0" w:color="auto"/>
      </w:divBdr>
    </w:div>
    <w:div w:id="662047025">
      <w:bodyDiv w:val="1"/>
      <w:marLeft w:val="0"/>
      <w:marRight w:val="0"/>
      <w:marTop w:val="0"/>
      <w:marBottom w:val="0"/>
      <w:divBdr>
        <w:top w:val="none" w:sz="0" w:space="0" w:color="auto"/>
        <w:left w:val="none" w:sz="0" w:space="0" w:color="auto"/>
        <w:bottom w:val="none" w:sz="0" w:space="0" w:color="auto"/>
        <w:right w:val="none" w:sz="0" w:space="0" w:color="auto"/>
      </w:divBdr>
    </w:div>
    <w:div w:id="824056286">
      <w:bodyDiv w:val="1"/>
      <w:marLeft w:val="0"/>
      <w:marRight w:val="0"/>
      <w:marTop w:val="0"/>
      <w:marBottom w:val="0"/>
      <w:divBdr>
        <w:top w:val="none" w:sz="0" w:space="0" w:color="auto"/>
        <w:left w:val="none" w:sz="0" w:space="0" w:color="auto"/>
        <w:bottom w:val="none" w:sz="0" w:space="0" w:color="auto"/>
        <w:right w:val="none" w:sz="0" w:space="0" w:color="auto"/>
      </w:divBdr>
    </w:div>
    <w:div w:id="890729849">
      <w:bodyDiv w:val="1"/>
      <w:marLeft w:val="0"/>
      <w:marRight w:val="0"/>
      <w:marTop w:val="0"/>
      <w:marBottom w:val="0"/>
      <w:divBdr>
        <w:top w:val="none" w:sz="0" w:space="0" w:color="auto"/>
        <w:left w:val="none" w:sz="0" w:space="0" w:color="auto"/>
        <w:bottom w:val="none" w:sz="0" w:space="0" w:color="auto"/>
        <w:right w:val="none" w:sz="0" w:space="0" w:color="auto"/>
      </w:divBdr>
    </w:div>
    <w:div w:id="1412196397">
      <w:bodyDiv w:val="1"/>
      <w:marLeft w:val="0"/>
      <w:marRight w:val="0"/>
      <w:marTop w:val="0"/>
      <w:marBottom w:val="0"/>
      <w:divBdr>
        <w:top w:val="none" w:sz="0" w:space="0" w:color="auto"/>
        <w:left w:val="none" w:sz="0" w:space="0" w:color="auto"/>
        <w:bottom w:val="none" w:sz="0" w:space="0" w:color="auto"/>
        <w:right w:val="none" w:sz="0" w:space="0" w:color="auto"/>
      </w:divBdr>
    </w:div>
    <w:div w:id="1721054637">
      <w:bodyDiv w:val="1"/>
      <w:marLeft w:val="0"/>
      <w:marRight w:val="0"/>
      <w:marTop w:val="0"/>
      <w:marBottom w:val="0"/>
      <w:divBdr>
        <w:top w:val="none" w:sz="0" w:space="0" w:color="auto"/>
        <w:left w:val="none" w:sz="0" w:space="0" w:color="auto"/>
        <w:bottom w:val="none" w:sz="0" w:space="0" w:color="auto"/>
        <w:right w:val="none" w:sz="0" w:space="0" w:color="auto"/>
      </w:divBdr>
    </w:div>
    <w:div w:id="1906522056">
      <w:bodyDiv w:val="1"/>
      <w:marLeft w:val="0"/>
      <w:marRight w:val="0"/>
      <w:marTop w:val="0"/>
      <w:marBottom w:val="0"/>
      <w:divBdr>
        <w:top w:val="none" w:sz="0" w:space="0" w:color="auto"/>
        <w:left w:val="none" w:sz="0" w:space="0" w:color="auto"/>
        <w:bottom w:val="none" w:sz="0" w:space="0" w:color="auto"/>
        <w:right w:val="none" w:sz="0" w:space="0" w:color="auto"/>
      </w:divBdr>
    </w:div>
    <w:div w:id="1940719562">
      <w:bodyDiv w:val="1"/>
      <w:marLeft w:val="0"/>
      <w:marRight w:val="0"/>
      <w:marTop w:val="0"/>
      <w:marBottom w:val="0"/>
      <w:divBdr>
        <w:top w:val="none" w:sz="0" w:space="0" w:color="auto"/>
        <w:left w:val="none" w:sz="0" w:space="0" w:color="auto"/>
        <w:bottom w:val="none" w:sz="0" w:space="0" w:color="auto"/>
        <w:right w:val="none" w:sz="0" w:space="0" w:color="auto"/>
      </w:divBdr>
    </w:div>
    <w:div w:id="2087073470">
      <w:bodyDiv w:val="1"/>
      <w:marLeft w:val="0"/>
      <w:marRight w:val="0"/>
      <w:marTop w:val="0"/>
      <w:marBottom w:val="0"/>
      <w:divBdr>
        <w:top w:val="none" w:sz="0" w:space="0" w:color="auto"/>
        <w:left w:val="none" w:sz="0" w:space="0" w:color="auto"/>
        <w:bottom w:val="none" w:sz="0" w:space="0" w:color="auto"/>
        <w:right w:val="none" w:sz="0" w:space="0" w:color="auto"/>
      </w:divBdr>
    </w:div>
    <w:div w:id="210036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e.rks-gov.net/repository/docs/3_UDHEZIM_ADMINISTRATIV_(ME)_NR.04_2021_PER_NDRYSHIMIN_DHE_PLOTESIMIN_E_UDHEZIMIT_ADMINISTRATIV__(MZHE)_NR._03_2019_PER_PERMBAJTJEN_ENERGJISE_SE_LENDEVE___.pdf" TargetMode="External"/><Relationship Id="rId18" Type="http://schemas.openxmlformats.org/officeDocument/2006/relationships/hyperlink" Target="https://ksdw.rks-gov.net/storage/app/media/KSDW2021_Report_ENG-mi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rks-gov.net/repository/docs/2_UDHEZIM_ADMINISTRATIV_(ME)_NR.02_2021_PER_KRITERET_E_EFI&#199;IENCES_SE_ENERGJISE_PER_RREGULLIMIN_E_RRJETIT_TE_ENERGJISE_DHE_PER_TARIFAT_E_RRJETIT_TE_ENERG___.pdf" TargetMode="External"/><Relationship Id="rId17" Type="http://schemas.openxmlformats.org/officeDocument/2006/relationships/hyperlink" Target="https://eur-lex.europa.eu/LexUriServ/LexUriServ.do?uri=OJ:L:2010:153:0013:0035:EN:PDF" TargetMode="External"/><Relationship Id="rId2" Type="http://schemas.openxmlformats.org/officeDocument/2006/relationships/numbering" Target="numbering.xml"/><Relationship Id="rId16" Type="http://schemas.openxmlformats.org/officeDocument/2006/relationships/hyperlink" Target="https://konsultimet.rks-gov.net/viewConsult.php?ConsultationID=414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ks-gov.net/repository/docs/UDHeZIM_ADMINISTRATIV_(ME)_NR._01_2021_PeR_KeRKESAT_E_EFI&#199;IENCeS_Se_ENERGJISe_PeR_OPERATORIN_E_SISTEMIT_Te_TRANSMETIMIT_DHE_OPERATORIN_E_SISTEMIT_Te_S___.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rks-gov.net/repository/docs/5_UDHEZIM_ADMINISTRATIV_(ME)_NR.06_2021_PER_SHERBIMET_E_ENERGJISE_(ESCO).pdf"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fkee-rks.net/e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me.rks-gov.net/repository/docs/4_UDHEZIM_ADMINISTRATIV_(ME)_Nr.05_2021_PER_KORNIZEN_E_PERGJITHSHME_TE_RAPORTIMIT_PER_EFI&#199;IENCE_TE_ENERGJISE.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Aplikimi%20GIZ%20Gusht%202021\Book1(AutoRecove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plikimi%20GIZ%20Gusht%202021\Book1(Auto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di\AppData\Roaming\Microsoft\Excel\Book1(AutoRecovered)%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Sheet1!$E$6</c:f>
              <c:strCache>
                <c:ptCount val="1"/>
                <c:pt idx="0">
                  <c:v>FEC</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Sheet1!$D$7:$D$13</c:f>
              <c:numCache>
                <c:formatCode>General</c:formatCode>
                <c:ptCount val="7"/>
                <c:pt idx="0">
                  <c:v>2015</c:v>
                </c:pt>
                <c:pt idx="1">
                  <c:v>2016</c:v>
                </c:pt>
                <c:pt idx="2">
                  <c:v>2017</c:v>
                </c:pt>
                <c:pt idx="3">
                  <c:v>2018</c:v>
                </c:pt>
                <c:pt idx="4">
                  <c:v>2019</c:v>
                </c:pt>
                <c:pt idx="5">
                  <c:v>2020</c:v>
                </c:pt>
                <c:pt idx="6">
                  <c:v>2021</c:v>
                </c:pt>
              </c:numCache>
            </c:numRef>
          </c:cat>
          <c:val>
            <c:numRef>
              <c:f>Sheet1!$E$7:$E$13</c:f>
              <c:numCache>
                <c:formatCode>General</c:formatCode>
                <c:ptCount val="7"/>
                <c:pt idx="0">
                  <c:v>1328</c:v>
                </c:pt>
                <c:pt idx="1">
                  <c:v>1432</c:v>
                </c:pt>
                <c:pt idx="2">
                  <c:v>1462</c:v>
                </c:pt>
                <c:pt idx="3">
                  <c:v>1442</c:v>
                </c:pt>
                <c:pt idx="4" formatCode="0">
                  <c:v>1508</c:v>
                </c:pt>
                <c:pt idx="5">
                  <c:v>1543</c:v>
                </c:pt>
                <c:pt idx="6">
                  <c:v>1596</c:v>
                </c:pt>
              </c:numCache>
            </c:numRef>
          </c:val>
          <c:extLst>
            <c:ext xmlns:c16="http://schemas.microsoft.com/office/drawing/2014/chart" uri="{C3380CC4-5D6E-409C-BE32-E72D297353CC}">
              <c16:uniqueId val="{00000000-3B52-4894-9A92-17BB2F561F92}"/>
            </c:ext>
          </c:extLst>
        </c:ser>
        <c:ser>
          <c:idx val="1"/>
          <c:order val="1"/>
          <c:tx>
            <c:strRef>
              <c:f>Sheet1!$F$6</c:f>
              <c:strCache>
                <c:ptCount val="1"/>
                <c:pt idx="0">
                  <c:v>PEC</c:v>
                </c:pt>
              </c:strCache>
            </c:strRef>
          </c:tx>
          <c:spPr>
            <a:solidFill>
              <a:schemeClr val="accent5"/>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Sheet1!$D$7:$D$13</c:f>
              <c:numCache>
                <c:formatCode>General</c:formatCode>
                <c:ptCount val="7"/>
                <c:pt idx="0">
                  <c:v>2015</c:v>
                </c:pt>
                <c:pt idx="1">
                  <c:v>2016</c:v>
                </c:pt>
                <c:pt idx="2">
                  <c:v>2017</c:v>
                </c:pt>
                <c:pt idx="3">
                  <c:v>2018</c:v>
                </c:pt>
                <c:pt idx="4">
                  <c:v>2019</c:v>
                </c:pt>
                <c:pt idx="5">
                  <c:v>2020</c:v>
                </c:pt>
                <c:pt idx="6">
                  <c:v>2021</c:v>
                </c:pt>
              </c:numCache>
            </c:numRef>
          </c:cat>
          <c:val>
            <c:numRef>
              <c:f>Sheet1!$F$7:$F$13</c:f>
              <c:numCache>
                <c:formatCode>General</c:formatCode>
                <c:ptCount val="7"/>
                <c:pt idx="0">
                  <c:v>2511</c:v>
                </c:pt>
                <c:pt idx="1">
                  <c:v>2689</c:v>
                </c:pt>
                <c:pt idx="2">
                  <c:v>2534</c:v>
                </c:pt>
                <c:pt idx="3" formatCode="0">
                  <c:v>2524</c:v>
                </c:pt>
                <c:pt idx="4" formatCode="0">
                  <c:v>2707</c:v>
                </c:pt>
                <c:pt idx="5">
                  <c:v>2734</c:v>
                </c:pt>
                <c:pt idx="6">
                  <c:v>2874</c:v>
                </c:pt>
              </c:numCache>
            </c:numRef>
          </c:val>
          <c:extLst>
            <c:ext xmlns:c16="http://schemas.microsoft.com/office/drawing/2014/chart" uri="{C3380CC4-5D6E-409C-BE32-E72D297353CC}">
              <c16:uniqueId val="{00000001-3B52-4894-9A92-17BB2F561F92}"/>
            </c:ext>
          </c:extLst>
        </c:ser>
        <c:dLbls>
          <c:showLegendKey val="0"/>
          <c:showVal val="0"/>
          <c:showCatName val="0"/>
          <c:showSerName val="0"/>
          <c:showPercent val="0"/>
          <c:showBubbleSize val="0"/>
        </c:dLbls>
        <c:gapWidth val="219"/>
        <c:overlap val="-27"/>
        <c:axId val="-357481936"/>
        <c:axId val="-357487376"/>
      </c:barChart>
      <c:catAx>
        <c:axId val="-35748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7376"/>
        <c:crosses val="autoZero"/>
        <c:auto val="1"/>
        <c:lblAlgn val="ctr"/>
        <c:lblOffset val="100"/>
        <c:noMultiLvlLbl val="0"/>
      </c:catAx>
      <c:valAx>
        <c:axId val="-357487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q-AL"/>
                  <a:t>Ktoe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Sheet1!$E$25</c:f>
              <c:strCache>
                <c:ptCount val="1"/>
                <c:pt idx="0">
                  <c:v>Houshold</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Sheet1!$D$26:$D$32</c:f>
              <c:numCache>
                <c:formatCode>General</c:formatCode>
                <c:ptCount val="7"/>
                <c:pt idx="0">
                  <c:v>2015</c:v>
                </c:pt>
                <c:pt idx="1">
                  <c:v>2016</c:v>
                </c:pt>
                <c:pt idx="2">
                  <c:v>2017</c:v>
                </c:pt>
                <c:pt idx="3">
                  <c:v>2018</c:v>
                </c:pt>
                <c:pt idx="4">
                  <c:v>2019</c:v>
                </c:pt>
                <c:pt idx="5">
                  <c:v>2020</c:v>
                </c:pt>
                <c:pt idx="6">
                  <c:v>2021</c:v>
                </c:pt>
              </c:numCache>
            </c:numRef>
          </c:cat>
          <c:val>
            <c:numRef>
              <c:f>Sheet1!$E$26:$E$32</c:f>
              <c:numCache>
                <c:formatCode>General</c:formatCode>
                <c:ptCount val="7"/>
                <c:pt idx="0">
                  <c:v>477.86</c:v>
                </c:pt>
                <c:pt idx="1">
                  <c:v>552.15</c:v>
                </c:pt>
                <c:pt idx="2">
                  <c:v>557.67999999999995</c:v>
                </c:pt>
                <c:pt idx="3">
                  <c:v>573.4</c:v>
                </c:pt>
                <c:pt idx="4">
                  <c:v>575.38</c:v>
                </c:pt>
                <c:pt idx="5">
                  <c:v>628.09</c:v>
                </c:pt>
                <c:pt idx="6">
                  <c:v>647.42999999999995</c:v>
                </c:pt>
              </c:numCache>
            </c:numRef>
          </c:val>
          <c:extLst>
            <c:ext xmlns:c16="http://schemas.microsoft.com/office/drawing/2014/chart" uri="{C3380CC4-5D6E-409C-BE32-E72D297353CC}">
              <c16:uniqueId val="{00000000-F52F-4F8E-9943-41F305617036}"/>
            </c:ext>
          </c:extLst>
        </c:ser>
        <c:ser>
          <c:idx val="1"/>
          <c:order val="1"/>
          <c:tx>
            <c:strRef>
              <c:f>Sheet1!$F$25</c:f>
              <c:strCache>
                <c:ptCount val="1"/>
                <c:pt idx="0">
                  <c:v>Industry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Sheet1!$D$26:$D$32</c:f>
              <c:numCache>
                <c:formatCode>General</c:formatCode>
                <c:ptCount val="7"/>
                <c:pt idx="0">
                  <c:v>2015</c:v>
                </c:pt>
                <c:pt idx="1">
                  <c:v>2016</c:v>
                </c:pt>
                <c:pt idx="2">
                  <c:v>2017</c:v>
                </c:pt>
                <c:pt idx="3">
                  <c:v>2018</c:v>
                </c:pt>
                <c:pt idx="4">
                  <c:v>2019</c:v>
                </c:pt>
                <c:pt idx="5">
                  <c:v>2020</c:v>
                </c:pt>
                <c:pt idx="6">
                  <c:v>2021</c:v>
                </c:pt>
              </c:numCache>
            </c:numRef>
          </c:cat>
          <c:val>
            <c:numRef>
              <c:f>Sheet1!$F$26:$F$32</c:f>
              <c:numCache>
                <c:formatCode>General</c:formatCode>
                <c:ptCount val="7"/>
                <c:pt idx="0">
                  <c:v>282.12</c:v>
                </c:pt>
                <c:pt idx="1">
                  <c:v>289.19</c:v>
                </c:pt>
                <c:pt idx="2">
                  <c:v>301.24</c:v>
                </c:pt>
                <c:pt idx="3">
                  <c:v>272.47000000000003</c:v>
                </c:pt>
                <c:pt idx="4">
                  <c:v>319.81</c:v>
                </c:pt>
                <c:pt idx="5">
                  <c:v>319.92</c:v>
                </c:pt>
                <c:pt idx="6">
                  <c:v>317.64999999999998</c:v>
                </c:pt>
              </c:numCache>
            </c:numRef>
          </c:val>
          <c:extLst>
            <c:ext xmlns:c16="http://schemas.microsoft.com/office/drawing/2014/chart" uri="{C3380CC4-5D6E-409C-BE32-E72D297353CC}">
              <c16:uniqueId val="{00000001-F52F-4F8E-9943-41F305617036}"/>
            </c:ext>
          </c:extLst>
        </c:ser>
        <c:ser>
          <c:idx val="2"/>
          <c:order val="2"/>
          <c:tx>
            <c:strRef>
              <c:f>Sheet1!$G$25</c:f>
              <c:strCache>
                <c:ptCount val="1"/>
                <c:pt idx="0">
                  <c:v>Transport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Sheet1!$D$26:$D$32</c:f>
              <c:numCache>
                <c:formatCode>General</c:formatCode>
                <c:ptCount val="7"/>
                <c:pt idx="0">
                  <c:v>2015</c:v>
                </c:pt>
                <c:pt idx="1">
                  <c:v>2016</c:v>
                </c:pt>
                <c:pt idx="2">
                  <c:v>2017</c:v>
                </c:pt>
                <c:pt idx="3">
                  <c:v>2018</c:v>
                </c:pt>
                <c:pt idx="4">
                  <c:v>2019</c:v>
                </c:pt>
                <c:pt idx="5">
                  <c:v>2020</c:v>
                </c:pt>
                <c:pt idx="6">
                  <c:v>2021</c:v>
                </c:pt>
              </c:numCache>
            </c:numRef>
          </c:cat>
          <c:val>
            <c:numRef>
              <c:f>Sheet1!$G$26:$G$32</c:f>
              <c:numCache>
                <c:formatCode>General</c:formatCode>
                <c:ptCount val="7"/>
                <c:pt idx="0">
                  <c:v>387.84</c:v>
                </c:pt>
                <c:pt idx="1">
                  <c:v>388.02</c:v>
                </c:pt>
                <c:pt idx="2">
                  <c:v>408.36</c:v>
                </c:pt>
                <c:pt idx="3">
                  <c:v>426.71</c:v>
                </c:pt>
                <c:pt idx="4">
                  <c:v>422.58</c:v>
                </c:pt>
                <c:pt idx="5">
                  <c:v>412.46</c:v>
                </c:pt>
                <c:pt idx="6">
                  <c:v>422.25</c:v>
                </c:pt>
              </c:numCache>
            </c:numRef>
          </c:val>
          <c:extLst>
            <c:ext xmlns:c16="http://schemas.microsoft.com/office/drawing/2014/chart" uri="{C3380CC4-5D6E-409C-BE32-E72D297353CC}">
              <c16:uniqueId val="{00000002-F52F-4F8E-9943-41F305617036}"/>
            </c:ext>
          </c:extLst>
        </c:ser>
        <c:ser>
          <c:idx val="3"/>
          <c:order val="3"/>
          <c:tx>
            <c:strRef>
              <c:f>Sheet1!$H$25</c:f>
              <c:strCache>
                <c:ptCount val="1"/>
                <c:pt idx="0">
                  <c:v>Others</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Sheet1!$D$26:$D$32</c:f>
              <c:numCache>
                <c:formatCode>General</c:formatCode>
                <c:ptCount val="7"/>
                <c:pt idx="0">
                  <c:v>2015</c:v>
                </c:pt>
                <c:pt idx="1">
                  <c:v>2016</c:v>
                </c:pt>
                <c:pt idx="2">
                  <c:v>2017</c:v>
                </c:pt>
                <c:pt idx="3">
                  <c:v>2018</c:v>
                </c:pt>
                <c:pt idx="4">
                  <c:v>2019</c:v>
                </c:pt>
                <c:pt idx="5">
                  <c:v>2020</c:v>
                </c:pt>
                <c:pt idx="6">
                  <c:v>2021</c:v>
                </c:pt>
              </c:numCache>
            </c:numRef>
          </c:cat>
          <c:val>
            <c:numRef>
              <c:f>Sheet1!$H$26:$H$32</c:f>
              <c:numCache>
                <c:formatCode>General</c:formatCode>
                <c:ptCount val="7"/>
                <c:pt idx="0">
                  <c:v>179.68</c:v>
                </c:pt>
                <c:pt idx="1">
                  <c:v>202.94</c:v>
                </c:pt>
                <c:pt idx="2">
                  <c:v>194.12</c:v>
                </c:pt>
                <c:pt idx="3">
                  <c:v>168.92</c:v>
                </c:pt>
                <c:pt idx="4">
                  <c:v>190.23</c:v>
                </c:pt>
                <c:pt idx="5">
                  <c:v>225.23</c:v>
                </c:pt>
                <c:pt idx="6">
                  <c:v>208.79</c:v>
                </c:pt>
              </c:numCache>
            </c:numRef>
          </c:val>
          <c:extLst>
            <c:ext xmlns:c16="http://schemas.microsoft.com/office/drawing/2014/chart" uri="{C3380CC4-5D6E-409C-BE32-E72D297353CC}">
              <c16:uniqueId val="{00000003-F52F-4F8E-9943-41F305617036}"/>
            </c:ext>
          </c:extLst>
        </c:ser>
        <c:dLbls>
          <c:dLblPos val="ctr"/>
          <c:showLegendKey val="0"/>
          <c:showVal val="1"/>
          <c:showCatName val="0"/>
          <c:showSerName val="0"/>
          <c:showPercent val="0"/>
          <c:showBubbleSize val="0"/>
        </c:dLbls>
        <c:gapWidth val="150"/>
        <c:overlap val="100"/>
        <c:axId val="-357486832"/>
        <c:axId val="-357489008"/>
      </c:barChart>
      <c:catAx>
        <c:axId val="-35748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9008"/>
        <c:crosses val="autoZero"/>
        <c:auto val="1"/>
        <c:lblAlgn val="ctr"/>
        <c:lblOffset val="100"/>
        <c:noMultiLvlLbl val="0"/>
      </c:catAx>
      <c:valAx>
        <c:axId val="-357489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q-AL"/>
                  <a:t>Ktoe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a:t>Konsumi primar i energjisë (2015-2021)</a:t>
            </a:r>
          </a:p>
        </c:rich>
      </c:tx>
      <c:overlay val="0"/>
      <c:spPr>
        <a:noFill/>
        <a:ln>
          <a:noFill/>
        </a:ln>
        <a:effectLst/>
      </c:spPr>
    </c:title>
    <c:autoTitleDeleted val="0"/>
    <c:plotArea>
      <c:layout/>
      <c:lineChart>
        <c:grouping val="standard"/>
        <c:varyColors val="0"/>
        <c:ser>
          <c:idx val="1"/>
          <c:order val="0"/>
          <c:tx>
            <c:strRef>
              <c:f>Sheet1!$F$6</c:f>
              <c:strCache>
                <c:ptCount val="1"/>
                <c:pt idx="0">
                  <c:v>PEC</c:v>
                </c:pt>
              </c:strCache>
            </c:strRef>
          </c:tx>
          <c:spPr>
            <a:ln w="28575" cap="rnd">
              <a:solidFill>
                <a:schemeClr val="accent2"/>
              </a:solidFill>
              <a:round/>
            </a:ln>
            <a:effectLst/>
          </c:spPr>
          <c:marker>
            <c:symbol val="none"/>
          </c:marker>
          <c:cat>
            <c:numRef>
              <c:f>Sheet1!$D$7:$D$13</c:f>
              <c:numCache>
                <c:formatCode>General</c:formatCode>
                <c:ptCount val="7"/>
                <c:pt idx="0">
                  <c:v>2015</c:v>
                </c:pt>
                <c:pt idx="1">
                  <c:v>2016</c:v>
                </c:pt>
                <c:pt idx="2">
                  <c:v>2017</c:v>
                </c:pt>
                <c:pt idx="3">
                  <c:v>2018</c:v>
                </c:pt>
                <c:pt idx="4">
                  <c:v>2019</c:v>
                </c:pt>
                <c:pt idx="5">
                  <c:v>2020</c:v>
                </c:pt>
                <c:pt idx="6">
                  <c:v>2021</c:v>
                </c:pt>
              </c:numCache>
            </c:numRef>
          </c:cat>
          <c:val>
            <c:numRef>
              <c:f>Sheet1!$F$7:$F$13</c:f>
              <c:numCache>
                <c:formatCode>General</c:formatCode>
                <c:ptCount val="7"/>
                <c:pt idx="0">
                  <c:v>2511</c:v>
                </c:pt>
                <c:pt idx="1">
                  <c:v>2689</c:v>
                </c:pt>
                <c:pt idx="2">
                  <c:v>2534</c:v>
                </c:pt>
                <c:pt idx="3" formatCode="0">
                  <c:v>2524</c:v>
                </c:pt>
                <c:pt idx="4" formatCode="0">
                  <c:v>2707</c:v>
                </c:pt>
                <c:pt idx="5">
                  <c:v>2734</c:v>
                </c:pt>
                <c:pt idx="6">
                  <c:v>2874</c:v>
                </c:pt>
              </c:numCache>
            </c:numRef>
          </c:val>
          <c:smooth val="0"/>
          <c:extLst>
            <c:ext xmlns:c16="http://schemas.microsoft.com/office/drawing/2014/chart" uri="{C3380CC4-5D6E-409C-BE32-E72D297353CC}">
              <c16:uniqueId val="{00000000-E9BB-4F2F-8666-1A8BC36E8D78}"/>
            </c:ext>
          </c:extLst>
        </c:ser>
        <c:dLbls>
          <c:showLegendKey val="0"/>
          <c:showVal val="0"/>
          <c:showCatName val="0"/>
          <c:showSerName val="0"/>
          <c:showPercent val="0"/>
          <c:showBubbleSize val="0"/>
        </c:dLbls>
        <c:smooth val="0"/>
        <c:axId val="-357479760"/>
        <c:axId val="-357487920"/>
      </c:lineChart>
      <c:catAx>
        <c:axId val="-35747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7920"/>
        <c:crosses val="autoZero"/>
        <c:auto val="1"/>
        <c:lblAlgn val="ctr"/>
        <c:lblOffset val="100"/>
        <c:noMultiLvlLbl val="0"/>
      </c:catAx>
      <c:valAx>
        <c:axId val="-35748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7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2351-6AFF-4DBD-ACAB-61486C72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Teskeredzic</dc:creator>
  <cp:keywords/>
  <dc:description/>
  <cp:lastModifiedBy>Sahit.Shabani</cp:lastModifiedBy>
  <cp:revision>2</cp:revision>
  <cp:lastPrinted>2017-05-10T13:36:00Z</cp:lastPrinted>
  <dcterms:created xsi:type="dcterms:W3CDTF">2023-05-26T12:06:00Z</dcterms:created>
  <dcterms:modified xsi:type="dcterms:W3CDTF">2023-05-26T12:06:00Z</dcterms:modified>
</cp:coreProperties>
</file>