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542F" w14:textId="77777777" w:rsidR="00DA4990" w:rsidRDefault="00DA4990" w:rsidP="00122CFD">
      <w:pPr>
        <w:spacing w:after="0" w:line="240" w:lineRule="auto"/>
        <w:jc w:val="center"/>
        <w:rPr>
          <w:rFonts w:ascii="Times New Roman" w:hAnsi="Times New Roman" w:cs="Times New Roman"/>
          <w:b/>
          <w:sz w:val="44"/>
          <w:szCs w:val="44"/>
          <w:lang w:val="en-GB"/>
        </w:rPr>
      </w:pPr>
    </w:p>
    <w:p w14:paraId="461984C8" w14:textId="5C3D0EFC" w:rsidR="00122CFD" w:rsidRDefault="007B43A4" w:rsidP="00122CFD">
      <w:pPr>
        <w:spacing w:after="0" w:line="240" w:lineRule="auto"/>
        <w:jc w:val="center"/>
        <w:rPr>
          <w:rFonts w:ascii="Times New Roman" w:hAnsi="Times New Roman" w:cs="Times New Roman"/>
          <w:b/>
          <w:sz w:val="44"/>
          <w:szCs w:val="44"/>
          <w:lang w:val="en-GB"/>
        </w:rPr>
      </w:pPr>
      <w:r>
        <w:rPr>
          <w:rFonts w:ascii="Times New Roman" w:hAnsi="Times New Roman" w:cs="Times New Roman"/>
          <w:b/>
          <w:sz w:val="44"/>
          <w:szCs w:val="44"/>
          <w:lang w:val="en-GB"/>
        </w:rPr>
        <w:t>6</w:t>
      </w:r>
      <w:r w:rsidR="00E84D14" w:rsidRPr="00E84D14">
        <w:rPr>
          <w:rFonts w:ascii="Times New Roman" w:hAnsi="Times New Roman" w:cs="Times New Roman"/>
          <w:b/>
          <w:sz w:val="44"/>
          <w:szCs w:val="44"/>
          <w:vertAlign w:val="superscript"/>
          <w:lang w:val="en-GB"/>
        </w:rPr>
        <w:t>th</w:t>
      </w:r>
      <w:r w:rsidR="00E84D14">
        <w:rPr>
          <w:rFonts w:ascii="Times New Roman" w:hAnsi="Times New Roman" w:cs="Times New Roman"/>
          <w:b/>
          <w:sz w:val="44"/>
          <w:szCs w:val="44"/>
          <w:lang w:val="en-GB"/>
        </w:rPr>
        <w:t xml:space="preserve"> </w:t>
      </w:r>
      <w:r w:rsidR="00122CFD" w:rsidRPr="009309D2">
        <w:rPr>
          <w:rFonts w:ascii="Times New Roman" w:hAnsi="Times New Roman" w:cs="Times New Roman"/>
          <w:b/>
          <w:sz w:val="44"/>
          <w:szCs w:val="44"/>
          <w:lang w:val="en-GB"/>
        </w:rPr>
        <w:t xml:space="preserve">Annual Report </w:t>
      </w:r>
    </w:p>
    <w:p w14:paraId="5C07D268" w14:textId="77777777" w:rsidR="00122CFD" w:rsidRPr="009309D2" w:rsidRDefault="00122CFD" w:rsidP="00122CFD">
      <w:pPr>
        <w:spacing w:after="0" w:line="240" w:lineRule="auto"/>
        <w:jc w:val="center"/>
        <w:rPr>
          <w:rFonts w:ascii="Times New Roman" w:hAnsi="Times New Roman" w:cs="Times New Roman"/>
          <w:b/>
          <w:sz w:val="44"/>
          <w:szCs w:val="44"/>
          <w:lang w:val="en-GB"/>
        </w:rPr>
      </w:pPr>
      <w:proofErr w:type="gramStart"/>
      <w:r w:rsidRPr="009309D2">
        <w:rPr>
          <w:rFonts w:ascii="Times New Roman" w:hAnsi="Times New Roman" w:cs="Times New Roman"/>
          <w:b/>
          <w:sz w:val="44"/>
          <w:szCs w:val="44"/>
          <w:lang w:val="en-GB"/>
        </w:rPr>
        <w:t>under</w:t>
      </w:r>
      <w:proofErr w:type="gramEnd"/>
      <w:r w:rsidRPr="009309D2">
        <w:rPr>
          <w:rFonts w:ascii="Times New Roman" w:hAnsi="Times New Roman" w:cs="Times New Roman"/>
          <w:b/>
          <w:sz w:val="44"/>
          <w:szCs w:val="44"/>
          <w:lang w:val="en-GB"/>
        </w:rPr>
        <w:t xml:space="preserve"> the Energy Efficiency Directive</w:t>
      </w:r>
    </w:p>
    <w:p w14:paraId="331FD33F" w14:textId="77777777" w:rsidR="00122CFD" w:rsidRPr="009309D2" w:rsidRDefault="00122CFD" w:rsidP="00122CFD">
      <w:pPr>
        <w:spacing w:after="0" w:line="240" w:lineRule="auto"/>
        <w:jc w:val="center"/>
        <w:rPr>
          <w:rFonts w:ascii="Times New Roman" w:hAnsi="Times New Roman" w:cs="Times New Roman"/>
          <w:sz w:val="36"/>
          <w:szCs w:val="36"/>
          <w:lang w:val="en-GB"/>
        </w:rPr>
      </w:pPr>
    </w:p>
    <w:p w14:paraId="5F0EF1AE" w14:textId="585CF092" w:rsidR="00122CFD" w:rsidRDefault="00122CFD" w:rsidP="00122CFD">
      <w:pPr>
        <w:spacing w:after="0" w:line="240" w:lineRule="auto"/>
        <w:jc w:val="center"/>
        <w:rPr>
          <w:rFonts w:ascii="Times New Roman" w:hAnsi="Times New Roman" w:cs="Times New Roman"/>
          <w:sz w:val="36"/>
          <w:szCs w:val="36"/>
          <w:lang w:val="en-GB"/>
        </w:rPr>
      </w:pPr>
    </w:p>
    <w:p w14:paraId="00860209" w14:textId="77777777" w:rsidR="003E3F20" w:rsidRDefault="003E3F20" w:rsidP="00122CFD">
      <w:pPr>
        <w:spacing w:after="0" w:line="240" w:lineRule="auto"/>
        <w:jc w:val="center"/>
        <w:rPr>
          <w:rFonts w:ascii="Times New Roman" w:hAnsi="Times New Roman" w:cs="Times New Roman"/>
          <w:sz w:val="36"/>
          <w:szCs w:val="36"/>
          <w:lang w:val="en-GB"/>
        </w:rPr>
      </w:pPr>
    </w:p>
    <w:p w14:paraId="59D0C5F7" w14:textId="77777777" w:rsidR="00122CFD" w:rsidRDefault="00122CFD" w:rsidP="00122CFD">
      <w:pPr>
        <w:spacing w:after="0" w:line="240" w:lineRule="auto"/>
        <w:jc w:val="center"/>
        <w:rPr>
          <w:rFonts w:ascii="Times New Roman" w:hAnsi="Times New Roman" w:cs="Times New Roman"/>
          <w:sz w:val="36"/>
          <w:szCs w:val="36"/>
          <w:lang w:val="en-GB"/>
        </w:rPr>
      </w:pPr>
    </w:p>
    <w:p w14:paraId="77F07A91" w14:textId="77777777" w:rsidR="002F0CEC" w:rsidRDefault="002F0CEC" w:rsidP="00122CFD">
      <w:pPr>
        <w:spacing w:after="0" w:line="240" w:lineRule="auto"/>
        <w:jc w:val="center"/>
        <w:rPr>
          <w:rFonts w:ascii="Times New Roman" w:hAnsi="Times New Roman" w:cs="Times New Roman"/>
          <w:sz w:val="36"/>
          <w:szCs w:val="36"/>
          <w:highlight w:val="lightGray"/>
          <w:lang w:val="en-GB"/>
        </w:rPr>
      </w:pPr>
    </w:p>
    <w:p w14:paraId="57D741AD" w14:textId="77777777" w:rsidR="002F0CEC" w:rsidRDefault="002F0CEC" w:rsidP="00122CFD">
      <w:pPr>
        <w:spacing w:after="0" w:line="240" w:lineRule="auto"/>
        <w:jc w:val="center"/>
        <w:rPr>
          <w:rFonts w:ascii="Times New Roman" w:hAnsi="Times New Roman" w:cs="Times New Roman"/>
          <w:sz w:val="36"/>
          <w:szCs w:val="36"/>
          <w:highlight w:val="lightGray"/>
          <w:lang w:val="en-GB"/>
        </w:rPr>
      </w:pPr>
    </w:p>
    <w:p w14:paraId="66F7EE34" w14:textId="706E6675" w:rsidR="00122CFD" w:rsidRDefault="00FE512F" w:rsidP="00122CFD">
      <w:pPr>
        <w:spacing w:after="0" w:line="240" w:lineRule="auto"/>
        <w:jc w:val="center"/>
        <w:rPr>
          <w:rFonts w:ascii="Times New Roman" w:hAnsi="Times New Roman" w:cs="Times New Roman"/>
          <w:sz w:val="36"/>
          <w:szCs w:val="36"/>
          <w:lang w:val="en-GB"/>
        </w:rPr>
      </w:pPr>
      <w:r>
        <w:rPr>
          <w:rFonts w:ascii="Times New Roman" w:hAnsi="Times New Roman" w:cs="Times New Roman"/>
          <w:sz w:val="36"/>
          <w:szCs w:val="36"/>
          <w:lang w:val="en-GB"/>
        </w:rPr>
        <w:t>Kosovo</w:t>
      </w:r>
    </w:p>
    <w:p w14:paraId="78A62494" w14:textId="18D62D37" w:rsidR="002F0CEC" w:rsidRDefault="002F0CEC" w:rsidP="00122CFD">
      <w:pPr>
        <w:spacing w:after="0" w:line="240" w:lineRule="auto"/>
        <w:jc w:val="center"/>
        <w:rPr>
          <w:rFonts w:ascii="Times New Roman" w:hAnsi="Times New Roman" w:cs="Times New Roman"/>
          <w:sz w:val="36"/>
          <w:szCs w:val="36"/>
          <w:lang w:val="en-GB"/>
        </w:rPr>
      </w:pPr>
    </w:p>
    <w:p w14:paraId="61D93681" w14:textId="6FE4101A" w:rsidR="002F0CEC" w:rsidRDefault="002F0CEC" w:rsidP="002F0CEC">
      <w:pPr>
        <w:spacing w:after="0" w:line="240" w:lineRule="auto"/>
        <w:jc w:val="center"/>
        <w:rPr>
          <w:rFonts w:ascii="Times New Roman" w:hAnsi="Times New Roman" w:cs="Times New Roman"/>
          <w:sz w:val="36"/>
          <w:szCs w:val="36"/>
          <w:lang w:val="en-GB"/>
        </w:rPr>
      </w:pPr>
      <w:r>
        <w:rPr>
          <w:rFonts w:ascii="Times New Roman" w:hAnsi="Times New Roman" w:cs="Times New Roman"/>
          <w:sz w:val="36"/>
          <w:szCs w:val="36"/>
          <w:lang w:val="en-GB"/>
        </w:rPr>
        <w:t xml:space="preserve">Prepared by: </w:t>
      </w:r>
      <w:r w:rsidR="006E3D30" w:rsidRPr="004561A0">
        <w:rPr>
          <w:rFonts w:cstheme="minorHAnsi"/>
          <w:sz w:val="36"/>
          <w:szCs w:val="36"/>
          <w:lang w:val="en-US"/>
        </w:rPr>
        <w:t>Kosovo Energy Efficiency Agency</w:t>
      </w:r>
    </w:p>
    <w:p w14:paraId="6B915CBD" w14:textId="16A8B94B" w:rsidR="002F0CEC" w:rsidRDefault="002F0CEC" w:rsidP="00122CFD">
      <w:pPr>
        <w:spacing w:after="0" w:line="240" w:lineRule="auto"/>
        <w:jc w:val="center"/>
        <w:rPr>
          <w:rFonts w:ascii="Times New Roman" w:hAnsi="Times New Roman" w:cs="Times New Roman"/>
          <w:sz w:val="36"/>
          <w:szCs w:val="36"/>
          <w:lang w:val="en-GB"/>
        </w:rPr>
      </w:pPr>
    </w:p>
    <w:p w14:paraId="1F0161AF" w14:textId="77777777" w:rsidR="002F0CEC" w:rsidRDefault="002F0CEC" w:rsidP="00122CFD">
      <w:pPr>
        <w:spacing w:after="0" w:line="240" w:lineRule="auto"/>
        <w:jc w:val="center"/>
        <w:rPr>
          <w:rFonts w:ascii="Times New Roman" w:hAnsi="Times New Roman" w:cs="Times New Roman"/>
          <w:sz w:val="36"/>
          <w:szCs w:val="36"/>
          <w:lang w:val="en-GB"/>
        </w:rPr>
      </w:pPr>
    </w:p>
    <w:p w14:paraId="5FC26228" w14:textId="2E7A0900" w:rsidR="00122CFD" w:rsidRDefault="00122CFD" w:rsidP="00122CFD">
      <w:pPr>
        <w:spacing w:after="0" w:line="240" w:lineRule="auto"/>
        <w:jc w:val="center"/>
        <w:rPr>
          <w:rFonts w:ascii="Times New Roman" w:hAnsi="Times New Roman" w:cs="Times New Roman"/>
          <w:sz w:val="36"/>
          <w:szCs w:val="36"/>
          <w:lang w:val="en-GB"/>
        </w:rPr>
      </w:pPr>
    </w:p>
    <w:p w14:paraId="1AB80CDC" w14:textId="21D20ED1" w:rsidR="003E3F20" w:rsidRDefault="003E3F20" w:rsidP="00122CFD">
      <w:pPr>
        <w:spacing w:after="0" w:line="240" w:lineRule="auto"/>
        <w:jc w:val="center"/>
        <w:rPr>
          <w:rFonts w:ascii="Times New Roman" w:hAnsi="Times New Roman" w:cs="Times New Roman"/>
          <w:sz w:val="36"/>
          <w:szCs w:val="36"/>
          <w:lang w:val="en-GB"/>
        </w:rPr>
      </w:pPr>
    </w:p>
    <w:p w14:paraId="128F38ED" w14:textId="1B879D23" w:rsidR="003E3F20" w:rsidRDefault="003E3F20" w:rsidP="00122CFD">
      <w:pPr>
        <w:spacing w:after="0" w:line="240" w:lineRule="auto"/>
        <w:jc w:val="center"/>
        <w:rPr>
          <w:rFonts w:ascii="Times New Roman" w:hAnsi="Times New Roman" w:cs="Times New Roman"/>
          <w:sz w:val="36"/>
          <w:szCs w:val="36"/>
          <w:lang w:val="en-GB"/>
        </w:rPr>
      </w:pPr>
    </w:p>
    <w:p w14:paraId="3CA414AB" w14:textId="7DB9AC80" w:rsidR="003E3F20" w:rsidRDefault="003E3F20" w:rsidP="00122CFD">
      <w:pPr>
        <w:spacing w:after="0" w:line="240" w:lineRule="auto"/>
        <w:jc w:val="center"/>
        <w:rPr>
          <w:rFonts w:ascii="Times New Roman" w:hAnsi="Times New Roman" w:cs="Times New Roman"/>
          <w:sz w:val="36"/>
          <w:szCs w:val="36"/>
          <w:lang w:val="en-GB"/>
        </w:rPr>
      </w:pPr>
    </w:p>
    <w:p w14:paraId="571B962C" w14:textId="77777777" w:rsidR="003E3F20" w:rsidRDefault="003E3F20" w:rsidP="00122CFD">
      <w:pPr>
        <w:spacing w:after="0" w:line="240" w:lineRule="auto"/>
        <w:jc w:val="center"/>
        <w:rPr>
          <w:rFonts w:ascii="Times New Roman" w:hAnsi="Times New Roman" w:cs="Times New Roman"/>
          <w:sz w:val="36"/>
          <w:szCs w:val="36"/>
          <w:lang w:val="en-GB"/>
        </w:rPr>
      </w:pPr>
    </w:p>
    <w:p w14:paraId="6A317E85" w14:textId="77777777" w:rsidR="00122CFD" w:rsidRDefault="00122CFD" w:rsidP="00122CFD">
      <w:pPr>
        <w:spacing w:after="0" w:line="240" w:lineRule="auto"/>
        <w:jc w:val="center"/>
        <w:rPr>
          <w:rFonts w:ascii="Times New Roman" w:hAnsi="Times New Roman" w:cs="Times New Roman"/>
          <w:sz w:val="36"/>
          <w:szCs w:val="36"/>
          <w:lang w:val="en-GB"/>
        </w:rPr>
      </w:pPr>
    </w:p>
    <w:p w14:paraId="7E08A7A1" w14:textId="77777777" w:rsidR="00DA4990" w:rsidRDefault="00DA4990" w:rsidP="00122CFD">
      <w:pPr>
        <w:spacing w:after="0" w:line="240" w:lineRule="auto"/>
        <w:jc w:val="center"/>
        <w:rPr>
          <w:rFonts w:ascii="Times New Roman" w:hAnsi="Times New Roman" w:cs="Times New Roman"/>
          <w:sz w:val="36"/>
          <w:szCs w:val="36"/>
          <w:lang w:val="en-GB"/>
        </w:rPr>
      </w:pPr>
    </w:p>
    <w:p w14:paraId="6AC4FF1E" w14:textId="77777777" w:rsidR="00DA4990" w:rsidRDefault="00DA4990" w:rsidP="00122CFD">
      <w:pPr>
        <w:spacing w:after="0" w:line="240" w:lineRule="auto"/>
        <w:jc w:val="center"/>
        <w:rPr>
          <w:rFonts w:ascii="Times New Roman" w:hAnsi="Times New Roman" w:cs="Times New Roman"/>
          <w:sz w:val="36"/>
          <w:szCs w:val="36"/>
          <w:lang w:val="en-GB"/>
        </w:rPr>
      </w:pPr>
    </w:p>
    <w:p w14:paraId="0DCDC170" w14:textId="77777777" w:rsidR="00DA4990" w:rsidRDefault="00DA4990" w:rsidP="00122CFD">
      <w:pPr>
        <w:spacing w:after="0" w:line="240" w:lineRule="auto"/>
        <w:jc w:val="center"/>
        <w:rPr>
          <w:rFonts w:ascii="Times New Roman" w:hAnsi="Times New Roman" w:cs="Times New Roman"/>
          <w:sz w:val="36"/>
          <w:szCs w:val="36"/>
          <w:lang w:val="en-GB"/>
        </w:rPr>
      </w:pPr>
    </w:p>
    <w:p w14:paraId="5966C92B" w14:textId="77777777" w:rsidR="002F0CEC" w:rsidRDefault="002F0CEC" w:rsidP="00122CFD">
      <w:pPr>
        <w:spacing w:after="0" w:line="240" w:lineRule="auto"/>
        <w:jc w:val="center"/>
        <w:rPr>
          <w:rFonts w:ascii="Times New Roman" w:hAnsi="Times New Roman" w:cs="Times New Roman"/>
          <w:sz w:val="36"/>
          <w:szCs w:val="36"/>
          <w:lang w:val="en-GB"/>
        </w:rPr>
      </w:pPr>
    </w:p>
    <w:p w14:paraId="5B5B3985" w14:textId="77777777" w:rsidR="002F0CEC" w:rsidRDefault="002F0CEC" w:rsidP="00122CFD">
      <w:pPr>
        <w:spacing w:after="0" w:line="240" w:lineRule="auto"/>
        <w:jc w:val="center"/>
        <w:rPr>
          <w:rFonts w:ascii="Times New Roman" w:hAnsi="Times New Roman" w:cs="Times New Roman"/>
          <w:sz w:val="36"/>
          <w:szCs w:val="36"/>
          <w:lang w:val="en-GB"/>
        </w:rPr>
      </w:pPr>
    </w:p>
    <w:p w14:paraId="6D9CC1FF" w14:textId="77777777" w:rsidR="002F0CEC" w:rsidRDefault="002F0CEC" w:rsidP="00122CFD">
      <w:pPr>
        <w:spacing w:after="0" w:line="240" w:lineRule="auto"/>
        <w:jc w:val="center"/>
        <w:rPr>
          <w:rFonts w:ascii="Times New Roman" w:hAnsi="Times New Roman" w:cs="Times New Roman"/>
          <w:sz w:val="36"/>
          <w:szCs w:val="36"/>
          <w:lang w:val="en-GB"/>
        </w:rPr>
      </w:pPr>
    </w:p>
    <w:p w14:paraId="5C4B9FAB" w14:textId="77777777" w:rsidR="002F0CEC" w:rsidRDefault="002F0CEC" w:rsidP="00122CFD">
      <w:pPr>
        <w:spacing w:after="0" w:line="240" w:lineRule="auto"/>
        <w:jc w:val="center"/>
        <w:rPr>
          <w:rFonts w:ascii="Times New Roman" w:hAnsi="Times New Roman" w:cs="Times New Roman"/>
          <w:sz w:val="36"/>
          <w:szCs w:val="36"/>
          <w:lang w:val="en-GB"/>
        </w:rPr>
      </w:pPr>
    </w:p>
    <w:p w14:paraId="1B37D74B" w14:textId="77777777" w:rsidR="002F0CEC" w:rsidRDefault="002F0CEC" w:rsidP="00122CFD">
      <w:pPr>
        <w:spacing w:after="0" w:line="240" w:lineRule="auto"/>
        <w:jc w:val="center"/>
        <w:rPr>
          <w:rFonts w:ascii="Times New Roman" w:hAnsi="Times New Roman" w:cs="Times New Roman"/>
          <w:sz w:val="36"/>
          <w:szCs w:val="36"/>
          <w:lang w:val="en-GB"/>
        </w:rPr>
      </w:pPr>
    </w:p>
    <w:p w14:paraId="0152B24A" w14:textId="77777777" w:rsidR="002F0CEC" w:rsidRDefault="002F0CEC" w:rsidP="00122CFD">
      <w:pPr>
        <w:spacing w:after="0" w:line="240" w:lineRule="auto"/>
        <w:jc w:val="center"/>
        <w:rPr>
          <w:rFonts w:ascii="Times New Roman" w:hAnsi="Times New Roman" w:cs="Times New Roman"/>
          <w:sz w:val="36"/>
          <w:szCs w:val="36"/>
          <w:lang w:val="en-GB"/>
        </w:rPr>
      </w:pPr>
    </w:p>
    <w:p w14:paraId="5FE7A108" w14:textId="77777777" w:rsidR="002F0CEC" w:rsidRDefault="002F0CEC" w:rsidP="00122CFD">
      <w:pPr>
        <w:spacing w:after="0" w:line="240" w:lineRule="auto"/>
        <w:jc w:val="center"/>
        <w:rPr>
          <w:rFonts w:ascii="Times New Roman" w:hAnsi="Times New Roman" w:cs="Times New Roman"/>
          <w:sz w:val="36"/>
          <w:szCs w:val="36"/>
          <w:lang w:val="en-GB"/>
        </w:rPr>
      </w:pPr>
    </w:p>
    <w:p w14:paraId="10A2AE28" w14:textId="6B09D8C3" w:rsidR="00122CFD" w:rsidRDefault="005D67FB" w:rsidP="00122CFD">
      <w:pPr>
        <w:spacing w:after="0" w:line="240" w:lineRule="auto"/>
        <w:jc w:val="center"/>
        <w:rPr>
          <w:rFonts w:ascii="Times New Roman" w:hAnsi="Times New Roman" w:cs="Times New Roman"/>
          <w:sz w:val="36"/>
          <w:szCs w:val="36"/>
          <w:lang w:val="en-GB"/>
        </w:rPr>
      </w:pPr>
      <w:r w:rsidRPr="00E751A5">
        <w:rPr>
          <w:rFonts w:ascii="Times New Roman" w:hAnsi="Times New Roman" w:cs="Times New Roman"/>
          <w:sz w:val="36"/>
          <w:szCs w:val="36"/>
          <w:lang w:val="en-GB"/>
        </w:rPr>
        <w:t>June</w:t>
      </w:r>
      <w:r w:rsidR="006C1AC4" w:rsidRPr="00E751A5">
        <w:rPr>
          <w:rFonts w:ascii="Times New Roman" w:hAnsi="Times New Roman" w:cs="Times New Roman"/>
          <w:sz w:val="36"/>
          <w:szCs w:val="36"/>
          <w:lang w:val="en-GB"/>
        </w:rPr>
        <w:t xml:space="preserve"> </w:t>
      </w:r>
      <w:r w:rsidR="007B43A4" w:rsidRPr="00E751A5">
        <w:rPr>
          <w:rFonts w:ascii="Times New Roman" w:hAnsi="Times New Roman" w:cs="Times New Roman"/>
          <w:sz w:val="36"/>
          <w:szCs w:val="36"/>
          <w:lang w:val="en-GB"/>
        </w:rPr>
        <w:t>2022</w:t>
      </w:r>
    </w:p>
    <w:p w14:paraId="47DD715D" w14:textId="77777777" w:rsidR="00122CFD" w:rsidRPr="009309D2" w:rsidRDefault="00122CFD" w:rsidP="00122CFD">
      <w:pPr>
        <w:spacing w:after="0" w:line="240" w:lineRule="auto"/>
        <w:jc w:val="center"/>
        <w:rPr>
          <w:rFonts w:ascii="Times New Roman" w:hAnsi="Times New Roman" w:cs="Times New Roman"/>
          <w:sz w:val="36"/>
          <w:szCs w:val="36"/>
          <w:lang w:val="en-GB"/>
        </w:rPr>
      </w:pPr>
    </w:p>
    <w:p w14:paraId="4B694DF5" w14:textId="0EBA0737" w:rsidR="00B47509" w:rsidRDefault="00122CFD" w:rsidP="00933A4C">
      <w:pPr>
        <w:pStyle w:val="ti-art2"/>
        <w:shd w:val="clear" w:color="auto" w:fill="FFFFFF"/>
        <w:spacing w:before="0" w:after="0" w:line="240" w:lineRule="auto"/>
        <w:jc w:val="left"/>
        <w:rPr>
          <w:i w:val="0"/>
          <w:lang w:val="en-US"/>
        </w:rPr>
      </w:pPr>
      <w:r>
        <w:rPr>
          <w:color w:val="1F497D" w:themeColor="text2"/>
          <w:sz w:val="36"/>
          <w:szCs w:val="36"/>
          <w:lang w:val="en-GB"/>
        </w:rPr>
        <w:br w:type="page"/>
      </w:r>
      <w:r w:rsidR="00A96570">
        <w:rPr>
          <w:i w:val="0"/>
          <w:lang w:val="en-US"/>
        </w:rPr>
        <w:lastRenderedPageBreak/>
        <w:t xml:space="preserve"> </w:t>
      </w:r>
    </w:p>
    <w:p w14:paraId="3B923A04" w14:textId="2100D54A" w:rsidR="00131602" w:rsidRPr="004561A0" w:rsidRDefault="00131602" w:rsidP="00131602">
      <w:pPr>
        <w:shd w:val="clear" w:color="auto" w:fill="FFFFFF"/>
        <w:spacing w:after="0" w:line="240" w:lineRule="auto"/>
        <w:jc w:val="both"/>
        <w:rPr>
          <w:rFonts w:cstheme="minorHAnsi"/>
          <w:iCs/>
          <w:sz w:val="24"/>
          <w:szCs w:val="24"/>
          <w:lang w:val="en-US"/>
        </w:rPr>
      </w:pPr>
      <w:r w:rsidRPr="004561A0">
        <w:rPr>
          <w:rFonts w:cstheme="minorHAnsi"/>
          <w:iCs/>
          <w:sz w:val="24"/>
          <w:szCs w:val="24"/>
          <w:lang w:val="en-US"/>
        </w:rPr>
        <w:t xml:space="preserve">This is the </w:t>
      </w:r>
      <w:r>
        <w:rPr>
          <w:rFonts w:cstheme="minorHAnsi"/>
          <w:iCs/>
          <w:sz w:val="24"/>
          <w:szCs w:val="24"/>
          <w:lang w:val="en-US"/>
        </w:rPr>
        <w:t>6</w:t>
      </w:r>
      <w:r w:rsidRPr="00131602">
        <w:rPr>
          <w:rFonts w:cstheme="minorHAnsi"/>
          <w:iCs/>
          <w:sz w:val="24"/>
          <w:szCs w:val="24"/>
          <w:vertAlign w:val="superscript"/>
          <w:lang w:val="en-US"/>
        </w:rPr>
        <w:t>th</w:t>
      </w:r>
      <w:r>
        <w:rPr>
          <w:rFonts w:cstheme="minorHAnsi"/>
          <w:iCs/>
          <w:sz w:val="24"/>
          <w:szCs w:val="24"/>
          <w:lang w:val="en-US"/>
        </w:rPr>
        <w:t xml:space="preserve"> </w:t>
      </w:r>
      <w:r w:rsidRPr="004561A0">
        <w:rPr>
          <w:rFonts w:cstheme="minorHAnsi"/>
          <w:iCs/>
          <w:sz w:val="24"/>
          <w:szCs w:val="24"/>
          <w:lang w:val="en-US"/>
        </w:rPr>
        <w:t>Annual Report under the Energy Efficiency Directive prepared by Kosovo, based on the Template proposed by the Energy Community Secretariat and fully consistent with the requirements of the Energy Efficiency Directive - EED (2012/27/EU). Explanations for all numbers provided in the following table are given below, including the sources of information.</w:t>
      </w:r>
    </w:p>
    <w:p w14:paraId="60DB8A01" w14:textId="11B382AE" w:rsidR="00E246A9" w:rsidRPr="009309D2" w:rsidRDefault="00E246A9" w:rsidP="00975878">
      <w:pPr>
        <w:rPr>
          <w:i/>
          <w:color w:val="0070C0"/>
          <w:lang w:val="en-GB"/>
        </w:rPr>
      </w:pPr>
    </w:p>
    <w:tbl>
      <w:tblPr>
        <w:tblStyle w:val="TableGrid"/>
        <w:tblW w:w="0" w:type="auto"/>
        <w:tblLook w:val="04A0" w:firstRow="1" w:lastRow="0" w:firstColumn="1" w:lastColumn="0" w:noHBand="0" w:noVBand="1"/>
      </w:tblPr>
      <w:tblGrid>
        <w:gridCol w:w="6408"/>
        <w:gridCol w:w="1638"/>
        <w:gridCol w:w="1196"/>
      </w:tblGrid>
      <w:tr w:rsidR="00900C3A" w:rsidRPr="009309D2" w14:paraId="6373480B" w14:textId="77777777" w:rsidTr="00426C40">
        <w:trPr>
          <w:trHeight w:val="1070"/>
          <w:tblHeader/>
        </w:trPr>
        <w:tc>
          <w:tcPr>
            <w:tcW w:w="6408" w:type="dxa"/>
            <w:shd w:val="clear" w:color="auto" w:fill="C6D9F1" w:themeFill="text2" w:themeFillTint="33"/>
            <w:vAlign w:val="center"/>
          </w:tcPr>
          <w:p w14:paraId="614A35C2" w14:textId="0A1B3AB8" w:rsidR="00900C3A" w:rsidRPr="009309D2" w:rsidRDefault="00900C3A" w:rsidP="00B47509">
            <w:pPr>
              <w:rPr>
                <w:b/>
                <w:sz w:val="28"/>
                <w:szCs w:val="28"/>
                <w:lang w:val="en-GB"/>
              </w:rPr>
            </w:pPr>
            <w:bookmarkStart w:id="0" w:name="_Hlk116983229"/>
            <w:r w:rsidRPr="009309D2">
              <w:rPr>
                <w:b/>
                <w:sz w:val="28"/>
                <w:szCs w:val="28"/>
                <w:lang w:val="en-GB"/>
              </w:rPr>
              <w:t xml:space="preserve">Estimation of key statistics </w:t>
            </w:r>
            <w:r w:rsidR="00BA65FA">
              <w:rPr>
                <w:b/>
                <w:sz w:val="28"/>
                <w:szCs w:val="28"/>
                <w:lang w:val="en-GB"/>
              </w:rPr>
              <w:t xml:space="preserve">and indicators </w:t>
            </w:r>
            <w:r w:rsidR="00697FD2">
              <w:rPr>
                <w:b/>
                <w:sz w:val="28"/>
                <w:szCs w:val="28"/>
                <w:lang w:val="en-GB"/>
              </w:rPr>
              <w:t xml:space="preserve">in </w:t>
            </w:r>
            <w:r w:rsidR="00B47509">
              <w:rPr>
                <w:b/>
                <w:sz w:val="28"/>
                <w:szCs w:val="28"/>
                <w:lang w:val="en-GB"/>
              </w:rPr>
              <w:t>2020</w:t>
            </w:r>
          </w:p>
        </w:tc>
        <w:tc>
          <w:tcPr>
            <w:tcW w:w="1638" w:type="dxa"/>
            <w:shd w:val="clear" w:color="auto" w:fill="C6D9F1" w:themeFill="text2" w:themeFillTint="33"/>
            <w:vAlign w:val="center"/>
          </w:tcPr>
          <w:p w14:paraId="76FD4BCF" w14:textId="77777777" w:rsidR="00900C3A" w:rsidRPr="009309D2" w:rsidRDefault="00900C3A" w:rsidP="00946C32">
            <w:pPr>
              <w:jc w:val="center"/>
              <w:rPr>
                <w:b/>
                <w:sz w:val="28"/>
                <w:szCs w:val="28"/>
                <w:lang w:val="en-GB"/>
              </w:rPr>
            </w:pPr>
            <w:r w:rsidRPr="009309D2">
              <w:rPr>
                <w:b/>
                <w:sz w:val="28"/>
                <w:szCs w:val="28"/>
                <w:lang w:val="en-GB"/>
              </w:rPr>
              <w:t>Value</w:t>
            </w:r>
          </w:p>
        </w:tc>
        <w:tc>
          <w:tcPr>
            <w:tcW w:w="1196" w:type="dxa"/>
            <w:shd w:val="clear" w:color="auto" w:fill="C6D9F1" w:themeFill="text2" w:themeFillTint="33"/>
            <w:vAlign w:val="center"/>
          </w:tcPr>
          <w:p w14:paraId="6E523976" w14:textId="77777777" w:rsidR="00900C3A" w:rsidRPr="009309D2" w:rsidRDefault="00900C3A" w:rsidP="00946C32">
            <w:pPr>
              <w:jc w:val="center"/>
              <w:rPr>
                <w:b/>
                <w:sz w:val="28"/>
                <w:szCs w:val="28"/>
                <w:lang w:val="en-GB"/>
              </w:rPr>
            </w:pPr>
            <w:r w:rsidRPr="009309D2">
              <w:rPr>
                <w:b/>
                <w:sz w:val="28"/>
                <w:szCs w:val="28"/>
                <w:lang w:val="en-GB"/>
              </w:rPr>
              <w:t>Unit</w:t>
            </w:r>
          </w:p>
        </w:tc>
      </w:tr>
      <w:tr w:rsidR="00900C3A" w:rsidRPr="009309D2" w14:paraId="4E5DEB97" w14:textId="77777777" w:rsidTr="00426C40">
        <w:trPr>
          <w:cantSplit/>
          <w:trHeight w:val="576"/>
        </w:trPr>
        <w:tc>
          <w:tcPr>
            <w:tcW w:w="6408" w:type="dxa"/>
            <w:vAlign w:val="center"/>
          </w:tcPr>
          <w:p w14:paraId="589FC8A7" w14:textId="77777777" w:rsidR="00900C3A" w:rsidRPr="009309D2" w:rsidRDefault="00946C32" w:rsidP="00035929">
            <w:pPr>
              <w:rPr>
                <w:sz w:val="24"/>
                <w:szCs w:val="24"/>
                <w:lang w:val="en-GB"/>
              </w:rPr>
            </w:pPr>
            <w:r w:rsidRPr="009309D2">
              <w:rPr>
                <w:sz w:val="24"/>
                <w:szCs w:val="24"/>
                <w:lang w:val="en-GB"/>
              </w:rPr>
              <w:t>Total primary energy consumption</w:t>
            </w:r>
            <w:r w:rsidR="00490845" w:rsidRPr="009309D2">
              <w:rPr>
                <w:sz w:val="24"/>
                <w:szCs w:val="24"/>
                <w:lang w:val="en-GB"/>
              </w:rPr>
              <w:t xml:space="preserve"> (</w:t>
            </w:r>
            <w:r w:rsidR="00035929" w:rsidRPr="009309D2">
              <w:rPr>
                <w:sz w:val="24"/>
                <w:szCs w:val="24"/>
                <w:lang w:val="en-GB"/>
              </w:rPr>
              <w:t>*</w:t>
            </w:r>
            <w:r w:rsidR="00490845" w:rsidRPr="009309D2">
              <w:rPr>
                <w:sz w:val="24"/>
                <w:szCs w:val="24"/>
                <w:lang w:val="en-GB"/>
              </w:rPr>
              <w:t>)</w:t>
            </w:r>
          </w:p>
        </w:tc>
        <w:tc>
          <w:tcPr>
            <w:tcW w:w="1638" w:type="dxa"/>
            <w:vAlign w:val="center"/>
          </w:tcPr>
          <w:p w14:paraId="04E195C6" w14:textId="28BF6BCA" w:rsidR="00900C3A" w:rsidRPr="009309D2" w:rsidRDefault="0039090F" w:rsidP="0039090F">
            <w:pPr>
              <w:rPr>
                <w:sz w:val="24"/>
                <w:szCs w:val="24"/>
                <w:lang w:val="en-GB"/>
              </w:rPr>
            </w:pPr>
            <w:r>
              <w:rPr>
                <w:sz w:val="24"/>
                <w:szCs w:val="24"/>
                <w:lang w:val="en-GB"/>
              </w:rPr>
              <w:t>2734</w:t>
            </w:r>
          </w:p>
        </w:tc>
        <w:tc>
          <w:tcPr>
            <w:tcW w:w="1196" w:type="dxa"/>
            <w:vAlign w:val="center"/>
          </w:tcPr>
          <w:p w14:paraId="5D3B7E02" w14:textId="571143E5" w:rsidR="00900C3A" w:rsidRPr="009309D2" w:rsidRDefault="00975878" w:rsidP="00946C32">
            <w:pPr>
              <w:rPr>
                <w:sz w:val="24"/>
                <w:szCs w:val="24"/>
                <w:lang w:val="en-GB"/>
              </w:rPr>
            </w:pPr>
            <w:proofErr w:type="spellStart"/>
            <w:r>
              <w:rPr>
                <w:sz w:val="24"/>
                <w:szCs w:val="24"/>
                <w:lang w:val="en-GB"/>
              </w:rPr>
              <w:t>ktoe</w:t>
            </w:r>
            <w:proofErr w:type="spellEnd"/>
          </w:p>
        </w:tc>
      </w:tr>
      <w:tr w:rsidR="00900C3A" w:rsidRPr="009309D2" w14:paraId="01A5D85C" w14:textId="77777777" w:rsidTr="00426C40">
        <w:trPr>
          <w:cantSplit/>
          <w:trHeight w:val="576"/>
        </w:trPr>
        <w:tc>
          <w:tcPr>
            <w:tcW w:w="6408" w:type="dxa"/>
            <w:vAlign w:val="center"/>
          </w:tcPr>
          <w:p w14:paraId="0423EA08" w14:textId="77777777" w:rsidR="00900C3A" w:rsidRPr="009309D2" w:rsidRDefault="00946C32" w:rsidP="00035929">
            <w:pPr>
              <w:rPr>
                <w:sz w:val="24"/>
                <w:szCs w:val="24"/>
                <w:lang w:val="en-GB"/>
              </w:rPr>
            </w:pPr>
            <w:r w:rsidRPr="009309D2">
              <w:rPr>
                <w:sz w:val="24"/>
                <w:szCs w:val="24"/>
                <w:lang w:val="en-GB"/>
              </w:rPr>
              <w:t>Total final energy consumption</w:t>
            </w:r>
            <w:r w:rsidR="00490845" w:rsidRPr="009309D2">
              <w:rPr>
                <w:sz w:val="24"/>
                <w:szCs w:val="24"/>
                <w:lang w:val="en-GB"/>
              </w:rPr>
              <w:t xml:space="preserve"> (</w:t>
            </w:r>
            <w:r w:rsidR="002F6954" w:rsidRPr="009309D2">
              <w:rPr>
                <w:sz w:val="24"/>
                <w:szCs w:val="24"/>
                <w:lang w:val="en-GB"/>
              </w:rPr>
              <w:t>*</w:t>
            </w:r>
            <w:r w:rsidR="00490845" w:rsidRPr="009309D2">
              <w:rPr>
                <w:sz w:val="24"/>
                <w:szCs w:val="24"/>
                <w:lang w:val="en-GB"/>
              </w:rPr>
              <w:t>)</w:t>
            </w:r>
          </w:p>
        </w:tc>
        <w:tc>
          <w:tcPr>
            <w:tcW w:w="1638" w:type="dxa"/>
            <w:vAlign w:val="center"/>
          </w:tcPr>
          <w:p w14:paraId="70D5F724" w14:textId="0452CA5B" w:rsidR="00900C3A" w:rsidRPr="009309D2" w:rsidRDefault="0039090F" w:rsidP="00946C32">
            <w:pPr>
              <w:rPr>
                <w:sz w:val="24"/>
                <w:szCs w:val="24"/>
                <w:lang w:val="en-GB"/>
              </w:rPr>
            </w:pPr>
            <w:r>
              <w:rPr>
                <w:sz w:val="24"/>
                <w:szCs w:val="24"/>
                <w:lang w:val="en-GB"/>
              </w:rPr>
              <w:t>1543</w:t>
            </w:r>
          </w:p>
        </w:tc>
        <w:tc>
          <w:tcPr>
            <w:tcW w:w="1196" w:type="dxa"/>
            <w:vAlign w:val="center"/>
          </w:tcPr>
          <w:p w14:paraId="5B770FCB" w14:textId="7A8C3BA2" w:rsidR="00900C3A" w:rsidRPr="009309D2" w:rsidRDefault="00975878" w:rsidP="00946C32">
            <w:pPr>
              <w:rPr>
                <w:sz w:val="24"/>
                <w:szCs w:val="24"/>
                <w:lang w:val="en-GB"/>
              </w:rPr>
            </w:pPr>
            <w:proofErr w:type="spellStart"/>
            <w:r>
              <w:rPr>
                <w:sz w:val="24"/>
                <w:szCs w:val="24"/>
                <w:lang w:val="en-GB"/>
              </w:rPr>
              <w:t>ktoe</w:t>
            </w:r>
            <w:proofErr w:type="spellEnd"/>
          </w:p>
        </w:tc>
      </w:tr>
      <w:tr w:rsidR="00900C3A" w:rsidRPr="009309D2" w14:paraId="0FC0DBD4" w14:textId="77777777" w:rsidTr="00426C40">
        <w:trPr>
          <w:cantSplit/>
          <w:trHeight w:val="576"/>
        </w:trPr>
        <w:tc>
          <w:tcPr>
            <w:tcW w:w="6408" w:type="dxa"/>
            <w:vAlign w:val="center"/>
          </w:tcPr>
          <w:p w14:paraId="5269ED54" w14:textId="77777777" w:rsidR="00900C3A" w:rsidRPr="009309D2" w:rsidRDefault="00946C32" w:rsidP="002F6954">
            <w:pPr>
              <w:rPr>
                <w:sz w:val="24"/>
                <w:szCs w:val="24"/>
                <w:lang w:val="en-GB"/>
              </w:rPr>
            </w:pPr>
            <w:r w:rsidRPr="009309D2">
              <w:rPr>
                <w:sz w:val="24"/>
                <w:szCs w:val="24"/>
                <w:lang w:val="en-GB"/>
              </w:rPr>
              <w:t>Final energy consumption – Transport</w:t>
            </w:r>
            <w:r w:rsidR="00490845" w:rsidRPr="009309D2">
              <w:rPr>
                <w:sz w:val="24"/>
                <w:szCs w:val="24"/>
                <w:lang w:val="en-GB"/>
              </w:rPr>
              <w:t xml:space="preserve"> (</w:t>
            </w:r>
            <w:r w:rsidR="002F6954" w:rsidRPr="009309D2">
              <w:rPr>
                <w:sz w:val="24"/>
                <w:szCs w:val="24"/>
                <w:lang w:val="en-GB"/>
              </w:rPr>
              <w:t>*</w:t>
            </w:r>
            <w:r w:rsidR="00490845" w:rsidRPr="009309D2">
              <w:rPr>
                <w:sz w:val="24"/>
                <w:szCs w:val="24"/>
                <w:lang w:val="en-GB"/>
              </w:rPr>
              <w:t>)</w:t>
            </w:r>
          </w:p>
        </w:tc>
        <w:tc>
          <w:tcPr>
            <w:tcW w:w="1638" w:type="dxa"/>
            <w:vAlign w:val="center"/>
          </w:tcPr>
          <w:p w14:paraId="44C29A4A" w14:textId="66FCB620" w:rsidR="00900C3A" w:rsidRPr="009309D2" w:rsidRDefault="0039090F" w:rsidP="0039090F">
            <w:pPr>
              <w:rPr>
                <w:sz w:val="24"/>
                <w:szCs w:val="24"/>
                <w:lang w:val="en-GB"/>
              </w:rPr>
            </w:pPr>
            <w:r>
              <w:rPr>
                <w:sz w:val="24"/>
                <w:szCs w:val="24"/>
                <w:lang w:val="en-GB"/>
              </w:rPr>
              <w:t>412.5</w:t>
            </w:r>
          </w:p>
        </w:tc>
        <w:tc>
          <w:tcPr>
            <w:tcW w:w="1196" w:type="dxa"/>
            <w:vAlign w:val="center"/>
          </w:tcPr>
          <w:p w14:paraId="78A5E7F7" w14:textId="251086F8" w:rsidR="00900C3A" w:rsidRPr="009309D2" w:rsidRDefault="00975878" w:rsidP="00946C32">
            <w:pPr>
              <w:rPr>
                <w:sz w:val="24"/>
                <w:szCs w:val="24"/>
                <w:lang w:val="en-GB"/>
              </w:rPr>
            </w:pPr>
            <w:proofErr w:type="spellStart"/>
            <w:r>
              <w:rPr>
                <w:sz w:val="24"/>
                <w:szCs w:val="24"/>
                <w:lang w:val="en-GB"/>
              </w:rPr>
              <w:t>ktoe</w:t>
            </w:r>
            <w:proofErr w:type="spellEnd"/>
          </w:p>
        </w:tc>
      </w:tr>
      <w:tr w:rsidR="00975878" w:rsidRPr="009309D2" w14:paraId="4028C177" w14:textId="77777777" w:rsidTr="00426C40">
        <w:trPr>
          <w:cantSplit/>
          <w:trHeight w:val="576"/>
        </w:trPr>
        <w:tc>
          <w:tcPr>
            <w:tcW w:w="6408" w:type="dxa"/>
            <w:vAlign w:val="center"/>
          </w:tcPr>
          <w:p w14:paraId="74BE1979" w14:textId="77777777" w:rsidR="00975878" w:rsidRPr="009309D2" w:rsidRDefault="00975878" w:rsidP="00975878">
            <w:pPr>
              <w:rPr>
                <w:sz w:val="24"/>
                <w:szCs w:val="24"/>
                <w:lang w:val="en-GB"/>
              </w:rPr>
            </w:pPr>
            <w:r w:rsidRPr="009309D2">
              <w:rPr>
                <w:sz w:val="24"/>
                <w:szCs w:val="24"/>
                <w:lang w:val="en-GB"/>
              </w:rPr>
              <w:t>Final Energy consumption – Industry (*)</w:t>
            </w:r>
          </w:p>
        </w:tc>
        <w:tc>
          <w:tcPr>
            <w:tcW w:w="1638" w:type="dxa"/>
            <w:vAlign w:val="center"/>
          </w:tcPr>
          <w:p w14:paraId="3BE41F68" w14:textId="72B8A9BF" w:rsidR="00975878" w:rsidRPr="009309D2" w:rsidRDefault="0039090F" w:rsidP="00975878">
            <w:pPr>
              <w:rPr>
                <w:sz w:val="24"/>
                <w:szCs w:val="24"/>
                <w:lang w:val="en-GB"/>
              </w:rPr>
            </w:pPr>
            <w:r>
              <w:rPr>
                <w:sz w:val="24"/>
                <w:szCs w:val="24"/>
                <w:lang w:val="en-GB"/>
              </w:rPr>
              <w:t>319.9</w:t>
            </w:r>
          </w:p>
        </w:tc>
        <w:tc>
          <w:tcPr>
            <w:tcW w:w="1196" w:type="dxa"/>
            <w:vAlign w:val="center"/>
          </w:tcPr>
          <w:p w14:paraId="3995BAB7" w14:textId="46E3B5F7" w:rsidR="00975878" w:rsidRPr="009309D2" w:rsidRDefault="00426C40" w:rsidP="00975878">
            <w:pPr>
              <w:rPr>
                <w:sz w:val="24"/>
                <w:szCs w:val="24"/>
                <w:lang w:val="en-GB"/>
              </w:rPr>
            </w:pPr>
            <w:proofErr w:type="spellStart"/>
            <w:r>
              <w:rPr>
                <w:sz w:val="24"/>
                <w:szCs w:val="24"/>
                <w:lang w:val="en-GB"/>
              </w:rPr>
              <w:t>k</w:t>
            </w:r>
            <w:r w:rsidR="00975878">
              <w:rPr>
                <w:sz w:val="24"/>
                <w:szCs w:val="24"/>
                <w:lang w:val="en-GB"/>
              </w:rPr>
              <w:t>toe</w:t>
            </w:r>
            <w:proofErr w:type="spellEnd"/>
          </w:p>
        </w:tc>
      </w:tr>
      <w:tr w:rsidR="00975878" w:rsidRPr="009309D2" w14:paraId="6E55502C" w14:textId="77777777" w:rsidTr="00426C40">
        <w:trPr>
          <w:cantSplit/>
          <w:trHeight w:val="576"/>
        </w:trPr>
        <w:tc>
          <w:tcPr>
            <w:tcW w:w="6408" w:type="dxa"/>
            <w:vAlign w:val="center"/>
          </w:tcPr>
          <w:p w14:paraId="7692DAE7" w14:textId="77777777" w:rsidR="00975878" w:rsidRPr="009309D2" w:rsidRDefault="00975878" w:rsidP="00975878">
            <w:pPr>
              <w:rPr>
                <w:sz w:val="24"/>
                <w:szCs w:val="24"/>
                <w:lang w:val="en-GB"/>
              </w:rPr>
            </w:pPr>
            <w:r w:rsidRPr="009309D2">
              <w:rPr>
                <w:sz w:val="24"/>
                <w:szCs w:val="24"/>
                <w:lang w:val="en-GB"/>
              </w:rPr>
              <w:t>Final energy consumption – Households (*)</w:t>
            </w:r>
          </w:p>
        </w:tc>
        <w:tc>
          <w:tcPr>
            <w:tcW w:w="1638" w:type="dxa"/>
            <w:vAlign w:val="center"/>
          </w:tcPr>
          <w:p w14:paraId="7AE4C69A" w14:textId="0D57FE69" w:rsidR="00975878" w:rsidRPr="009309D2" w:rsidRDefault="0039090F" w:rsidP="00975878">
            <w:pPr>
              <w:rPr>
                <w:sz w:val="24"/>
                <w:szCs w:val="24"/>
                <w:lang w:val="en-GB"/>
              </w:rPr>
            </w:pPr>
            <w:r>
              <w:rPr>
                <w:sz w:val="24"/>
                <w:szCs w:val="24"/>
                <w:lang w:val="en-GB"/>
              </w:rPr>
              <w:t>628.1</w:t>
            </w:r>
          </w:p>
        </w:tc>
        <w:tc>
          <w:tcPr>
            <w:tcW w:w="1196" w:type="dxa"/>
            <w:vAlign w:val="center"/>
          </w:tcPr>
          <w:p w14:paraId="35A3F75C" w14:textId="2D6B691E" w:rsidR="00975878" w:rsidRPr="009309D2" w:rsidRDefault="007C7C8F" w:rsidP="00975878">
            <w:pPr>
              <w:rPr>
                <w:sz w:val="24"/>
                <w:szCs w:val="24"/>
                <w:lang w:val="en-GB"/>
              </w:rPr>
            </w:pPr>
            <w:proofErr w:type="spellStart"/>
            <w:r>
              <w:rPr>
                <w:sz w:val="24"/>
                <w:szCs w:val="24"/>
                <w:lang w:val="en-GB"/>
              </w:rPr>
              <w:t>K</w:t>
            </w:r>
            <w:r w:rsidR="00975878">
              <w:rPr>
                <w:sz w:val="24"/>
                <w:szCs w:val="24"/>
                <w:lang w:val="en-GB"/>
              </w:rPr>
              <w:t>toe</w:t>
            </w:r>
            <w:proofErr w:type="spellEnd"/>
          </w:p>
        </w:tc>
      </w:tr>
      <w:tr w:rsidR="00975878" w:rsidRPr="009309D2" w14:paraId="3D41E2CF" w14:textId="77777777" w:rsidTr="00426C40">
        <w:trPr>
          <w:cantSplit/>
          <w:trHeight w:val="576"/>
        </w:trPr>
        <w:tc>
          <w:tcPr>
            <w:tcW w:w="6408" w:type="dxa"/>
            <w:vAlign w:val="center"/>
          </w:tcPr>
          <w:p w14:paraId="59F19A53" w14:textId="77777777" w:rsidR="00975878" w:rsidRPr="009309D2" w:rsidRDefault="00975878" w:rsidP="00975878">
            <w:pPr>
              <w:rPr>
                <w:sz w:val="24"/>
                <w:szCs w:val="24"/>
                <w:lang w:val="en-GB"/>
              </w:rPr>
            </w:pPr>
            <w:r w:rsidRPr="009309D2">
              <w:rPr>
                <w:sz w:val="24"/>
                <w:szCs w:val="24"/>
                <w:lang w:val="en-GB"/>
              </w:rPr>
              <w:t>Final energy consumption – Services (*)</w:t>
            </w:r>
          </w:p>
        </w:tc>
        <w:tc>
          <w:tcPr>
            <w:tcW w:w="1638" w:type="dxa"/>
            <w:vAlign w:val="center"/>
          </w:tcPr>
          <w:p w14:paraId="24BA4330" w14:textId="392EA90D" w:rsidR="00975878" w:rsidRPr="009309D2" w:rsidRDefault="0039090F" w:rsidP="00975878">
            <w:pPr>
              <w:rPr>
                <w:sz w:val="24"/>
                <w:szCs w:val="24"/>
                <w:lang w:val="en-GB"/>
              </w:rPr>
            </w:pPr>
            <w:r>
              <w:rPr>
                <w:sz w:val="24"/>
                <w:szCs w:val="24"/>
                <w:lang w:val="en-GB"/>
              </w:rPr>
              <w:t>158.2</w:t>
            </w:r>
          </w:p>
        </w:tc>
        <w:tc>
          <w:tcPr>
            <w:tcW w:w="1196" w:type="dxa"/>
            <w:vAlign w:val="center"/>
          </w:tcPr>
          <w:p w14:paraId="18B04488" w14:textId="4D3E916A" w:rsidR="00975878" w:rsidRPr="009309D2" w:rsidRDefault="007C7C8F" w:rsidP="00975878">
            <w:pPr>
              <w:rPr>
                <w:sz w:val="24"/>
                <w:szCs w:val="24"/>
                <w:lang w:val="en-GB"/>
              </w:rPr>
            </w:pPr>
            <w:proofErr w:type="spellStart"/>
            <w:r>
              <w:rPr>
                <w:sz w:val="24"/>
                <w:szCs w:val="24"/>
                <w:lang w:val="en-GB"/>
              </w:rPr>
              <w:t>K</w:t>
            </w:r>
            <w:r w:rsidR="00975878">
              <w:rPr>
                <w:sz w:val="24"/>
                <w:szCs w:val="24"/>
                <w:lang w:val="en-GB"/>
              </w:rPr>
              <w:t>toe</w:t>
            </w:r>
            <w:proofErr w:type="spellEnd"/>
          </w:p>
        </w:tc>
      </w:tr>
      <w:tr w:rsidR="00426C40" w:rsidRPr="002F0CEC" w14:paraId="4D7F52E1" w14:textId="77777777" w:rsidTr="00426C40">
        <w:trPr>
          <w:cantSplit/>
          <w:trHeight w:val="576"/>
        </w:trPr>
        <w:tc>
          <w:tcPr>
            <w:tcW w:w="6408" w:type="dxa"/>
            <w:vAlign w:val="center"/>
          </w:tcPr>
          <w:p w14:paraId="23A6EB07" w14:textId="77777777" w:rsidR="00426C40" w:rsidRPr="00E751A5" w:rsidRDefault="00426C40" w:rsidP="00426C40">
            <w:pPr>
              <w:rPr>
                <w:sz w:val="24"/>
                <w:szCs w:val="24"/>
                <w:lang w:val="en-GB"/>
              </w:rPr>
            </w:pPr>
            <w:r w:rsidRPr="00E751A5">
              <w:rPr>
                <w:sz w:val="24"/>
                <w:szCs w:val="24"/>
                <w:lang w:val="en-GB"/>
              </w:rPr>
              <w:t>Gross value added by sector – Industry (**)</w:t>
            </w:r>
          </w:p>
        </w:tc>
        <w:tc>
          <w:tcPr>
            <w:tcW w:w="1638" w:type="dxa"/>
            <w:vAlign w:val="center"/>
          </w:tcPr>
          <w:p w14:paraId="55933E7D" w14:textId="3A23B412" w:rsidR="00426C40" w:rsidRPr="00E751A5" w:rsidRDefault="009D0A82" w:rsidP="00426C40">
            <w:pPr>
              <w:rPr>
                <w:sz w:val="24"/>
                <w:szCs w:val="24"/>
                <w:lang w:val="en-GB"/>
              </w:rPr>
            </w:pPr>
            <w:r>
              <w:rPr>
                <w:sz w:val="24"/>
                <w:szCs w:val="24"/>
                <w:lang w:val="en-GB"/>
              </w:rPr>
              <w:t>1.039</w:t>
            </w:r>
          </w:p>
        </w:tc>
        <w:tc>
          <w:tcPr>
            <w:tcW w:w="1196" w:type="dxa"/>
            <w:vAlign w:val="center"/>
          </w:tcPr>
          <w:p w14:paraId="0CD11E2D" w14:textId="5F440DC4" w:rsidR="00426C40" w:rsidRPr="00E751A5" w:rsidRDefault="00426C40" w:rsidP="00426C40">
            <w:pPr>
              <w:rPr>
                <w:sz w:val="24"/>
                <w:szCs w:val="24"/>
                <w:lang w:val="en-GB"/>
              </w:rPr>
            </w:pPr>
            <w:r w:rsidRPr="00E751A5">
              <w:rPr>
                <w:sz w:val="24"/>
                <w:szCs w:val="24"/>
                <w:lang w:val="en-GB"/>
              </w:rPr>
              <w:t>mil. EUR</w:t>
            </w:r>
          </w:p>
        </w:tc>
      </w:tr>
      <w:tr w:rsidR="00426C40" w:rsidRPr="002F0CEC" w14:paraId="1809609C" w14:textId="77777777" w:rsidTr="00426C40">
        <w:trPr>
          <w:cantSplit/>
          <w:trHeight w:val="576"/>
        </w:trPr>
        <w:tc>
          <w:tcPr>
            <w:tcW w:w="6408" w:type="dxa"/>
            <w:vAlign w:val="center"/>
          </w:tcPr>
          <w:p w14:paraId="289B53DD" w14:textId="77777777" w:rsidR="00426C40" w:rsidRPr="00E751A5" w:rsidRDefault="00426C40" w:rsidP="00426C40">
            <w:pPr>
              <w:rPr>
                <w:sz w:val="24"/>
                <w:szCs w:val="24"/>
                <w:lang w:val="en-GB"/>
              </w:rPr>
            </w:pPr>
            <w:r w:rsidRPr="00E751A5">
              <w:rPr>
                <w:sz w:val="24"/>
                <w:szCs w:val="24"/>
                <w:lang w:val="en-GB"/>
              </w:rPr>
              <w:t>Gross value added by sector – Services (**)</w:t>
            </w:r>
          </w:p>
        </w:tc>
        <w:tc>
          <w:tcPr>
            <w:tcW w:w="1638" w:type="dxa"/>
            <w:vAlign w:val="center"/>
          </w:tcPr>
          <w:p w14:paraId="69ECFBC1" w14:textId="0BDD31C5" w:rsidR="00426C40" w:rsidRPr="00E751A5" w:rsidRDefault="009D0A82" w:rsidP="00426C40">
            <w:pPr>
              <w:rPr>
                <w:sz w:val="24"/>
                <w:szCs w:val="24"/>
                <w:lang w:val="en-GB"/>
              </w:rPr>
            </w:pPr>
            <w:r>
              <w:rPr>
                <w:sz w:val="24"/>
                <w:szCs w:val="24"/>
                <w:lang w:val="en-GB"/>
              </w:rPr>
              <w:t>4.552</w:t>
            </w:r>
            <w:bookmarkStart w:id="1" w:name="_GoBack"/>
            <w:bookmarkEnd w:id="1"/>
          </w:p>
        </w:tc>
        <w:tc>
          <w:tcPr>
            <w:tcW w:w="1196" w:type="dxa"/>
            <w:vAlign w:val="center"/>
          </w:tcPr>
          <w:p w14:paraId="43831D57" w14:textId="5D99AFFE" w:rsidR="00426C40" w:rsidRPr="00E751A5" w:rsidRDefault="00426C40" w:rsidP="00426C40">
            <w:pPr>
              <w:rPr>
                <w:sz w:val="24"/>
                <w:szCs w:val="24"/>
                <w:lang w:val="en-GB"/>
              </w:rPr>
            </w:pPr>
            <w:r w:rsidRPr="00E751A5">
              <w:rPr>
                <w:sz w:val="24"/>
                <w:szCs w:val="24"/>
                <w:lang w:val="en-GB"/>
              </w:rPr>
              <w:t>mil. EUR</w:t>
            </w:r>
          </w:p>
        </w:tc>
      </w:tr>
      <w:tr w:rsidR="00426C40" w:rsidRPr="00A66E36" w14:paraId="6AA2C977" w14:textId="77777777" w:rsidTr="00426C40">
        <w:trPr>
          <w:cantSplit/>
          <w:trHeight w:val="576"/>
        </w:trPr>
        <w:tc>
          <w:tcPr>
            <w:tcW w:w="6408" w:type="dxa"/>
            <w:vAlign w:val="center"/>
          </w:tcPr>
          <w:p w14:paraId="3ACBF785" w14:textId="77777777" w:rsidR="00426C40" w:rsidRPr="006F1FEF" w:rsidRDefault="00426C40" w:rsidP="00426C40">
            <w:pPr>
              <w:rPr>
                <w:sz w:val="24"/>
                <w:szCs w:val="24"/>
                <w:lang w:val="en-GB"/>
              </w:rPr>
            </w:pPr>
            <w:r w:rsidRPr="006F1FEF">
              <w:rPr>
                <w:sz w:val="24"/>
                <w:szCs w:val="24"/>
                <w:lang w:val="en-GB"/>
              </w:rPr>
              <w:t>Disposable income of households (**)</w:t>
            </w:r>
          </w:p>
        </w:tc>
        <w:tc>
          <w:tcPr>
            <w:tcW w:w="1638" w:type="dxa"/>
            <w:vAlign w:val="center"/>
          </w:tcPr>
          <w:p w14:paraId="3DE381A8" w14:textId="551337BA" w:rsidR="00426C40" w:rsidRPr="00A66E36" w:rsidRDefault="00842AA3" w:rsidP="00426C40">
            <w:pPr>
              <w:rPr>
                <w:color w:val="FF0000"/>
                <w:sz w:val="24"/>
                <w:szCs w:val="24"/>
                <w:lang w:val="en-GB"/>
              </w:rPr>
            </w:pPr>
            <w:r w:rsidRPr="00976830">
              <w:rPr>
                <w:sz w:val="24"/>
                <w:szCs w:val="24"/>
                <w:lang w:val="en-GB"/>
              </w:rPr>
              <w:t>NA</w:t>
            </w:r>
          </w:p>
        </w:tc>
        <w:tc>
          <w:tcPr>
            <w:tcW w:w="1196" w:type="dxa"/>
            <w:vAlign w:val="center"/>
          </w:tcPr>
          <w:p w14:paraId="5BF1E9CA" w14:textId="17B1E70C" w:rsidR="00426C40" w:rsidRPr="00A66E36" w:rsidRDefault="00426C40" w:rsidP="00426C40">
            <w:pPr>
              <w:rPr>
                <w:color w:val="FF0000"/>
                <w:sz w:val="24"/>
                <w:szCs w:val="24"/>
                <w:lang w:val="en-GB"/>
              </w:rPr>
            </w:pPr>
            <w:r w:rsidRPr="001C49E1">
              <w:rPr>
                <w:sz w:val="24"/>
                <w:szCs w:val="24"/>
                <w:lang w:val="en-GB"/>
              </w:rPr>
              <w:t>mil. EUR</w:t>
            </w:r>
          </w:p>
        </w:tc>
      </w:tr>
      <w:tr w:rsidR="00426C40" w:rsidRPr="009309D2" w14:paraId="77C46B10" w14:textId="77777777" w:rsidTr="00426C40">
        <w:trPr>
          <w:cantSplit/>
          <w:trHeight w:val="576"/>
        </w:trPr>
        <w:tc>
          <w:tcPr>
            <w:tcW w:w="6408" w:type="dxa"/>
            <w:vAlign w:val="center"/>
          </w:tcPr>
          <w:p w14:paraId="0217C755" w14:textId="77777777" w:rsidR="00426C40" w:rsidRPr="00A66E36" w:rsidRDefault="00426C40" w:rsidP="00426C40">
            <w:pPr>
              <w:rPr>
                <w:sz w:val="24"/>
                <w:szCs w:val="24"/>
                <w:lang w:val="en-GB"/>
              </w:rPr>
            </w:pPr>
            <w:r w:rsidRPr="00A66E36">
              <w:rPr>
                <w:sz w:val="24"/>
                <w:szCs w:val="24"/>
                <w:lang w:val="en-GB"/>
              </w:rPr>
              <w:t>Gross domestic product (GDP) (**)</w:t>
            </w:r>
          </w:p>
        </w:tc>
        <w:tc>
          <w:tcPr>
            <w:tcW w:w="1638" w:type="dxa"/>
            <w:vAlign w:val="center"/>
          </w:tcPr>
          <w:p w14:paraId="6546A6F9" w14:textId="735D1EA3" w:rsidR="00426C40" w:rsidRPr="009309D2" w:rsidRDefault="00617E10" w:rsidP="00426C40">
            <w:pPr>
              <w:rPr>
                <w:sz w:val="24"/>
                <w:szCs w:val="24"/>
                <w:lang w:val="en-GB"/>
              </w:rPr>
            </w:pPr>
            <w:r>
              <w:rPr>
                <w:sz w:val="24"/>
                <w:szCs w:val="24"/>
                <w:lang w:val="en-GB"/>
              </w:rPr>
              <w:t>6771.6</w:t>
            </w:r>
          </w:p>
        </w:tc>
        <w:tc>
          <w:tcPr>
            <w:tcW w:w="1196" w:type="dxa"/>
            <w:vAlign w:val="center"/>
          </w:tcPr>
          <w:p w14:paraId="628086E8" w14:textId="63FFA8D5" w:rsidR="00426C40" w:rsidRPr="009309D2" w:rsidRDefault="00426C40" w:rsidP="00426C40">
            <w:pPr>
              <w:rPr>
                <w:sz w:val="24"/>
                <w:szCs w:val="24"/>
                <w:lang w:val="en-GB"/>
              </w:rPr>
            </w:pPr>
            <w:r>
              <w:rPr>
                <w:sz w:val="24"/>
                <w:szCs w:val="24"/>
                <w:lang w:val="en-GB"/>
              </w:rPr>
              <w:t>mil. EUR</w:t>
            </w:r>
          </w:p>
        </w:tc>
      </w:tr>
      <w:tr w:rsidR="00426C40" w:rsidRPr="002F0CEC" w14:paraId="7D58CA4A" w14:textId="77777777" w:rsidTr="00426C40">
        <w:trPr>
          <w:cantSplit/>
          <w:trHeight w:val="576"/>
        </w:trPr>
        <w:tc>
          <w:tcPr>
            <w:tcW w:w="6408" w:type="dxa"/>
            <w:vAlign w:val="center"/>
          </w:tcPr>
          <w:p w14:paraId="454C3D86" w14:textId="77777777" w:rsidR="00426C40" w:rsidRPr="00E751A5" w:rsidRDefault="00426C40" w:rsidP="00426C40">
            <w:pPr>
              <w:rPr>
                <w:sz w:val="24"/>
                <w:szCs w:val="24"/>
                <w:lang w:val="en-GB"/>
              </w:rPr>
            </w:pPr>
            <w:r w:rsidRPr="00E751A5">
              <w:rPr>
                <w:sz w:val="24"/>
                <w:szCs w:val="24"/>
                <w:lang w:val="en-GB"/>
              </w:rPr>
              <w:t>Electricity generation from thermal power plants (***)</w:t>
            </w:r>
          </w:p>
        </w:tc>
        <w:tc>
          <w:tcPr>
            <w:tcW w:w="1638" w:type="dxa"/>
            <w:vAlign w:val="center"/>
          </w:tcPr>
          <w:p w14:paraId="637442D4" w14:textId="77777777" w:rsidR="004E5454" w:rsidRPr="00E751A5" w:rsidRDefault="004E5454" w:rsidP="004E5454">
            <w:pPr>
              <w:rPr>
                <w:rFonts w:cstheme="minorHAnsi"/>
                <w:color w:val="000000"/>
                <w:sz w:val="24"/>
                <w:szCs w:val="24"/>
                <w:lang w:val="en-US"/>
              </w:rPr>
            </w:pPr>
            <w:r w:rsidRPr="00E751A5">
              <w:rPr>
                <w:rFonts w:cstheme="minorHAnsi"/>
                <w:color w:val="000000"/>
                <w:sz w:val="24"/>
                <w:szCs w:val="24"/>
              </w:rPr>
              <w:t>1,511.5</w:t>
            </w:r>
          </w:p>
          <w:p w14:paraId="18E10923" w14:textId="67D59BC2" w:rsidR="00426C40" w:rsidRPr="009309D2" w:rsidRDefault="00426C40" w:rsidP="00426C40">
            <w:pPr>
              <w:rPr>
                <w:sz w:val="24"/>
                <w:szCs w:val="24"/>
                <w:lang w:val="en-GB"/>
              </w:rPr>
            </w:pPr>
          </w:p>
        </w:tc>
        <w:tc>
          <w:tcPr>
            <w:tcW w:w="1196" w:type="dxa"/>
            <w:vAlign w:val="center"/>
          </w:tcPr>
          <w:p w14:paraId="0C2833D3" w14:textId="1D3330A8" w:rsidR="00426C40" w:rsidRPr="00E751A5" w:rsidRDefault="007C7C8F" w:rsidP="00426C40">
            <w:pPr>
              <w:rPr>
                <w:sz w:val="24"/>
                <w:szCs w:val="24"/>
                <w:lang w:val="en-GB"/>
              </w:rPr>
            </w:pPr>
            <w:proofErr w:type="spellStart"/>
            <w:r w:rsidRPr="00E751A5">
              <w:rPr>
                <w:sz w:val="24"/>
                <w:szCs w:val="24"/>
                <w:lang w:val="en-GB"/>
              </w:rPr>
              <w:t>K</w:t>
            </w:r>
            <w:r w:rsidR="00426C40" w:rsidRPr="00E751A5">
              <w:rPr>
                <w:sz w:val="24"/>
                <w:szCs w:val="24"/>
                <w:lang w:val="en-GB"/>
              </w:rPr>
              <w:t>toe</w:t>
            </w:r>
            <w:proofErr w:type="spellEnd"/>
          </w:p>
        </w:tc>
      </w:tr>
      <w:tr w:rsidR="00426C40" w:rsidRPr="002F0CEC" w14:paraId="61734694" w14:textId="77777777" w:rsidTr="00426C40">
        <w:trPr>
          <w:cantSplit/>
          <w:trHeight w:val="576"/>
        </w:trPr>
        <w:tc>
          <w:tcPr>
            <w:tcW w:w="6408" w:type="dxa"/>
            <w:vAlign w:val="center"/>
          </w:tcPr>
          <w:p w14:paraId="52557244" w14:textId="77777777" w:rsidR="00426C40" w:rsidRPr="00E751A5" w:rsidRDefault="00426C40" w:rsidP="00426C40">
            <w:pPr>
              <w:rPr>
                <w:sz w:val="24"/>
                <w:szCs w:val="24"/>
                <w:lang w:val="en-GB"/>
              </w:rPr>
            </w:pPr>
            <w:r w:rsidRPr="00E751A5">
              <w:rPr>
                <w:sz w:val="24"/>
                <w:szCs w:val="24"/>
                <w:lang w:val="en-GB"/>
              </w:rPr>
              <w:t>Electricity generation from combined heat and power (***)</w:t>
            </w:r>
          </w:p>
        </w:tc>
        <w:tc>
          <w:tcPr>
            <w:tcW w:w="1638" w:type="dxa"/>
            <w:vAlign w:val="center"/>
          </w:tcPr>
          <w:p w14:paraId="330D7E6F" w14:textId="1CD65071" w:rsidR="00426C40" w:rsidRPr="009309D2" w:rsidRDefault="004E5454" w:rsidP="00426C40">
            <w:pPr>
              <w:rPr>
                <w:sz w:val="24"/>
                <w:szCs w:val="24"/>
                <w:lang w:val="en-GB"/>
              </w:rPr>
            </w:pPr>
            <w:r w:rsidRPr="004E5454">
              <w:rPr>
                <w:sz w:val="24"/>
                <w:szCs w:val="24"/>
                <w:lang w:val="en-GB"/>
              </w:rPr>
              <w:t>4.7</w:t>
            </w:r>
          </w:p>
        </w:tc>
        <w:tc>
          <w:tcPr>
            <w:tcW w:w="1196" w:type="dxa"/>
            <w:vAlign w:val="center"/>
          </w:tcPr>
          <w:p w14:paraId="27B83919" w14:textId="16DF92E6" w:rsidR="00426C40" w:rsidRPr="00E751A5" w:rsidRDefault="007C7C8F" w:rsidP="00426C40">
            <w:pPr>
              <w:rPr>
                <w:sz w:val="24"/>
                <w:szCs w:val="24"/>
                <w:lang w:val="en-GB"/>
              </w:rPr>
            </w:pPr>
            <w:proofErr w:type="spellStart"/>
            <w:r w:rsidRPr="00E751A5">
              <w:rPr>
                <w:sz w:val="24"/>
                <w:szCs w:val="24"/>
                <w:lang w:val="en-GB"/>
              </w:rPr>
              <w:t>K</w:t>
            </w:r>
            <w:r w:rsidR="00426C40" w:rsidRPr="00E751A5">
              <w:rPr>
                <w:sz w:val="24"/>
                <w:szCs w:val="24"/>
                <w:lang w:val="en-GB"/>
              </w:rPr>
              <w:t>toe</w:t>
            </w:r>
            <w:proofErr w:type="spellEnd"/>
          </w:p>
        </w:tc>
      </w:tr>
      <w:tr w:rsidR="00426C40" w:rsidRPr="002F0CEC" w14:paraId="5DBE6E35" w14:textId="77777777" w:rsidTr="00426C40">
        <w:trPr>
          <w:cantSplit/>
          <w:trHeight w:val="576"/>
        </w:trPr>
        <w:tc>
          <w:tcPr>
            <w:tcW w:w="6408" w:type="dxa"/>
            <w:vAlign w:val="center"/>
          </w:tcPr>
          <w:p w14:paraId="1E677515" w14:textId="77777777" w:rsidR="00426C40" w:rsidRPr="00E751A5" w:rsidRDefault="00426C40" w:rsidP="00426C40">
            <w:pPr>
              <w:rPr>
                <w:sz w:val="24"/>
                <w:szCs w:val="24"/>
                <w:lang w:val="en-GB"/>
              </w:rPr>
            </w:pPr>
            <w:r w:rsidRPr="00E751A5">
              <w:rPr>
                <w:sz w:val="24"/>
                <w:szCs w:val="24"/>
                <w:lang w:val="en-GB"/>
              </w:rPr>
              <w:t>Heat generation from thermal power generation (***)</w:t>
            </w:r>
          </w:p>
        </w:tc>
        <w:tc>
          <w:tcPr>
            <w:tcW w:w="1638" w:type="dxa"/>
            <w:vAlign w:val="center"/>
          </w:tcPr>
          <w:p w14:paraId="02036DE4" w14:textId="64D8AF9A" w:rsidR="00426C40" w:rsidRPr="009309D2" w:rsidRDefault="004E5454" w:rsidP="00426C40">
            <w:pPr>
              <w:rPr>
                <w:sz w:val="24"/>
                <w:szCs w:val="24"/>
                <w:lang w:val="en-GB"/>
              </w:rPr>
            </w:pPr>
            <w:r w:rsidRPr="004E5454">
              <w:rPr>
                <w:sz w:val="24"/>
                <w:szCs w:val="24"/>
                <w:lang w:val="en-GB"/>
              </w:rPr>
              <w:t>23.3</w:t>
            </w:r>
          </w:p>
        </w:tc>
        <w:tc>
          <w:tcPr>
            <w:tcW w:w="1196" w:type="dxa"/>
            <w:vAlign w:val="center"/>
          </w:tcPr>
          <w:p w14:paraId="589B6D56" w14:textId="709B0668" w:rsidR="00426C40" w:rsidRPr="00E751A5" w:rsidRDefault="007C7C8F" w:rsidP="00426C40">
            <w:pPr>
              <w:rPr>
                <w:sz w:val="24"/>
                <w:szCs w:val="24"/>
                <w:lang w:val="en-GB"/>
              </w:rPr>
            </w:pPr>
            <w:proofErr w:type="spellStart"/>
            <w:r w:rsidRPr="00E751A5">
              <w:rPr>
                <w:sz w:val="24"/>
                <w:szCs w:val="24"/>
                <w:lang w:val="en-GB"/>
              </w:rPr>
              <w:t>K</w:t>
            </w:r>
            <w:r w:rsidR="00426C40" w:rsidRPr="00E751A5">
              <w:rPr>
                <w:sz w:val="24"/>
                <w:szCs w:val="24"/>
                <w:lang w:val="en-GB"/>
              </w:rPr>
              <w:t>toe</w:t>
            </w:r>
            <w:proofErr w:type="spellEnd"/>
          </w:p>
        </w:tc>
      </w:tr>
      <w:tr w:rsidR="00426C40" w:rsidRPr="002F0CEC" w14:paraId="4D53DBA6" w14:textId="77777777" w:rsidTr="00426C40">
        <w:trPr>
          <w:cantSplit/>
          <w:trHeight w:val="576"/>
        </w:trPr>
        <w:tc>
          <w:tcPr>
            <w:tcW w:w="6408" w:type="dxa"/>
            <w:vAlign w:val="center"/>
          </w:tcPr>
          <w:p w14:paraId="6D96E2A9" w14:textId="77777777" w:rsidR="00426C40" w:rsidRPr="006F1FEF" w:rsidRDefault="00426C40" w:rsidP="00426C40">
            <w:pPr>
              <w:rPr>
                <w:sz w:val="24"/>
                <w:szCs w:val="24"/>
                <w:lang w:val="en-GB"/>
              </w:rPr>
            </w:pPr>
            <w:r w:rsidRPr="006F1FEF">
              <w:rPr>
                <w:sz w:val="24"/>
                <w:szCs w:val="24"/>
                <w:lang w:val="en-GB"/>
              </w:rPr>
              <w:t>Heat generation from combined heat and power plants, incl. industrial waste heat (***)</w:t>
            </w:r>
          </w:p>
        </w:tc>
        <w:tc>
          <w:tcPr>
            <w:tcW w:w="1638" w:type="dxa"/>
            <w:vAlign w:val="center"/>
          </w:tcPr>
          <w:p w14:paraId="50824D74" w14:textId="760063CC" w:rsidR="00426C40" w:rsidRPr="009309D2" w:rsidRDefault="00842AA3" w:rsidP="00426C40">
            <w:pPr>
              <w:rPr>
                <w:sz w:val="24"/>
                <w:szCs w:val="24"/>
                <w:lang w:val="en-GB"/>
              </w:rPr>
            </w:pPr>
            <w:r w:rsidRPr="00976830">
              <w:rPr>
                <w:sz w:val="24"/>
                <w:szCs w:val="24"/>
                <w:lang w:val="en-GB"/>
              </w:rPr>
              <w:t>NA</w:t>
            </w:r>
          </w:p>
        </w:tc>
        <w:tc>
          <w:tcPr>
            <w:tcW w:w="1196" w:type="dxa"/>
            <w:vAlign w:val="center"/>
          </w:tcPr>
          <w:p w14:paraId="31E22FE3" w14:textId="0A6B05C7" w:rsidR="00426C40" w:rsidRPr="00E751A5" w:rsidRDefault="007C7C8F" w:rsidP="00426C40">
            <w:pPr>
              <w:rPr>
                <w:sz w:val="24"/>
                <w:szCs w:val="24"/>
                <w:lang w:val="en-GB"/>
              </w:rPr>
            </w:pPr>
            <w:proofErr w:type="spellStart"/>
            <w:r w:rsidRPr="00E751A5">
              <w:rPr>
                <w:sz w:val="24"/>
                <w:szCs w:val="24"/>
                <w:lang w:val="en-GB"/>
              </w:rPr>
              <w:t>K</w:t>
            </w:r>
            <w:r w:rsidR="00426C40" w:rsidRPr="00E751A5">
              <w:rPr>
                <w:sz w:val="24"/>
                <w:szCs w:val="24"/>
                <w:lang w:val="en-GB"/>
              </w:rPr>
              <w:t>toe</w:t>
            </w:r>
            <w:proofErr w:type="spellEnd"/>
          </w:p>
        </w:tc>
      </w:tr>
      <w:tr w:rsidR="00426C40" w:rsidRPr="002F0CEC" w14:paraId="2D1F8FBD" w14:textId="77777777" w:rsidTr="00426C40">
        <w:trPr>
          <w:cantSplit/>
          <w:trHeight w:val="576"/>
        </w:trPr>
        <w:tc>
          <w:tcPr>
            <w:tcW w:w="6408" w:type="dxa"/>
            <w:vAlign w:val="center"/>
          </w:tcPr>
          <w:p w14:paraId="251E5463" w14:textId="77777777" w:rsidR="00426C40" w:rsidRPr="00E751A5" w:rsidRDefault="00426C40" w:rsidP="00426C40">
            <w:pPr>
              <w:rPr>
                <w:sz w:val="24"/>
                <w:szCs w:val="24"/>
                <w:lang w:val="en-GB"/>
              </w:rPr>
            </w:pPr>
            <w:r w:rsidRPr="00E751A5">
              <w:rPr>
                <w:sz w:val="24"/>
                <w:szCs w:val="24"/>
                <w:lang w:val="en-GB"/>
              </w:rPr>
              <w:t>Fuel input for thermal power generation (***)</w:t>
            </w:r>
          </w:p>
        </w:tc>
        <w:tc>
          <w:tcPr>
            <w:tcW w:w="1638" w:type="dxa"/>
            <w:vAlign w:val="center"/>
          </w:tcPr>
          <w:p w14:paraId="17980EB8" w14:textId="3F5FCF83" w:rsidR="00426C40" w:rsidRPr="00E751A5" w:rsidRDefault="00842AA3" w:rsidP="00426C40">
            <w:pPr>
              <w:rPr>
                <w:sz w:val="24"/>
                <w:szCs w:val="24"/>
                <w:lang w:val="en-GB"/>
              </w:rPr>
            </w:pPr>
            <w:r w:rsidRPr="00E751A5">
              <w:rPr>
                <w:sz w:val="24"/>
                <w:szCs w:val="24"/>
                <w:lang w:val="en-GB"/>
              </w:rPr>
              <w:t>NA</w:t>
            </w:r>
          </w:p>
        </w:tc>
        <w:tc>
          <w:tcPr>
            <w:tcW w:w="1196" w:type="dxa"/>
            <w:vAlign w:val="center"/>
          </w:tcPr>
          <w:p w14:paraId="3F795786" w14:textId="3457BDA5" w:rsidR="00426C40" w:rsidRPr="00E751A5" w:rsidRDefault="007C7C8F" w:rsidP="00426C40">
            <w:pPr>
              <w:rPr>
                <w:sz w:val="24"/>
                <w:szCs w:val="24"/>
                <w:lang w:val="en-GB"/>
              </w:rPr>
            </w:pPr>
            <w:proofErr w:type="spellStart"/>
            <w:r w:rsidRPr="00E751A5">
              <w:rPr>
                <w:sz w:val="24"/>
                <w:szCs w:val="24"/>
                <w:lang w:val="en-GB"/>
              </w:rPr>
              <w:t>K</w:t>
            </w:r>
            <w:r w:rsidR="00426C40" w:rsidRPr="00E751A5">
              <w:rPr>
                <w:sz w:val="24"/>
                <w:szCs w:val="24"/>
                <w:lang w:val="en-GB"/>
              </w:rPr>
              <w:t>toe</w:t>
            </w:r>
            <w:proofErr w:type="spellEnd"/>
          </w:p>
        </w:tc>
      </w:tr>
      <w:tr w:rsidR="00426C40" w:rsidRPr="002F0CEC" w14:paraId="38ADEAE9" w14:textId="77777777" w:rsidTr="00426C40">
        <w:trPr>
          <w:cantSplit/>
          <w:trHeight w:val="576"/>
        </w:trPr>
        <w:tc>
          <w:tcPr>
            <w:tcW w:w="6408" w:type="dxa"/>
            <w:vAlign w:val="center"/>
          </w:tcPr>
          <w:p w14:paraId="2EDA1A41" w14:textId="22DD40B4" w:rsidR="00426C40" w:rsidRPr="00976830" w:rsidRDefault="00426C40" w:rsidP="00426C40">
            <w:pPr>
              <w:rPr>
                <w:sz w:val="24"/>
                <w:szCs w:val="24"/>
                <w:lang w:val="en-GB"/>
              </w:rPr>
            </w:pPr>
            <w:r w:rsidRPr="00976830">
              <w:rPr>
                <w:sz w:val="24"/>
                <w:szCs w:val="24"/>
                <w:lang w:val="en-GB"/>
              </w:rPr>
              <w:t>Passenger kilometres (</w:t>
            </w:r>
            <w:proofErr w:type="spellStart"/>
            <w:r w:rsidRPr="00976830">
              <w:rPr>
                <w:sz w:val="24"/>
                <w:szCs w:val="24"/>
                <w:lang w:val="en-GB"/>
              </w:rPr>
              <w:t>pkm</w:t>
            </w:r>
            <w:proofErr w:type="spellEnd"/>
            <w:r w:rsidRPr="00976830">
              <w:rPr>
                <w:sz w:val="24"/>
                <w:szCs w:val="24"/>
                <w:lang w:val="en-GB"/>
              </w:rPr>
              <w:t>), if available (**)</w:t>
            </w:r>
          </w:p>
        </w:tc>
        <w:tc>
          <w:tcPr>
            <w:tcW w:w="1638" w:type="dxa"/>
            <w:vAlign w:val="center"/>
          </w:tcPr>
          <w:p w14:paraId="002E0C3B" w14:textId="03F85B00" w:rsidR="00426C40" w:rsidRPr="00976830" w:rsidRDefault="00EC59C1" w:rsidP="00426C40">
            <w:pPr>
              <w:rPr>
                <w:sz w:val="24"/>
                <w:szCs w:val="24"/>
                <w:lang w:val="en-GB"/>
              </w:rPr>
            </w:pPr>
            <w:r w:rsidRPr="00976830">
              <w:rPr>
                <w:sz w:val="24"/>
                <w:szCs w:val="24"/>
                <w:lang w:val="en-GB"/>
              </w:rPr>
              <w:t>NA</w:t>
            </w:r>
          </w:p>
        </w:tc>
        <w:tc>
          <w:tcPr>
            <w:tcW w:w="1196" w:type="dxa"/>
            <w:vAlign w:val="center"/>
          </w:tcPr>
          <w:p w14:paraId="0197D408" w14:textId="6DE47844" w:rsidR="00426C40" w:rsidRPr="009309D2" w:rsidRDefault="00426C40" w:rsidP="00426C40">
            <w:pPr>
              <w:rPr>
                <w:sz w:val="24"/>
                <w:szCs w:val="24"/>
                <w:lang w:val="en-GB"/>
              </w:rPr>
            </w:pPr>
            <w:proofErr w:type="spellStart"/>
            <w:proofErr w:type="gramStart"/>
            <w:r>
              <w:rPr>
                <w:sz w:val="24"/>
                <w:szCs w:val="24"/>
                <w:lang w:val="en-GB"/>
              </w:rPr>
              <w:t>thous</w:t>
            </w:r>
            <w:proofErr w:type="spellEnd"/>
            <w:proofErr w:type="gramEnd"/>
            <w:r>
              <w:rPr>
                <w:sz w:val="24"/>
                <w:szCs w:val="24"/>
                <w:lang w:val="en-GB"/>
              </w:rPr>
              <w:t xml:space="preserve">. </w:t>
            </w:r>
            <w:proofErr w:type="spellStart"/>
            <w:r w:rsidR="007C7C8F">
              <w:rPr>
                <w:sz w:val="24"/>
                <w:szCs w:val="24"/>
                <w:lang w:val="en-GB"/>
              </w:rPr>
              <w:t>P</w:t>
            </w:r>
            <w:r>
              <w:rPr>
                <w:sz w:val="24"/>
                <w:szCs w:val="24"/>
                <w:lang w:val="en-GB"/>
              </w:rPr>
              <w:t>km</w:t>
            </w:r>
            <w:proofErr w:type="spellEnd"/>
          </w:p>
        </w:tc>
      </w:tr>
      <w:tr w:rsidR="00426C40" w:rsidRPr="002F0CEC" w14:paraId="143600C7" w14:textId="77777777" w:rsidTr="00426C40">
        <w:trPr>
          <w:cantSplit/>
          <w:trHeight w:val="576"/>
        </w:trPr>
        <w:tc>
          <w:tcPr>
            <w:tcW w:w="6408" w:type="dxa"/>
            <w:vAlign w:val="center"/>
          </w:tcPr>
          <w:p w14:paraId="0319B0BF" w14:textId="77777777" w:rsidR="00426C40" w:rsidRPr="00976830" w:rsidRDefault="00426C40" w:rsidP="00426C40">
            <w:pPr>
              <w:rPr>
                <w:sz w:val="24"/>
                <w:szCs w:val="24"/>
                <w:lang w:val="en-GB"/>
              </w:rPr>
            </w:pPr>
            <w:r w:rsidRPr="00976830">
              <w:rPr>
                <w:sz w:val="24"/>
                <w:szCs w:val="24"/>
                <w:lang w:val="en-GB"/>
              </w:rPr>
              <w:t>Tonne kilometres (</w:t>
            </w:r>
            <w:proofErr w:type="spellStart"/>
            <w:r w:rsidRPr="00976830">
              <w:rPr>
                <w:sz w:val="24"/>
                <w:szCs w:val="24"/>
                <w:lang w:val="en-GB"/>
              </w:rPr>
              <w:t>tkm</w:t>
            </w:r>
            <w:proofErr w:type="spellEnd"/>
            <w:r w:rsidRPr="00976830">
              <w:rPr>
                <w:sz w:val="24"/>
                <w:szCs w:val="24"/>
                <w:lang w:val="en-GB"/>
              </w:rPr>
              <w:t>), if available (**)</w:t>
            </w:r>
          </w:p>
        </w:tc>
        <w:tc>
          <w:tcPr>
            <w:tcW w:w="1638" w:type="dxa"/>
            <w:vAlign w:val="center"/>
          </w:tcPr>
          <w:p w14:paraId="0B9E3BBF" w14:textId="4C501C79" w:rsidR="00426C40" w:rsidRPr="00976830" w:rsidRDefault="00EC59C1" w:rsidP="00426C40">
            <w:pPr>
              <w:rPr>
                <w:sz w:val="24"/>
                <w:szCs w:val="24"/>
                <w:lang w:val="en-GB"/>
              </w:rPr>
            </w:pPr>
            <w:r w:rsidRPr="00976830">
              <w:rPr>
                <w:sz w:val="24"/>
                <w:szCs w:val="24"/>
                <w:lang w:val="en-GB"/>
              </w:rPr>
              <w:t>NA</w:t>
            </w:r>
          </w:p>
        </w:tc>
        <w:tc>
          <w:tcPr>
            <w:tcW w:w="1196" w:type="dxa"/>
            <w:vAlign w:val="center"/>
          </w:tcPr>
          <w:p w14:paraId="5066D63F" w14:textId="5E68F89D" w:rsidR="00426C40" w:rsidRPr="009309D2" w:rsidRDefault="00426C40" w:rsidP="00426C40">
            <w:pPr>
              <w:rPr>
                <w:sz w:val="24"/>
                <w:szCs w:val="24"/>
                <w:lang w:val="en-GB"/>
              </w:rPr>
            </w:pPr>
            <w:proofErr w:type="spellStart"/>
            <w:proofErr w:type="gramStart"/>
            <w:r>
              <w:rPr>
                <w:sz w:val="24"/>
                <w:szCs w:val="24"/>
                <w:lang w:val="en-GB"/>
              </w:rPr>
              <w:t>thous</w:t>
            </w:r>
            <w:proofErr w:type="spellEnd"/>
            <w:proofErr w:type="gramEnd"/>
            <w:r>
              <w:rPr>
                <w:sz w:val="24"/>
                <w:szCs w:val="24"/>
                <w:lang w:val="en-GB"/>
              </w:rPr>
              <w:t xml:space="preserve">. </w:t>
            </w:r>
            <w:proofErr w:type="spellStart"/>
            <w:r w:rsidR="007C7C8F">
              <w:rPr>
                <w:sz w:val="24"/>
                <w:szCs w:val="24"/>
                <w:lang w:val="en-GB"/>
              </w:rPr>
              <w:t>T</w:t>
            </w:r>
            <w:r>
              <w:rPr>
                <w:sz w:val="24"/>
                <w:szCs w:val="24"/>
                <w:lang w:val="en-GB"/>
              </w:rPr>
              <w:t>km</w:t>
            </w:r>
            <w:proofErr w:type="spellEnd"/>
          </w:p>
        </w:tc>
      </w:tr>
      <w:tr w:rsidR="00426C40" w:rsidRPr="00277F01" w14:paraId="318D3E50" w14:textId="77777777" w:rsidTr="00426C40">
        <w:trPr>
          <w:cantSplit/>
          <w:trHeight w:val="576"/>
        </w:trPr>
        <w:tc>
          <w:tcPr>
            <w:tcW w:w="6408" w:type="dxa"/>
            <w:vAlign w:val="center"/>
          </w:tcPr>
          <w:p w14:paraId="76C88AF0" w14:textId="6E67E707" w:rsidR="00426C40" w:rsidRPr="00976830" w:rsidRDefault="00426C40" w:rsidP="00426C40">
            <w:pPr>
              <w:rPr>
                <w:sz w:val="24"/>
                <w:szCs w:val="24"/>
                <w:lang w:val="en-GB"/>
              </w:rPr>
            </w:pPr>
            <w:r w:rsidRPr="00976830">
              <w:rPr>
                <w:sz w:val="24"/>
                <w:szCs w:val="24"/>
                <w:lang w:val="en-GB"/>
              </w:rPr>
              <w:t>Combined transport kilometres (</w:t>
            </w:r>
            <w:proofErr w:type="spellStart"/>
            <w:r w:rsidRPr="00976830">
              <w:rPr>
                <w:sz w:val="24"/>
                <w:szCs w:val="24"/>
                <w:lang w:val="en-GB"/>
              </w:rPr>
              <w:t>pkm</w:t>
            </w:r>
            <w:proofErr w:type="spellEnd"/>
            <w:r w:rsidRPr="00976830">
              <w:rPr>
                <w:sz w:val="24"/>
                <w:szCs w:val="24"/>
                <w:lang w:val="en-GB"/>
              </w:rPr>
              <w:t xml:space="preserve"> + </w:t>
            </w:r>
            <w:proofErr w:type="spellStart"/>
            <w:r w:rsidRPr="00976830">
              <w:rPr>
                <w:sz w:val="24"/>
                <w:szCs w:val="24"/>
                <w:lang w:val="en-GB"/>
              </w:rPr>
              <w:t>tkm</w:t>
            </w:r>
            <w:proofErr w:type="spellEnd"/>
            <w:r w:rsidRPr="00976830">
              <w:rPr>
                <w:sz w:val="24"/>
                <w:szCs w:val="24"/>
                <w:lang w:val="en-GB"/>
              </w:rPr>
              <w:t>)</w:t>
            </w:r>
            <w:r w:rsidR="00CB2F4B" w:rsidRPr="00976830">
              <w:rPr>
                <w:sz w:val="24"/>
                <w:szCs w:val="24"/>
                <w:lang w:val="en-GB"/>
              </w:rPr>
              <w:t xml:space="preserve">, in case that separate values for </w:t>
            </w:r>
            <w:proofErr w:type="spellStart"/>
            <w:r w:rsidR="00CB2F4B" w:rsidRPr="00976830">
              <w:rPr>
                <w:sz w:val="24"/>
                <w:szCs w:val="24"/>
                <w:lang w:val="en-GB"/>
              </w:rPr>
              <w:t>pkm</w:t>
            </w:r>
            <w:proofErr w:type="spellEnd"/>
            <w:r w:rsidR="00CB2F4B" w:rsidRPr="00976830">
              <w:rPr>
                <w:sz w:val="24"/>
                <w:szCs w:val="24"/>
                <w:lang w:val="en-GB"/>
              </w:rPr>
              <w:t xml:space="preserve"> and </w:t>
            </w:r>
            <w:proofErr w:type="spellStart"/>
            <w:r w:rsidR="00CB2F4B" w:rsidRPr="00976830">
              <w:rPr>
                <w:sz w:val="24"/>
                <w:szCs w:val="24"/>
                <w:lang w:val="en-GB"/>
              </w:rPr>
              <w:t>tkm</w:t>
            </w:r>
            <w:proofErr w:type="spellEnd"/>
            <w:r w:rsidR="00CB2F4B" w:rsidRPr="00976830">
              <w:rPr>
                <w:sz w:val="24"/>
                <w:szCs w:val="24"/>
                <w:lang w:val="en-GB"/>
              </w:rPr>
              <w:t xml:space="preserve"> are not available </w:t>
            </w:r>
            <w:r w:rsidRPr="00976830">
              <w:rPr>
                <w:sz w:val="24"/>
                <w:szCs w:val="24"/>
                <w:lang w:val="en-GB"/>
              </w:rPr>
              <w:t>(**)</w:t>
            </w:r>
          </w:p>
        </w:tc>
        <w:tc>
          <w:tcPr>
            <w:tcW w:w="1638" w:type="dxa"/>
            <w:vAlign w:val="center"/>
          </w:tcPr>
          <w:p w14:paraId="0686FF52" w14:textId="45181D92" w:rsidR="00426C40" w:rsidRPr="00976830" w:rsidRDefault="00EC59C1" w:rsidP="00426C40">
            <w:pPr>
              <w:rPr>
                <w:sz w:val="24"/>
                <w:szCs w:val="24"/>
                <w:lang w:val="en-GB"/>
              </w:rPr>
            </w:pPr>
            <w:r w:rsidRPr="00976830">
              <w:rPr>
                <w:sz w:val="24"/>
                <w:szCs w:val="24"/>
                <w:lang w:val="en-GB"/>
              </w:rPr>
              <w:t>NA</w:t>
            </w:r>
          </w:p>
        </w:tc>
        <w:tc>
          <w:tcPr>
            <w:tcW w:w="1196" w:type="dxa"/>
            <w:vAlign w:val="center"/>
          </w:tcPr>
          <w:p w14:paraId="03FD9016" w14:textId="77777777" w:rsidR="00426C40" w:rsidRPr="009309D2" w:rsidRDefault="00426C40" w:rsidP="00426C40">
            <w:pPr>
              <w:rPr>
                <w:sz w:val="24"/>
                <w:szCs w:val="24"/>
                <w:lang w:val="en-GB"/>
              </w:rPr>
            </w:pPr>
          </w:p>
        </w:tc>
      </w:tr>
      <w:tr w:rsidR="00426C40" w:rsidRPr="009309D2" w14:paraId="6CCAD02A" w14:textId="77777777" w:rsidTr="00426C40">
        <w:trPr>
          <w:cantSplit/>
          <w:trHeight w:val="576"/>
        </w:trPr>
        <w:tc>
          <w:tcPr>
            <w:tcW w:w="6408" w:type="dxa"/>
            <w:vAlign w:val="center"/>
          </w:tcPr>
          <w:p w14:paraId="129C3DE2" w14:textId="77777777" w:rsidR="00426C40" w:rsidRPr="009309D2" w:rsidRDefault="00426C40" w:rsidP="00426C40">
            <w:pPr>
              <w:rPr>
                <w:sz w:val="24"/>
                <w:szCs w:val="24"/>
                <w:lang w:val="en-GB"/>
              </w:rPr>
            </w:pPr>
            <w:r w:rsidRPr="009309D2">
              <w:rPr>
                <w:sz w:val="24"/>
                <w:szCs w:val="24"/>
                <w:lang w:val="en-GB"/>
              </w:rPr>
              <w:lastRenderedPageBreak/>
              <w:t>Population (**)</w:t>
            </w:r>
          </w:p>
        </w:tc>
        <w:tc>
          <w:tcPr>
            <w:tcW w:w="1638" w:type="dxa"/>
            <w:vAlign w:val="center"/>
          </w:tcPr>
          <w:p w14:paraId="0EFED122" w14:textId="0CDBCDEA" w:rsidR="00426C40" w:rsidRPr="009309D2" w:rsidRDefault="009C6517" w:rsidP="00426C40">
            <w:pPr>
              <w:rPr>
                <w:sz w:val="24"/>
                <w:szCs w:val="24"/>
                <w:lang w:val="en-GB"/>
              </w:rPr>
            </w:pPr>
            <w:r>
              <w:rPr>
                <w:sz w:val="24"/>
                <w:szCs w:val="24"/>
                <w:lang w:val="en-GB"/>
              </w:rPr>
              <w:t>1773971</w:t>
            </w:r>
          </w:p>
        </w:tc>
        <w:tc>
          <w:tcPr>
            <w:tcW w:w="1196" w:type="dxa"/>
            <w:vAlign w:val="center"/>
          </w:tcPr>
          <w:p w14:paraId="60A9CA82" w14:textId="074FE238" w:rsidR="00426C40" w:rsidRPr="009309D2" w:rsidRDefault="007C7C8F" w:rsidP="00426C40">
            <w:pPr>
              <w:rPr>
                <w:sz w:val="24"/>
                <w:szCs w:val="24"/>
                <w:lang w:val="en-GB"/>
              </w:rPr>
            </w:pPr>
            <w:r>
              <w:rPr>
                <w:sz w:val="24"/>
                <w:szCs w:val="24"/>
                <w:lang w:val="en-GB"/>
              </w:rPr>
              <w:t>M</w:t>
            </w:r>
            <w:r w:rsidR="00426C40">
              <w:rPr>
                <w:sz w:val="24"/>
                <w:szCs w:val="24"/>
                <w:lang w:val="en-GB"/>
              </w:rPr>
              <w:t>illions</w:t>
            </w:r>
          </w:p>
        </w:tc>
      </w:tr>
    </w:tbl>
    <w:bookmarkEnd w:id="0"/>
    <w:p w14:paraId="3BA0CD86" w14:textId="77777777" w:rsidR="007B6AD3" w:rsidRPr="00426C40" w:rsidRDefault="007B6AD3" w:rsidP="00E84D14">
      <w:pPr>
        <w:spacing w:before="120" w:after="120"/>
        <w:jc w:val="center"/>
        <w:rPr>
          <w:lang w:val="en-GB"/>
        </w:rPr>
      </w:pPr>
      <w:r w:rsidRPr="00426C40">
        <w:rPr>
          <w:lang w:val="en-GB"/>
        </w:rPr>
        <w:t>Table 1: Key energy statistics data.</w:t>
      </w:r>
    </w:p>
    <w:p w14:paraId="22F967AC" w14:textId="77777777" w:rsidR="00900C3A" w:rsidRPr="00426C40" w:rsidRDefault="00035929" w:rsidP="002F6954">
      <w:pPr>
        <w:spacing w:after="0"/>
        <w:rPr>
          <w:i/>
          <w:lang w:val="en-GB"/>
        </w:rPr>
      </w:pPr>
      <w:r w:rsidRPr="00426C40">
        <w:rPr>
          <w:i/>
          <w:lang w:val="en-GB"/>
        </w:rPr>
        <w:t xml:space="preserve">(*) </w:t>
      </w:r>
      <w:r w:rsidR="002F6954" w:rsidRPr="00426C40">
        <w:rPr>
          <w:i/>
          <w:lang w:val="en-GB"/>
        </w:rPr>
        <w:tab/>
      </w:r>
      <w:r w:rsidRPr="00426C40">
        <w:rPr>
          <w:i/>
          <w:lang w:val="en-GB"/>
        </w:rPr>
        <w:t>Energy statistics</w:t>
      </w:r>
    </w:p>
    <w:p w14:paraId="550AEABB" w14:textId="77777777" w:rsidR="00035929" w:rsidRPr="00426C40" w:rsidRDefault="00035929" w:rsidP="002F6954">
      <w:pPr>
        <w:spacing w:after="0"/>
        <w:rPr>
          <w:i/>
          <w:lang w:val="en-GB"/>
        </w:rPr>
      </w:pPr>
      <w:r w:rsidRPr="00426C40">
        <w:rPr>
          <w:i/>
          <w:lang w:val="en-GB"/>
        </w:rPr>
        <w:t xml:space="preserve">(**) </w:t>
      </w:r>
      <w:r w:rsidR="002F6954" w:rsidRPr="00426C40">
        <w:rPr>
          <w:i/>
          <w:lang w:val="en-GB"/>
        </w:rPr>
        <w:tab/>
      </w:r>
      <w:r w:rsidRPr="00426C40">
        <w:rPr>
          <w:i/>
          <w:lang w:val="en-GB"/>
        </w:rPr>
        <w:t>State Statistic</w:t>
      </w:r>
      <w:r w:rsidR="00697FD2" w:rsidRPr="00426C40">
        <w:rPr>
          <w:i/>
          <w:lang w:val="en-GB"/>
        </w:rPr>
        <w:t>al</w:t>
      </w:r>
      <w:r w:rsidRPr="00426C40">
        <w:rPr>
          <w:i/>
          <w:lang w:val="en-GB"/>
        </w:rPr>
        <w:t xml:space="preserve"> office</w:t>
      </w:r>
    </w:p>
    <w:p w14:paraId="1EDBD915" w14:textId="77777777" w:rsidR="002F6954" w:rsidRPr="00426C40" w:rsidRDefault="002F6954" w:rsidP="002F6954">
      <w:pPr>
        <w:spacing w:after="0"/>
        <w:rPr>
          <w:i/>
          <w:lang w:val="en-GB"/>
        </w:rPr>
      </w:pPr>
      <w:r w:rsidRPr="00426C40">
        <w:rPr>
          <w:i/>
          <w:lang w:val="en-GB"/>
        </w:rPr>
        <w:t xml:space="preserve">(***) </w:t>
      </w:r>
      <w:r w:rsidRPr="00426C40">
        <w:rPr>
          <w:i/>
          <w:lang w:val="en-GB"/>
        </w:rPr>
        <w:tab/>
        <w:t xml:space="preserve">Independent System Operator (ISO), electricity generation companies. </w:t>
      </w:r>
    </w:p>
    <w:p w14:paraId="7323C99A" w14:textId="77777777" w:rsidR="00900C3A" w:rsidRPr="00BD5CB8" w:rsidRDefault="000A3E46" w:rsidP="00F576C2">
      <w:pPr>
        <w:pStyle w:val="Heading1"/>
      </w:pPr>
      <w:r w:rsidRPr="00BD5CB8">
        <w:t>Overview</w:t>
      </w:r>
      <w:r w:rsidR="00E246A9" w:rsidRPr="00BD5CB8">
        <w:t xml:space="preserve"> of energy consumption trends</w:t>
      </w:r>
    </w:p>
    <w:p w14:paraId="6821F993" w14:textId="40F630D0" w:rsidR="00CC6160" w:rsidRDefault="00CC6160" w:rsidP="00CC6160">
      <w:pPr>
        <w:rPr>
          <w:rFonts w:cstheme="minorHAnsi"/>
          <w:lang w:val="en-US"/>
        </w:rPr>
      </w:pPr>
      <w:r w:rsidRPr="004561A0">
        <w:rPr>
          <w:rFonts w:cstheme="minorHAnsi"/>
          <w:lang w:val="en-US"/>
        </w:rPr>
        <w:t>The National Energy Efficiency Action Plan in Kosovo (NEEAP 2019-2021) defines national targets for reducing final and primary energy consumption for the three-year period 2019-2021</w:t>
      </w:r>
      <w:r>
        <w:rPr>
          <w:rFonts w:cstheme="minorHAnsi"/>
          <w:lang w:val="en-US"/>
        </w:rPr>
        <w:t>, as required by Article 3(1) of EED</w:t>
      </w:r>
      <w:r w:rsidRPr="004561A0">
        <w:rPr>
          <w:rFonts w:cstheme="minorHAnsi"/>
          <w:lang w:val="en-US"/>
        </w:rPr>
        <w:t xml:space="preserve">. </w:t>
      </w:r>
      <w:r>
        <w:rPr>
          <w:rFonts w:cstheme="minorHAnsi"/>
          <w:lang w:val="en-US"/>
        </w:rPr>
        <w:t xml:space="preserve">Final energy consumption should not exceed 1556 </w:t>
      </w:r>
      <w:proofErr w:type="spellStart"/>
      <w:r>
        <w:rPr>
          <w:rFonts w:cstheme="minorHAnsi"/>
          <w:lang w:val="en-US"/>
        </w:rPr>
        <w:t>ktoe</w:t>
      </w:r>
      <w:proofErr w:type="spellEnd"/>
      <w:r>
        <w:rPr>
          <w:rFonts w:cstheme="minorHAnsi"/>
          <w:lang w:val="en-US"/>
        </w:rPr>
        <w:t xml:space="preserve"> in the year 2020. The estimated national target can be expressed in the primary energy consumption of 2847 </w:t>
      </w:r>
      <w:proofErr w:type="spellStart"/>
      <w:r>
        <w:rPr>
          <w:rFonts w:cstheme="minorHAnsi"/>
          <w:lang w:val="en-US"/>
        </w:rPr>
        <w:t>ktoe</w:t>
      </w:r>
      <w:proofErr w:type="spellEnd"/>
      <w:r>
        <w:rPr>
          <w:rFonts w:cstheme="minorHAnsi"/>
          <w:lang w:val="en-US"/>
        </w:rPr>
        <w:t xml:space="preserve">, based on primary energy coefficient - 1.83*. </w:t>
      </w:r>
    </w:p>
    <w:p w14:paraId="7A706107" w14:textId="77777777" w:rsidR="00CC6160" w:rsidRPr="004561A0" w:rsidRDefault="00CC6160" w:rsidP="00CC6160">
      <w:pPr>
        <w:rPr>
          <w:rFonts w:cstheme="minorHAnsi"/>
          <w:lang w:val="en-US"/>
        </w:rPr>
      </w:pPr>
      <w:r w:rsidRPr="004561A0">
        <w:rPr>
          <w:rFonts w:cstheme="minorHAnsi"/>
          <w:lang w:val="en-US"/>
        </w:rPr>
        <w:t xml:space="preserve">Various statistical and other available data sources were used to determine economic and energy values for the base year 2015 and relevant trends within different scenarios. </w:t>
      </w:r>
    </w:p>
    <w:p w14:paraId="44474793" w14:textId="136BDAEC" w:rsidR="00CC6160" w:rsidRPr="004561A0" w:rsidRDefault="00CC6160" w:rsidP="00CC6160">
      <w:pPr>
        <w:rPr>
          <w:rFonts w:cstheme="minorHAnsi"/>
          <w:lang w:val="en-US"/>
        </w:rPr>
      </w:pPr>
      <w:r w:rsidRPr="004561A0">
        <w:rPr>
          <w:rFonts w:cstheme="minorHAnsi"/>
          <w:lang w:val="en-US"/>
        </w:rPr>
        <w:t>The data on energy consumption trends have been extracted from the energy balances of Kosovo 2015-</w:t>
      </w:r>
      <w:r>
        <w:rPr>
          <w:rFonts w:cstheme="minorHAnsi"/>
          <w:lang w:val="en-US"/>
        </w:rPr>
        <w:t>202</w:t>
      </w:r>
      <w:r w:rsidR="00A968F1">
        <w:rPr>
          <w:rFonts w:cstheme="minorHAnsi"/>
          <w:lang w:val="en-US"/>
        </w:rPr>
        <w:t>1</w:t>
      </w:r>
      <w:r w:rsidRPr="004561A0">
        <w:rPr>
          <w:rFonts w:cstheme="minorHAnsi"/>
          <w:lang w:val="en-US"/>
        </w:rPr>
        <w:t>.</w:t>
      </w:r>
    </w:p>
    <w:p w14:paraId="1A4BC71A" w14:textId="16C780D5" w:rsidR="00CC6160" w:rsidRPr="00BD5CB8" w:rsidRDefault="00860BAD" w:rsidP="00860BAD">
      <w:pPr>
        <w:jc w:val="center"/>
        <w:rPr>
          <w:rFonts w:ascii="Times New Roman" w:hAnsi="Times New Roman" w:cs="Times New Roman"/>
          <w:i/>
          <w:sz w:val="24"/>
          <w:szCs w:val="24"/>
          <w:lang w:val="en-US"/>
        </w:rPr>
      </w:pPr>
      <w:r>
        <w:rPr>
          <w:noProof/>
          <w:lang w:val="en-US"/>
        </w:rPr>
        <w:drawing>
          <wp:inline distT="0" distB="0" distL="0" distR="0" wp14:anchorId="7EA62E23" wp14:editId="13C3C755">
            <wp:extent cx="4572000" cy="2725615"/>
            <wp:effectExtent l="0" t="0" r="0" b="17780"/>
            <wp:docPr id="1" name="Chart 1" descr="Ktoe&#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561A5F6-3D05-4EBC-94B3-FC822C3F5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A7F1DC" w14:textId="6AB4BBF2" w:rsidR="00860BAD" w:rsidRDefault="00F75966" w:rsidP="00860BAD">
      <w:pPr>
        <w:jc w:val="center"/>
        <w:rPr>
          <w:color w:val="4F81BD" w:themeColor="accent1"/>
          <w:lang w:val="en-GB"/>
        </w:rPr>
      </w:pPr>
      <w:r w:rsidRPr="00E84D14">
        <w:rPr>
          <w:color w:val="4F81BD" w:themeColor="accent1"/>
          <w:lang w:val="en-GB"/>
        </w:rPr>
        <w:t xml:space="preserve">Figure </w:t>
      </w:r>
      <w:r w:rsidR="00860BAD">
        <w:rPr>
          <w:color w:val="4F81BD" w:themeColor="accent1"/>
          <w:lang w:val="en-GB"/>
        </w:rPr>
        <w:t>1</w:t>
      </w:r>
      <w:r w:rsidRPr="00E84D14">
        <w:rPr>
          <w:color w:val="4F81BD" w:themeColor="accent1"/>
          <w:lang w:val="en-GB"/>
        </w:rPr>
        <w:t xml:space="preserve">: </w:t>
      </w:r>
      <w:r w:rsidR="002740F4" w:rsidRPr="00E84D14">
        <w:rPr>
          <w:color w:val="4F81BD" w:themeColor="accent1"/>
          <w:lang w:val="en-GB"/>
        </w:rPr>
        <w:t xml:space="preserve">Final </w:t>
      </w:r>
      <w:r w:rsidR="007533DD">
        <w:rPr>
          <w:color w:val="4F81BD" w:themeColor="accent1"/>
          <w:lang w:val="en-GB"/>
        </w:rPr>
        <w:t xml:space="preserve">and Primary </w:t>
      </w:r>
      <w:r w:rsidR="002740F4" w:rsidRPr="00E84D14">
        <w:rPr>
          <w:color w:val="4F81BD" w:themeColor="accent1"/>
          <w:lang w:val="en-GB"/>
        </w:rPr>
        <w:t>energy consumption</w:t>
      </w:r>
      <w:r w:rsidR="00926E71" w:rsidRPr="00E84D14">
        <w:rPr>
          <w:color w:val="4F81BD" w:themeColor="accent1"/>
          <w:lang w:val="en-GB"/>
        </w:rPr>
        <w:t xml:space="preserve"> </w:t>
      </w:r>
    </w:p>
    <w:p w14:paraId="5CD34A53" w14:textId="77777777" w:rsidR="00F90BB7" w:rsidRDefault="00F90BB7" w:rsidP="00860BAD">
      <w:pPr>
        <w:jc w:val="center"/>
        <w:rPr>
          <w:color w:val="4F81BD" w:themeColor="accent1"/>
          <w:lang w:val="en-GB"/>
        </w:rPr>
      </w:pPr>
    </w:p>
    <w:p w14:paraId="25F0CFE8" w14:textId="77777777" w:rsidR="00F90BB7" w:rsidRDefault="00F90BB7" w:rsidP="00860BAD">
      <w:pPr>
        <w:jc w:val="center"/>
        <w:rPr>
          <w:color w:val="4F81BD" w:themeColor="accent1"/>
          <w:lang w:val="en-GB"/>
        </w:rPr>
      </w:pPr>
    </w:p>
    <w:p w14:paraId="2CC61C9C" w14:textId="77777777" w:rsidR="00F90BB7" w:rsidRDefault="00F90BB7" w:rsidP="00860BAD">
      <w:pPr>
        <w:jc w:val="center"/>
        <w:rPr>
          <w:color w:val="4F81BD" w:themeColor="accent1"/>
          <w:lang w:val="en-GB"/>
        </w:rPr>
      </w:pPr>
    </w:p>
    <w:p w14:paraId="0732F187" w14:textId="4F40A0E0" w:rsidR="00F90BB7" w:rsidRDefault="00F90BB7" w:rsidP="00F90BB7">
      <w:pPr>
        <w:rPr>
          <w:color w:val="4F81BD" w:themeColor="accent1"/>
          <w:lang w:val="en-GB"/>
        </w:rPr>
      </w:pPr>
      <w:r w:rsidRPr="00F90BB7">
        <w:rPr>
          <w:lang w:val="en-GB"/>
        </w:rPr>
        <w:t>*</w:t>
      </w:r>
      <w:r w:rsidRPr="00F90BB7">
        <w:rPr>
          <w:rFonts w:cstheme="minorHAnsi"/>
          <w:i/>
          <w:lang w:val="en-US"/>
        </w:rPr>
        <w:t>4</w:t>
      </w:r>
      <w:r w:rsidRPr="00F90BB7">
        <w:rPr>
          <w:rFonts w:cstheme="minorHAnsi"/>
          <w:i/>
          <w:vertAlign w:val="superscript"/>
          <w:lang w:val="en-US"/>
        </w:rPr>
        <w:t>th</w:t>
      </w:r>
      <w:r w:rsidRPr="00F90BB7">
        <w:rPr>
          <w:rFonts w:cstheme="minorHAnsi"/>
          <w:i/>
          <w:lang w:val="en-US"/>
        </w:rPr>
        <w:t xml:space="preserve"> NEEAP </w:t>
      </w:r>
      <w:r>
        <w:rPr>
          <w:rFonts w:cstheme="minorHAnsi"/>
          <w:i/>
          <w:lang w:val="en-US"/>
        </w:rPr>
        <w:t>2019-2021</w:t>
      </w:r>
    </w:p>
    <w:p w14:paraId="4B311EAB" w14:textId="77777777" w:rsidR="00F90BB7" w:rsidRDefault="00F90BB7" w:rsidP="00860BAD">
      <w:pPr>
        <w:jc w:val="center"/>
        <w:rPr>
          <w:color w:val="4F81BD" w:themeColor="accent1"/>
          <w:lang w:val="en-GB"/>
        </w:rPr>
      </w:pPr>
    </w:p>
    <w:p w14:paraId="678CD3EC" w14:textId="4C773137" w:rsidR="00860BAD" w:rsidRDefault="00860BAD" w:rsidP="00860BAD">
      <w:pPr>
        <w:jc w:val="center"/>
        <w:rPr>
          <w:rFonts w:cstheme="minorHAnsi"/>
          <w:lang w:val="en-US"/>
        </w:rPr>
      </w:pPr>
      <w:r>
        <w:rPr>
          <w:noProof/>
          <w:lang w:val="en-US"/>
        </w:rPr>
        <w:drawing>
          <wp:inline distT="0" distB="0" distL="0" distR="0" wp14:anchorId="7941D29A" wp14:editId="6D3946D8">
            <wp:extent cx="4572000" cy="2725615"/>
            <wp:effectExtent l="0" t="0" r="0" b="17780"/>
            <wp:docPr id="2" name="Chart 2" descr="Ktoe&#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076E80F-DE5B-4B62-A6B9-6DB0874664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899E89" w14:textId="592E64FA" w:rsidR="00860BAD" w:rsidRDefault="00860BAD" w:rsidP="00860BAD">
      <w:pPr>
        <w:jc w:val="center"/>
        <w:rPr>
          <w:rFonts w:cstheme="minorHAnsi"/>
          <w:lang w:val="en-US"/>
        </w:rPr>
      </w:pPr>
      <w:r>
        <w:rPr>
          <w:color w:val="4F81BD" w:themeColor="accent1"/>
          <w:lang w:val="en-GB"/>
        </w:rPr>
        <w:t>Figure 2</w:t>
      </w:r>
      <w:r w:rsidR="0087662C">
        <w:rPr>
          <w:color w:val="4F81BD" w:themeColor="accent1"/>
          <w:lang w:val="en-GB"/>
        </w:rPr>
        <w:t>:</w:t>
      </w:r>
      <w:r>
        <w:rPr>
          <w:color w:val="4F81BD" w:themeColor="accent1"/>
          <w:lang w:val="en-GB"/>
        </w:rPr>
        <w:t xml:space="preserve"> F</w:t>
      </w:r>
      <w:r w:rsidRPr="00E84D14">
        <w:rPr>
          <w:color w:val="4F81BD" w:themeColor="accent1"/>
          <w:lang w:val="en-GB"/>
        </w:rPr>
        <w:t xml:space="preserve">inal energy consumption per sectors in </w:t>
      </w:r>
      <w:r>
        <w:rPr>
          <w:color w:val="4F81BD" w:themeColor="accent1"/>
          <w:lang w:val="en-GB"/>
        </w:rPr>
        <w:t>2015 – 2021</w:t>
      </w:r>
    </w:p>
    <w:p w14:paraId="3AB514ED" w14:textId="524AC74F" w:rsidR="0060436C" w:rsidRPr="004561A0" w:rsidRDefault="0060436C" w:rsidP="0060436C">
      <w:pPr>
        <w:rPr>
          <w:rFonts w:cstheme="minorHAnsi"/>
          <w:lang w:val="en-US"/>
        </w:rPr>
      </w:pPr>
      <w:r w:rsidRPr="004561A0">
        <w:rPr>
          <w:rFonts w:cstheme="minorHAnsi"/>
          <w:lang w:val="en-US"/>
        </w:rPr>
        <w:t>In 20</w:t>
      </w:r>
      <w:r>
        <w:rPr>
          <w:rFonts w:cstheme="minorHAnsi"/>
          <w:lang w:val="en-US"/>
        </w:rPr>
        <w:t>21</w:t>
      </w:r>
      <w:r w:rsidRPr="004561A0">
        <w:rPr>
          <w:rFonts w:cstheme="minorHAnsi"/>
          <w:lang w:val="en-US"/>
        </w:rPr>
        <w:t xml:space="preserve"> the primary energy consumption was </w:t>
      </w:r>
      <w:r w:rsidRPr="0060436C">
        <w:rPr>
          <w:lang w:val="en-GB"/>
        </w:rPr>
        <w:t>2873.69</w:t>
      </w:r>
      <w:r>
        <w:rPr>
          <w:lang w:val="en-GB"/>
        </w:rPr>
        <w:t xml:space="preserve"> </w:t>
      </w:r>
      <w:proofErr w:type="spellStart"/>
      <w:r w:rsidRPr="0060436C">
        <w:rPr>
          <w:rFonts w:cstheme="minorHAnsi"/>
          <w:lang w:val="en-US"/>
        </w:rPr>
        <w:t>ktoe</w:t>
      </w:r>
      <w:proofErr w:type="spellEnd"/>
      <w:r w:rsidRPr="004561A0">
        <w:rPr>
          <w:rFonts w:cstheme="minorHAnsi"/>
          <w:lang w:val="en-US"/>
        </w:rPr>
        <w:t xml:space="preserve">, while the final energy consumption was </w:t>
      </w:r>
      <w:r w:rsidRPr="0060436C">
        <w:rPr>
          <w:lang w:val="en-GB"/>
        </w:rPr>
        <w:t>1596.39</w:t>
      </w:r>
      <w:r w:rsidRPr="004561A0">
        <w:rPr>
          <w:rFonts w:cstheme="minorHAnsi"/>
          <w:lang w:val="en-US"/>
        </w:rPr>
        <w:t xml:space="preserve"> </w:t>
      </w:r>
      <w:proofErr w:type="spellStart"/>
      <w:r w:rsidRPr="004561A0">
        <w:rPr>
          <w:rFonts w:cstheme="minorHAnsi"/>
          <w:lang w:val="en-US"/>
        </w:rPr>
        <w:t>ktoe</w:t>
      </w:r>
      <w:proofErr w:type="spellEnd"/>
      <w:r w:rsidRPr="004561A0">
        <w:rPr>
          <w:rFonts w:cstheme="minorHAnsi"/>
          <w:lang w:val="en-US"/>
        </w:rPr>
        <w:t>. The primary energy consumption comparing to 20</w:t>
      </w:r>
      <w:r>
        <w:rPr>
          <w:rFonts w:cstheme="minorHAnsi"/>
          <w:lang w:val="en-US"/>
        </w:rPr>
        <w:t>20</w:t>
      </w:r>
      <w:r w:rsidRPr="004561A0">
        <w:rPr>
          <w:rFonts w:cstheme="minorHAnsi"/>
          <w:lang w:val="en-US"/>
        </w:rPr>
        <w:t xml:space="preserve"> </w:t>
      </w:r>
      <w:r>
        <w:rPr>
          <w:rFonts w:cstheme="minorHAnsi"/>
          <w:lang w:val="en-US"/>
        </w:rPr>
        <w:t>in</w:t>
      </w:r>
      <w:r w:rsidRPr="004561A0">
        <w:rPr>
          <w:rFonts w:cstheme="minorHAnsi"/>
          <w:lang w:val="en-US"/>
        </w:rPr>
        <w:t xml:space="preserve">creased </w:t>
      </w:r>
      <w:r>
        <w:rPr>
          <w:rFonts w:cstheme="minorHAnsi"/>
          <w:lang w:val="en-US"/>
        </w:rPr>
        <w:t xml:space="preserve">around </w:t>
      </w:r>
      <w:r w:rsidR="001D6B04">
        <w:rPr>
          <w:rFonts w:cstheme="minorHAnsi"/>
          <w:lang w:val="en-US"/>
        </w:rPr>
        <w:t>5.11</w:t>
      </w:r>
      <w:r w:rsidRPr="004561A0">
        <w:rPr>
          <w:rFonts w:cstheme="minorHAnsi"/>
          <w:lang w:val="en-US"/>
        </w:rPr>
        <w:t xml:space="preserve">%, </w:t>
      </w:r>
      <w:r w:rsidR="00B94C65">
        <w:rPr>
          <w:rFonts w:cstheme="minorHAnsi"/>
          <w:lang w:val="en-US"/>
        </w:rPr>
        <w:t xml:space="preserve">and </w:t>
      </w:r>
      <w:r w:rsidRPr="004561A0">
        <w:rPr>
          <w:rFonts w:cstheme="minorHAnsi"/>
          <w:lang w:val="en-US"/>
        </w:rPr>
        <w:t>also the final energy consumption had a</w:t>
      </w:r>
      <w:r>
        <w:rPr>
          <w:rFonts w:cstheme="minorHAnsi"/>
          <w:lang w:val="en-US"/>
        </w:rPr>
        <w:t>n</w:t>
      </w:r>
      <w:r w:rsidRPr="004561A0">
        <w:rPr>
          <w:rFonts w:cstheme="minorHAnsi"/>
          <w:lang w:val="en-US"/>
        </w:rPr>
        <w:t xml:space="preserve"> </w:t>
      </w:r>
      <w:r>
        <w:rPr>
          <w:rFonts w:cstheme="minorHAnsi"/>
          <w:lang w:val="en-US"/>
        </w:rPr>
        <w:t>increase</w:t>
      </w:r>
      <w:r w:rsidRPr="004561A0">
        <w:rPr>
          <w:rFonts w:cstheme="minorHAnsi"/>
          <w:lang w:val="en-US"/>
        </w:rPr>
        <w:t xml:space="preserve"> of </w:t>
      </w:r>
      <w:r w:rsidR="001D6B04">
        <w:rPr>
          <w:rFonts w:cstheme="minorHAnsi"/>
          <w:lang w:val="en-US"/>
        </w:rPr>
        <w:t>3.47</w:t>
      </w:r>
      <w:r w:rsidRPr="004561A0">
        <w:rPr>
          <w:rFonts w:cstheme="minorHAnsi"/>
          <w:lang w:val="en-US"/>
        </w:rPr>
        <w:t>%.</w:t>
      </w:r>
    </w:p>
    <w:p w14:paraId="4FF08E28" w14:textId="5EE54F63" w:rsidR="0060436C" w:rsidRPr="004561A0" w:rsidRDefault="0060436C" w:rsidP="0060436C">
      <w:pPr>
        <w:spacing w:after="0" w:line="240" w:lineRule="auto"/>
        <w:jc w:val="both"/>
        <w:rPr>
          <w:rFonts w:cstheme="minorHAnsi"/>
          <w:lang w:val="en-US"/>
        </w:rPr>
      </w:pPr>
      <w:r w:rsidRPr="004561A0">
        <w:rPr>
          <w:rFonts w:cstheme="minorHAnsi"/>
          <w:lang w:val="en-US"/>
        </w:rPr>
        <w:t xml:space="preserve">The analysis of final energy consumption trends shows that energy consumption in the household sector still continues to increase, that is </w:t>
      </w:r>
      <w:r w:rsidR="001D6B04">
        <w:rPr>
          <w:rFonts w:cstheme="minorHAnsi"/>
          <w:lang w:val="en-US"/>
        </w:rPr>
        <w:t>3.0</w:t>
      </w:r>
      <w:r w:rsidR="00F3037D">
        <w:rPr>
          <w:rFonts w:cstheme="minorHAnsi"/>
          <w:lang w:val="en-US"/>
        </w:rPr>
        <w:t>7</w:t>
      </w:r>
      <w:r w:rsidRPr="004561A0">
        <w:rPr>
          <w:rFonts w:cstheme="minorHAnsi"/>
          <w:lang w:val="en-US"/>
        </w:rPr>
        <w:t>%</w:t>
      </w:r>
      <w:r>
        <w:rPr>
          <w:rFonts w:cstheme="minorHAnsi"/>
          <w:lang w:val="en-US"/>
        </w:rPr>
        <w:t xml:space="preserve"> higher than in 20</w:t>
      </w:r>
      <w:r w:rsidR="001D6B04">
        <w:rPr>
          <w:rFonts w:cstheme="minorHAnsi"/>
          <w:lang w:val="en-US"/>
        </w:rPr>
        <w:t>20</w:t>
      </w:r>
      <w:r w:rsidRPr="004561A0">
        <w:rPr>
          <w:rFonts w:cstheme="minorHAnsi"/>
          <w:lang w:val="en-US"/>
        </w:rPr>
        <w:t xml:space="preserve">. Energy consumption in the transport sector had </w:t>
      </w:r>
      <w:r w:rsidR="00F3037D">
        <w:rPr>
          <w:rFonts w:cstheme="minorHAnsi"/>
          <w:lang w:val="en-US"/>
        </w:rPr>
        <w:t xml:space="preserve">a slightly </w:t>
      </w:r>
      <w:r>
        <w:rPr>
          <w:rFonts w:cstheme="minorHAnsi"/>
          <w:lang w:val="en-US"/>
        </w:rPr>
        <w:t>de</w:t>
      </w:r>
      <w:r w:rsidRPr="004561A0">
        <w:rPr>
          <w:rFonts w:cstheme="minorHAnsi"/>
          <w:lang w:val="en-US"/>
        </w:rPr>
        <w:t xml:space="preserve">crease by </w:t>
      </w:r>
      <w:r w:rsidR="00F3037D">
        <w:rPr>
          <w:rFonts w:cstheme="minorHAnsi"/>
          <w:lang w:val="en-US"/>
        </w:rPr>
        <w:t>0.71</w:t>
      </w:r>
      <w:r w:rsidRPr="004561A0">
        <w:rPr>
          <w:rFonts w:cstheme="minorHAnsi"/>
          <w:lang w:val="en-US"/>
        </w:rPr>
        <w:t>%</w:t>
      </w:r>
      <w:r>
        <w:rPr>
          <w:rFonts w:cstheme="minorHAnsi"/>
          <w:lang w:val="en-US"/>
        </w:rPr>
        <w:t xml:space="preserve"> in comparison with year 20</w:t>
      </w:r>
      <w:r w:rsidR="001D6B04">
        <w:rPr>
          <w:rFonts w:cstheme="minorHAnsi"/>
          <w:lang w:val="en-US"/>
        </w:rPr>
        <w:t>20</w:t>
      </w:r>
      <w:r w:rsidRPr="004561A0">
        <w:rPr>
          <w:rFonts w:cstheme="minorHAnsi"/>
          <w:lang w:val="en-US"/>
        </w:rPr>
        <w:t>. Energy consumption in services sector for 20</w:t>
      </w:r>
      <w:r>
        <w:rPr>
          <w:rFonts w:cstheme="minorHAnsi"/>
          <w:lang w:val="en-US"/>
        </w:rPr>
        <w:t>20</w:t>
      </w:r>
      <w:r w:rsidRPr="004561A0">
        <w:rPr>
          <w:rFonts w:cstheme="minorHAnsi"/>
          <w:lang w:val="en-US"/>
        </w:rPr>
        <w:t xml:space="preserve"> (</w:t>
      </w:r>
      <w:r>
        <w:rPr>
          <w:rFonts w:cstheme="minorHAnsi"/>
          <w:lang w:val="en-US"/>
        </w:rPr>
        <w:t>146.06</w:t>
      </w:r>
      <w:r w:rsidRPr="004561A0">
        <w:rPr>
          <w:rFonts w:cstheme="minorHAnsi"/>
          <w:lang w:val="en-US"/>
        </w:rPr>
        <w:t xml:space="preserve">ktoe) has </w:t>
      </w:r>
      <w:r w:rsidR="004964E2">
        <w:rPr>
          <w:rFonts w:cstheme="minorHAnsi"/>
          <w:lang w:val="en-US"/>
        </w:rPr>
        <w:t>in</w:t>
      </w:r>
      <w:r w:rsidRPr="004561A0">
        <w:rPr>
          <w:rFonts w:cstheme="minorHAnsi"/>
          <w:lang w:val="en-US"/>
        </w:rPr>
        <w:t>creased in comparison with year 20</w:t>
      </w:r>
      <w:r w:rsidR="00CE4FE4">
        <w:rPr>
          <w:rFonts w:cstheme="minorHAnsi"/>
          <w:lang w:val="en-US"/>
        </w:rPr>
        <w:t>21</w:t>
      </w:r>
      <w:r w:rsidRPr="004561A0">
        <w:rPr>
          <w:rFonts w:cstheme="minorHAnsi"/>
          <w:lang w:val="en-US"/>
        </w:rPr>
        <w:t xml:space="preserve"> (</w:t>
      </w:r>
      <w:r>
        <w:rPr>
          <w:rFonts w:cstheme="minorHAnsi"/>
          <w:lang w:val="en-US"/>
        </w:rPr>
        <w:t>1</w:t>
      </w:r>
      <w:r w:rsidR="00CE4FE4">
        <w:rPr>
          <w:rFonts w:cstheme="minorHAnsi"/>
          <w:lang w:val="en-US"/>
        </w:rPr>
        <w:t>70</w:t>
      </w:r>
      <w:r>
        <w:rPr>
          <w:rFonts w:cstheme="minorHAnsi"/>
          <w:lang w:val="en-US"/>
        </w:rPr>
        <w:t>.7</w:t>
      </w:r>
      <w:r w:rsidR="00CE4FE4">
        <w:rPr>
          <w:rFonts w:cstheme="minorHAnsi"/>
          <w:lang w:val="en-US"/>
        </w:rPr>
        <w:t>8</w:t>
      </w:r>
      <w:r w:rsidRPr="004561A0">
        <w:rPr>
          <w:rFonts w:cstheme="minorHAnsi"/>
          <w:lang w:val="en-US"/>
        </w:rPr>
        <w:t xml:space="preserve">ktoe) that is </w:t>
      </w:r>
      <w:r w:rsidR="00CE4FE4">
        <w:rPr>
          <w:rFonts w:cstheme="minorHAnsi"/>
          <w:lang w:val="en-US"/>
        </w:rPr>
        <w:t>14.474</w:t>
      </w:r>
      <w:r w:rsidRPr="004561A0">
        <w:rPr>
          <w:rFonts w:cstheme="minorHAnsi"/>
          <w:lang w:val="en-US"/>
        </w:rPr>
        <w:t>%.</w:t>
      </w:r>
    </w:p>
    <w:p w14:paraId="4CF3A95C" w14:textId="1D64C504" w:rsidR="0060436C" w:rsidRDefault="0060436C" w:rsidP="00E24320">
      <w:pPr>
        <w:jc w:val="both"/>
        <w:rPr>
          <w:i/>
          <w:color w:val="0070C0"/>
          <w:lang w:val="en-US"/>
        </w:rPr>
      </w:pPr>
    </w:p>
    <w:p w14:paraId="3DE6E067" w14:textId="337B3053" w:rsidR="0012652E" w:rsidRDefault="0012652E" w:rsidP="0012652E">
      <w:pPr>
        <w:jc w:val="center"/>
        <w:rPr>
          <w:i/>
          <w:color w:val="0070C0"/>
          <w:lang w:val="en-US"/>
        </w:rPr>
      </w:pPr>
      <w:r>
        <w:rPr>
          <w:noProof/>
          <w:lang w:val="en-US"/>
        </w:rPr>
        <w:drawing>
          <wp:inline distT="0" distB="0" distL="0" distR="0" wp14:anchorId="17F9ADDB" wp14:editId="4A3A649C">
            <wp:extent cx="4572000" cy="2901462"/>
            <wp:effectExtent l="0" t="0" r="0" b="1333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00A0D0B-4CF6-B2A1-4452-CB709D395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B8AF56" w14:textId="47C2A4CC" w:rsidR="0087662C" w:rsidRPr="0087662C" w:rsidRDefault="0087662C" w:rsidP="003C1F04">
      <w:pPr>
        <w:jc w:val="center"/>
        <w:rPr>
          <w:iCs/>
          <w:color w:val="0070C0"/>
          <w:lang w:val="en-US"/>
        </w:rPr>
      </w:pPr>
      <w:r w:rsidRPr="0087662C">
        <w:rPr>
          <w:iCs/>
          <w:color w:val="0070C0"/>
          <w:lang w:val="en-US"/>
        </w:rPr>
        <w:t xml:space="preserve">Figure 3: </w:t>
      </w:r>
      <w:r w:rsidR="00897C68">
        <w:rPr>
          <w:iCs/>
          <w:color w:val="0070C0"/>
          <w:lang w:val="en-US"/>
        </w:rPr>
        <w:t>Primary</w:t>
      </w:r>
      <w:r>
        <w:rPr>
          <w:iCs/>
          <w:color w:val="0070C0"/>
          <w:lang w:val="en-US"/>
        </w:rPr>
        <w:t xml:space="preserve"> Energy </w:t>
      </w:r>
      <w:r w:rsidR="003C1F04">
        <w:rPr>
          <w:iCs/>
          <w:color w:val="0070C0"/>
          <w:lang w:val="en-US"/>
        </w:rPr>
        <w:t>consumption 2015-2021</w:t>
      </w:r>
    </w:p>
    <w:p w14:paraId="4CDEEEBD" w14:textId="64E519E4" w:rsidR="00BA65FA" w:rsidRPr="009309D2" w:rsidRDefault="00BA65FA" w:rsidP="00F576C2">
      <w:pPr>
        <w:pStyle w:val="Heading1"/>
      </w:pPr>
      <w:r w:rsidRPr="009309D2">
        <w:lastRenderedPageBreak/>
        <w:t xml:space="preserve">National energy </w:t>
      </w:r>
      <w:r w:rsidRPr="00F576C2">
        <w:t>efficiency</w:t>
      </w:r>
      <w:r w:rsidRPr="009309D2">
        <w:t xml:space="preserve"> target</w:t>
      </w:r>
      <w:r>
        <w:t>s</w:t>
      </w:r>
      <w:r w:rsidRPr="009309D2">
        <w:t xml:space="preserve"> </w:t>
      </w:r>
    </w:p>
    <w:p w14:paraId="55FA489F" w14:textId="7DC0F12C" w:rsidR="00732600" w:rsidRPr="00BD5CB8" w:rsidRDefault="00732600" w:rsidP="00F2028B">
      <w:pPr>
        <w:shd w:val="clear" w:color="auto" w:fill="FFFFFF"/>
        <w:jc w:val="both"/>
        <w:rPr>
          <w:rFonts w:ascii="Times New Roman" w:hAnsi="Times New Roman" w:cs="Times New Roman"/>
          <w:i/>
          <w:sz w:val="24"/>
          <w:szCs w:val="24"/>
          <w:lang w:val="en-US"/>
        </w:rPr>
      </w:pPr>
      <w:r w:rsidRPr="00F204E4">
        <w:rPr>
          <w:rFonts w:cstheme="minorHAnsi"/>
          <w:lang w:val="en-US"/>
        </w:rPr>
        <w:t>The targets are defined by Long-term NEEAP 2010-2018, Long-term Energy Balance of the Republic of Kosovo 2015-2024 and 4</w:t>
      </w:r>
      <w:r w:rsidRPr="00F204E4">
        <w:rPr>
          <w:rFonts w:cstheme="minorHAnsi"/>
          <w:vertAlign w:val="superscript"/>
          <w:lang w:val="en-US"/>
        </w:rPr>
        <w:t>th</w:t>
      </w:r>
      <w:r w:rsidRPr="00F204E4">
        <w:rPr>
          <w:rFonts w:cstheme="minorHAnsi"/>
          <w:lang w:val="en-US"/>
        </w:rPr>
        <w:t xml:space="preserve"> NEEAP 2019-2021.</w:t>
      </w:r>
    </w:p>
    <w:p w14:paraId="2030FA97" w14:textId="0F72FFF1" w:rsidR="00BA65FA" w:rsidRDefault="00BA65FA" w:rsidP="00BA65FA">
      <w:pPr>
        <w:jc w:val="both"/>
        <w:rPr>
          <w:i/>
          <w:color w:val="0070C0"/>
          <w:lang w:val="en-GB"/>
        </w:rPr>
      </w:pPr>
    </w:p>
    <w:tbl>
      <w:tblPr>
        <w:tblW w:w="5000" w:type="pct"/>
        <w:jc w:val="center"/>
        <w:tblLayout w:type="fixed"/>
        <w:tblCellMar>
          <w:left w:w="115" w:type="dxa"/>
          <w:right w:w="115" w:type="dxa"/>
        </w:tblCellMar>
        <w:tblLook w:val="04A0" w:firstRow="1" w:lastRow="0" w:firstColumn="1" w:lastColumn="0" w:noHBand="0" w:noVBand="1"/>
      </w:tblPr>
      <w:tblGrid>
        <w:gridCol w:w="4593"/>
        <w:gridCol w:w="5467"/>
      </w:tblGrid>
      <w:tr w:rsidR="00046F85" w:rsidRPr="00046F85" w14:paraId="3AEA9FD8" w14:textId="57312672" w:rsidTr="00046F85">
        <w:trPr>
          <w:trHeight w:val="408"/>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14:paraId="71D95DA6" w14:textId="59AD8024" w:rsidR="00046F85" w:rsidRPr="00046F85" w:rsidRDefault="00046F85" w:rsidP="00FA7E12">
            <w:pPr>
              <w:spacing w:after="0" w:line="240" w:lineRule="auto"/>
              <w:jc w:val="center"/>
              <w:rPr>
                <w:rFonts w:ascii="Calibri" w:eastAsia="Times New Roman" w:hAnsi="Calibri" w:cs="Times New Roman"/>
                <w:b/>
                <w:bCs/>
                <w:lang w:val="en-GB" w:eastAsia="en-GB"/>
              </w:rPr>
            </w:pPr>
            <w:r>
              <w:rPr>
                <w:rFonts w:ascii="Calibri" w:eastAsia="Times New Roman" w:hAnsi="Calibri" w:cs="Times New Roman"/>
                <w:b/>
                <w:bCs/>
                <w:lang w:val="en-GB" w:eastAsia="en-GB"/>
              </w:rPr>
              <w:t>2020 ENERGY EFFICIENCY TARGET</w:t>
            </w:r>
          </w:p>
        </w:tc>
      </w:tr>
      <w:tr w:rsidR="00827F92" w:rsidRPr="00277F01" w14:paraId="45532DA7" w14:textId="02C6EDBE" w:rsidTr="00666537">
        <w:trPr>
          <w:trHeight w:val="412"/>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14:paraId="441E58D1" w14:textId="7F2580F4" w:rsidR="00827F92" w:rsidRPr="00666537" w:rsidRDefault="002A46DC" w:rsidP="00827F92">
            <w:pPr>
              <w:spacing w:after="0" w:line="240" w:lineRule="auto"/>
              <w:ind w:left="142"/>
              <w:rPr>
                <w:rFonts w:ascii="Calibri" w:eastAsia="Times New Roman" w:hAnsi="Calibri" w:cs="Times New Roman"/>
                <w:bCs/>
                <w:lang w:val="en-GB" w:eastAsia="en-GB"/>
              </w:rPr>
            </w:pPr>
            <w:r>
              <w:rPr>
                <w:rFonts w:ascii="Calibri" w:eastAsia="Times New Roman" w:hAnsi="Calibri" w:cs="Times New Roman"/>
                <w:bCs/>
                <w:lang w:val="en-GB" w:eastAsia="en-GB"/>
              </w:rPr>
              <w:t>2020</w:t>
            </w:r>
            <w:r w:rsidR="00827F92" w:rsidRPr="00666537">
              <w:rPr>
                <w:rFonts w:ascii="Calibri" w:eastAsia="Times New Roman" w:hAnsi="Calibri" w:cs="Times New Roman"/>
                <w:bCs/>
                <w:lang w:val="en-GB" w:eastAsia="en-GB"/>
              </w:rPr>
              <w:t xml:space="preserve"> TARGET EXPRESSED IN PEC</w:t>
            </w:r>
          </w:p>
          <w:p w14:paraId="5BB2A0C5" w14:textId="643E465D" w:rsidR="00827F92" w:rsidRPr="00666537" w:rsidRDefault="00827F92" w:rsidP="00827F92">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w:t>
            </w:r>
            <w:proofErr w:type="spellStart"/>
            <w:r w:rsidRPr="00666537">
              <w:rPr>
                <w:rFonts w:ascii="Calibri" w:eastAsia="Times New Roman" w:hAnsi="Calibri" w:cs="Times New Roman"/>
                <w:bCs/>
                <w:lang w:val="en-GB" w:eastAsia="en-GB"/>
              </w:rPr>
              <w:t>ktoe</w:t>
            </w:r>
            <w:proofErr w:type="spellEnd"/>
            <w:r w:rsidRPr="00666537">
              <w:rPr>
                <w:rFonts w:ascii="Calibri" w:eastAsia="Times New Roman" w:hAnsi="Calibri" w:cs="Times New Roman"/>
                <w:bCs/>
                <w:lang w:val="en-GB" w:eastAsia="en-GB"/>
              </w:rPr>
              <w:t xml:space="preserve"> or other unit]</w:t>
            </w:r>
          </w:p>
        </w:tc>
        <w:tc>
          <w:tcPr>
            <w:tcW w:w="2717" w:type="pct"/>
            <w:tcBorders>
              <w:top w:val="nil"/>
              <w:left w:val="nil"/>
              <w:bottom w:val="single" w:sz="4" w:space="0" w:color="auto"/>
              <w:right w:val="single" w:sz="8" w:space="0" w:color="auto"/>
            </w:tcBorders>
            <w:shd w:val="clear" w:color="auto" w:fill="auto"/>
            <w:noWrap/>
            <w:vAlign w:val="center"/>
            <w:hideMark/>
          </w:tcPr>
          <w:p w14:paraId="7EC777FD" w14:textId="7691A964" w:rsidR="00827F92" w:rsidRPr="00666537" w:rsidRDefault="00B94C65" w:rsidP="006C4256">
            <w:pPr>
              <w:spacing w:after="0" w:line="240" w:lineRule="auto"/>
              <w:jc w:val="center"/>
              <w:rPr>
                <w:rFonts w:eastAsia="Times New Roman" w:cstheme="minorHAnsi"/>
                <w:color w:val="000000"/>
                <w:lang w:val="en-GB" w:eastAsia="en-GB"/>
              </w:rPr>
            </w:pPr>
            <w:r w:rsidRPr="00B94C65">
              <w:rPr>
                <w:rFonts w:eastAsia="Times New Roman" w:cstheme="minorHAnsi"/>
                <w:color w:val="000000"/>
                <w:lang w:val="en-GB" w:eastAsia="en-GB"/>
              </w:rPr>
              <w:t xml:space="preserve">2847 </w:t>
            </w:r>
            <w:proofErr w:type="spellStart"/>
            <w:r w:rsidR="00BB167C">
              <w:rPr>
                <w:rFonts w:eastAsia="Times New Roman" w:cstheme="minorHAnsi"/>
                <w:color w:val="000000"/>
                <w:lang w:val="en-GB" w:eastAsia="en-GB"/>
              </w:rPr>
              <w:t>ktoe</w:t>
            </w:r>
            <w:proofErr w:type="spellEnd"/>
          </w:p>
        </w:tc>
      </w:tr>
      <w:tr w:rsidR="00827F92" w:rsidRPr="00277F01" w14:paraId="43C6F5C3" w14:textId="71BDC894"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hideMark/>
          </w:tcPr>
          <w:p w14:paraId="1E57B4CF" w14:textId="07434B8F" w:rsidR="00827F92" w:rsidRPr="00666537" w:rsidRDefault="002A46DC" w:rsidP="00827F92">
            <w:pPr>
              <w:spacing w:after="0" w:line="240" w:lineRule="auto"/>
              <w:ind w:left="142"/>
              <w:rPr>
                <w:rFonts w:ascii="Calibri" w:eastAsia="Times New Roman" w:hAnsi="Calibri" w:cs="Times New Roman"/>
                <w:bCs/>
                <w:lang w:val="en-GB" w:eastAsia="en-GB"/>
              </w:rPr>
            </w:pPr>
            <w:r>
              <w:rPr>
                <w:rFonts w:ascii="Calibri" w:eastAsia="Times New Roman" w:hAnsi="Calibri" w:cs="Times New Roman"/>
                <w:bCs/>
                <w:lang w:val="en-GB" w:eastAsia="en-GB"/>
              </w:rPr>
              <w:t>2020</w:t>
            </w:r>
            <w:r w:rsidR="00827F92" w:rsidRPr="00666537">
              <w:rPr>
                <w:rFonts w:ascii="Calibri" w:eastAsia="Times New Roman" w:hAnsi="Calibri" w:cs="Times New Roman"/>
                <w:bCs/>
                <w:lang w:val="en-GB" w:eastAsia="en-GB"/>
              </w:rPr>
              <w:t xml:space="preserve"> TARGET EXPRESSED IN FEC</w:t>
            </w:r>
          </w:p>
          <w:p w14:paraId="230B4C8A" w14:textId="25C0243F" w:rsidR="00827F92" w:rsidRPr="00666537" w:rsidRDefault="00827F92" w:rsidP="00827F92">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w:t>
            </w:r>
            <w:proofErr w:type="spellStart"/>
            <w:r w:rsidRPr="00666537">
              <w:rPr>
                <w:rFonts w:ascii="Calibri" w:eastAsia="Times New Roman" w:hAnsi="Calibri" w:cs="Times New Roman"/>
                <w:bCs/>
                <w:lang w:val="en-GB" w:eastAsia="en-GB"/>
              </w:rPr>
              <w:t>ktoe</w:t>
            </w:r>
            <w:proofErr w:type="spellEnd"/>
            <w:r w:rsidRPr="00666537">
              <w:rPr>
                <w:rFonts w:ascii="Calibri" w:eastAsia="Times New Roman" w:hAnsi="Calibri" w:cs="Times New Roman"/>
                <w:bCs/>
                <w:lang w:val="en-GB" w:eastAsia="en-GB"/>
              </w:rPr>
              <w:t xml:space="preserve"> or other unit]</w:t>
            </w:r>
          </w:p>
        </w:tc>
        <w:tc>
          <w:tcPr>
            <w:tcW w:w="2717" w:type="pct"/>
            <w:tcBorders>
              <w:top w:val="nil"/>
              <w:left w:val="nil"/>
              <w:bottom w:val="single" w:sz="4" w:space="0" w:color="auto"/>
              <w:right w:val="single" w:sz="8" w:space="0" w:color="auto"/>
            </w:tcBorders>
            <w:shd w:val="clear" w:color="auto" w:fill="auto"/>
            <w:noWrap/>
            <w:vAlign w:val="center"/>
            <w:hideMark/>
          </w:tcPr>
          <w:p w14:paraId="2A52C11B" w14:textId="29E9730F" w:rsidR="00827F92" w:rsidRPr="00666537" w:rsidRDefault="007C7C8F" w:rsidP="00B94C65">
            <w:pPr>
              <w:spacing w:after="0" w:line="240" w:lineRule="auto"/>
              <w:jc w:val="center"/>
              <w:rPr>
                <w:rFonts w:eastAsia="Times New Roman" w:cstheme="minorHAnsi"/>
                <w:color w:val="000000"/>
                <w:lang w:val="en-GB" w:eastAsia="en-GB"/>
              </w:rPr>
            </w:pPr>
            <w:r w:rsidRPr="00B94C65">
              <w:rPr>
                <w:rFonts w:eastAsia="Times New Roman" w:cstheme="minorHAnsi"/>
                <w:color w:val="000000"/>
                <w:lang w:val="en-GB" w:eastAsia="en-GB"/>
              </w:rPr>
              <w:t xml:space="preserve">1556 </w:t>
            </w:r>
            <w:proofErr w:type="spellStart"/>
            <w:r>
              <w:rPr>
                <w:rFonts w:eastAsia="Times New Roman" w:cstheme="minorHAnsi"/>
                <w:color w:val="000000"/>
                <w:lang w:val="en-GB" w:eastAsia="en-GB"/>
              </w:rPr>
              <w:t>ktoe</w:t>
            </w:r>
            <w:proofErr w:type="spellEnd"/>
          </w:p>
        </w:tc>
      </w:tr>
      <w:tr w:rsidR="00666537" w:rsidRPr="007C7C8F" w14:paraId="6905314A"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73585934" w14:textId="77777777" w:rsidR="00666537" w:rsidRPr="00666537" w:rsidRDefault="00666537" w:rsidP="00666537">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 xml:space="preserve">Has the target been revised compared to the previous notification? </w:t>
            </w:r>
          </w:p>
          <w:p w14:paraId="1398A328" w14:textId="1F632437" w:rsidR="00666537" w:rsidRPr="00666537" w:rsidRDefault="00666537" w:rsidP="00666537">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 xml:space="preserve">[Yes/No] </w:t>
            </w:r>
          </w:p>
        </w:tc>
        <w:tc>
          <w:tcPr>
            <w:tcW w:w="2717" w:type="pct"/>
            <w:tcBorders>
              <w:top w:val="nil"/>
              <w:left w:val="nil"/>
              <w:bottom w:val="single" w:sz="4" w:space="0" w:color="auto"/>
              <w:right w:val="single" w:sz="8" w:space="0" w:color="auto"/>
            </w:tcBorders>
            <w:shd w:val="clear" w:color="auto" w:fill="auto"/>
            <w:noWrap/>
            <w:vAlign w:val="center"/>
          </w:tcPr>
          <w:p w14:paraId="61B7F37F" w14:textId="14941960" w:rsidR="00666537" w:rsidRPr="00666537" w:rsidRDefault="00732600" w:rsidP="00666537">
            <w:pPr>
              <w:spacing w:after="0" w:line="240" w:lineRule="auto"/>
              <w:jc w:val="center"/>
              <w:rPr>
                <w:rFonts w:eastAsia="Times New Roman" w:cstheme="minorHAnsi"/>
                <w:color w:val="000000"/>
                <w:lang w:val="en-GB" w:eastAsia="en-GB"/>
              </w:rPr>
            </w:pPr>
            <w:r>
              <w:rPr>
                <w:rFonts w:eastAsia="Times New Roman" w:cstheme="minorHAnsi"/>
                <w:i/>
                <w:color w:val="000000"/>
                <w:lang w:val="en-GB" w:eastAsia="en-GB"/>
              </w:rPr>
              <w:t xml:space="preserve">The target for 2021 is not revised and was planned to be addressed in NECP 2021-2030.  </w:t>
            </w:r>
          </w:p>
        </w:tc>
      </w:tr>
      <w:tr w:rsidR="0038674C" w:rsidRPr="00666537" w14:paraId="64E24555"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38529731" w14:textId="77777777" w:rsidR="0038674C" w:rsidRDefault="00046F85" w:rsidP="00666537">
            <w:pPr>
              <w:spacing w:after="0" w:line="240" w:lineRule="auto"/>
              <w:ind w:left="142"/>
              <w:rPr>
                <w:rFonts w:ascii="Calibri" w:eastAsia="Times New Roman" w:hAnsi="Calibri" w:cs="Times New Roman"/>
                <w:bCs/>
                <w:lang w:val="en-GB" w:eastAsia="en-GB"/>
              </w:rPr>
            </w:pPr>
            <w:r w:rsidRPr="00046F85">
              <w:rPr>
                <w:rFonts w:ascii="Calibri" w:eastAsia="Times New Roman" w:hAnsi="Calibri" w:cs="Times New Roman"/>
                <w:bCs/>
                <w:lang w:val="en-GB" w:eastAsia="en-GB"/>
              </w:rPr>
              <w:t>Has the national target been achieved?</w:t>
            </w:r>
          </w:p>
          <w:p w14:paraId="7F4D8F49" w14:textId="1C12BB53" w:rsidR="00046F85" w:rsidRPr="00666537" w:rsidRDefault="00046F85" w:rsidP="00666537">
            <w:pPr>
              <w:spacing w:after="0" w:line="240" w:lineRule="auto"/>
              <w:ind w:left="142"/>
              <w:rPr>
                <w:rFonts w:ascii="Calibri" w:eastAsia="Times New Roman" w:hAnsi="Calibri" w:cs="Times New Roman"/>
                <w:bCs/>
                <w:lang w:val="en-GB" w:eastAsia="en-GB"/>
              </w:rPr>
            </w:pPr>
            <w:r w:rsidRPr="00046F85">
              <w:rPr>
                <w:rFonts w:ascii="Calibri" w:eastAsia="Times New Roman" w:hAnsi="Calibri" w:cs="Times New Roman"/>
                <w:bCs/>
                <w:lang w:val="en-GB" w:eastAsia="en-GB"/>
              </w:rPr>
              <w:t>[Yes/No]</w:t>
            </w:r>
          </w:p>
        </w:tc>
        <w:tc>
          <w:tcPr>
            <w:tcW w:w="2717" w:type="pct"/>
            <w:tcBorders>
              <w:top w:val="nil"/>
              <w:left w:val="nil"/>
              <w:bottom w:val="single" w:sz="4" w:space="0" w:color="auto"/>
              <w:right w:val="single" w:sz="8" w:space="0" w:color="auto"/>
            </w:tcBorders>
            <w:shd w:val="clear" w:color="auto" w:fill="auto"/>
            <w:noWrap/>
            <w:vAlign w:val="center"/>
          </w:tcPr>
          <w:p w14:paraId="5D7ECF44" w14:textId="527CCE72" w:rsidR="0038674C" w:rsidRPr="00666537" w:rsidRDefault="00B94C65" w:rsidP="00666537">
            <w:pPr>
              <w:spacing w:after="0" w:line="240" w:lineRule="auto"/>
              <w:jc w:val="center"/>
              <w:rPr>
                <w:rFonts w:eastAsia="Times New Roman" w:cstheme="minorHAnsi"/>
                <w:i/>
                <w:color w:val="000000"/>
                <w:lang w:val="en-GB" w:eastAsia="en-GB"/>
              </w:rPr>
            </w:pPr>
            <w:r>
              <w:rPr>
                <w:rFonts w:eastAsia="Times New Roman" w:cstheme="minorHAnsi"/>
                <w:i/>
                <w:color w:val="000000"/>
                <w:lang w:val="en-GB" w:eastAsia="en-GB"/>
              </w:rPr>
              <w:t>Yes</w:t>
            </w:r>
          </w:p>
        </w:tc>
      </w:tr>
      <w:tr w:rsidR="00046F85" w:rsidRPr="00277F01" w14:paraId="7C78B555"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69331A7A" w14:textId="10BE25D5" w:rsidR="00046F85" w:rsidRPr="00666537" w:rsidRDefault="00046F85" w:rsidP="00046F85">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PEC</w:t>
            </w:r>
            <w:r>
              <w:rPr>
                <w:rFonts w:ascii="Calibri" w:eastAsia="Times New Roman" w:hAnsi="Calibri" w:cs="Times New Roman"/>
                <w:bCs/>
                <w:lang w:val="en-GB" w:eastAsia="en-GB"/>
              </w:rPr>
              <w:t xml:space="preserve"> IN </w:t>
            </w:r>
            <w:r w:rsidR="00B94C65">
              <w:rPr>
                <w:rFonts w:ascii="Calibri" w:eastAsia="Times New Roman" w:hAnsi="Calibri" w:cs="Times New Roman"/>
                <w:bCs/>
                <w:lang w:val="en-GB" w:eastAsia="en-GB"/>
              </w:rPr>
              <w:t>2020</w:t>
            </w:r>
          </w:p>
          <w:p w14:paraId="135FEE9E" w14:textId="688BAD09" w:rsidR="00046F85" w:rsidRPr="00666537" w:rsidRDefault="00046F85" w:rsidP="00046F85">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w:t>
            </w:r>
            <w:proofErr w:type="spellStart"/>
            <w:r w:rsidRPr="00666537">
              <w:rPr>
                <w:rFonts w:ascii="Calibri" w:eastAsia="Times New Roman" w:hAnsi="Calibri" w:cs="Times New Roman"/>
                <w:bCs/>
                <w:lang w:val="en-GB" w:eastAsia="en-GB"/>
              </w:rPr>
              <w:t>ktoe</w:t>
            </w:r>
            <w:proofErr w:type="spellEnd"/>
            <w:r w:rsidRPr="00666537">
              <w:rPr>
                <w:rFonts w:ascii="Calibri" w:eastAsia="Times New Roman" w:hAnsi="Calibri" w:cs="Times New Roman"/>
                <w:bCs/>
                <w:lang w:val="en-GB" w:eastAsia="en-GB"/>
              </w:rPr>
              <w:t xml:space="preserve"> or other unit]</w:t>
            </w:r>
          </w:p>
        </w:tc>
        <w:tc>
          <w:tcPr>
            <w:tcW w:w="2717" w:type="pct"/>
            <w:tcBorders>
              <w:top w:val="nil"/>
              <w:left w:val="nil"/>
              <w:bottom w:val="single" w:sz="4" w:space="0" w:color="auto"/>
              <w:right w:val="single" w:sz="8" w:space="0" w:color="auto"/>
            </w:tcBorders>
            <w:shd w:val="clear" w:color="auto" w:fill="auto"/>
            <w:noWrap/>
            <w:vAlign w:val="center"/>
          </w:tcPr>
          <w:p w14:paraId="6251F033" w14:textId="79368773" w:rsidR="00046F85" w:rsidRPr="00CB4513" w:rsidRDefault="0039090F" w:rsidP="0039090F">
            <w:pPr>
              <w:spacing w:after="0" w:line="240" w:lineRule="auto"/>
              <w:jc w:val="center"/>
              <w:rPr>
                <w:rFonts w:eastAsia="Times New Roman" w:cstheme="minorHAnsi"/>
                <w:i/>
                <w:color w:val="000000"/>
                <w:lang w:val="en-GB" w:eastAsia="en-GB"/>
              </w:rPr>
            </w:pPr>
            <w:r>
              <w:rPr>
                <w:rFonts w:eastAsia="Times New Roman" w:cstheme="minorHAnsi"/>
                <w:i/>
                <w:color w:val="000000"/>
                <w:lang w:val="en-GB" w:eastAsia="en-GB"/>
              </w:rPr>
              <w:t xml:space="preserve">2734 </w:t>
            </w:r>
            <w:proofErr w:type="spellStart"/>
            <w:r w:rsidR="000631CF" w:rsidRPr="00CB4513">
              <w:rPr>
                <w:rFonts w:eastAsia="Times New Roman" w:cstheme="minorHAnsi"/>
                <w:i/>
                <w:color w:val="000000"/>
                <w:lang w:val="en-GB" w:eastAsia="en-GB"/>
              </w:rPr>
              <w:t>ktoe</w:t>
            </w:r>
            <w:proofErr w:type="spellEnd"/>
          </w:p>
        </w:tc>
      </w:tr>
      <w:tr w:rsidR="00046F85" w:rsidRPr="00277F01" w14:paraId="0830A158"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517A0FA1" w14:textId="2292FF80" w:rsidR="00046F85" w:rsidRPr="00666537" w:rsidRDefault="00046F85" w:rsidP="00046F85">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FEC</w:t>
            </w:r>
            <w:r>
              <w:rPr>
                <w:rFonts w:ascii="Calibri" w:eastAsia="Times New Roman" w:hAnsi="Calibri" w:cs="Times New Roman"/>
                <w:bCs/>
                <w:lang w:val="en-GB" w:eastAsia="en-GB"/>
              </w:rPr>
              <w:t xml:space="preserve"> IN </w:t>
            </w:r>
            <w:r w:rsidR="00B94C65">
              <w:rPr>
                <w:rFonts w:ascii="Calibri" w:eastAsia="Times New Roman" w:hAnsi="Calibri" w:cs="Times New Roman"/>
                <w:bCs/>
                <w:lang w:val="en-GB" w:eastAsia="en-GB"/>
              </w:rPr>
              <w:t>2020</w:t>
            </w:r>
          </w:p>
          <w:p w14:paraId="1706BB1D" w14:textId="52B679C4" w:rsidR="00046F85" w:rsidRPr="00666537" w:rsidRDefault="00046F85" w:rsidP="00046F85">
            <w:pPr>
              <w:spacing w:after="0" w:line="240" w:lineRule="auto"/>
              <w:ind w:left="142"/>
              <w:rPr>
                <w:rFonts w:ascii="Calibri" w:eastAsia="Times New Roman" w:hAnsi="Calibri" w:cs="Times New Roman"/>
                <w:bCs/>
                <w:lang w:val="en-GB" w:eastAsia="en-GB"/>
              </w:rPr>
            </w:pPr>
            <w:r w:rsidRPr="00666537">
              <w:rPr>
                <w:rFonts w:ascii="Calibri" w:eastAsia="Times New Roman" w:hAnsi="Calibri" w:cs="Times New Roman"/>
                <w:bCs/>
                <w:lang w:val="en-GB" w:eastAsia="en-GB"/>
              </w:rPr>
              <w:t>[</w:t>
            </w:r>
            <w:proofErr w:type="spellStart"/>
            <w:r w:rsidRPr="00666537">
              <w:rPr>
                <w:rFonts w:ascii="Calibri" w:eastAsia="Times New Roman" w:hAnsi="Calibri" w:cs="Times New Roman"/>
                <w:bCs/>
                <w:lang w:val="en-GB" w:eastAsia="en-GB"/>
              </w:rPr>
              <w:t>ktoe</w:t>
            </w:r>
            <w:proofErr w:type="spellEnd"/>
            <w:r w:rsidRPr="00666537">
              <w:rPr>
                <w:rFonts w:ascii="Calibri" w:eastAsia="Times New Roman" w:hAnsi="Calibri" w:cs="Times New Roman"/>
                <w:bCs/>
                <w:lang w:val="en-GB" w:eastAsia="en-GB"/>
              </w:rPr>
              <w:t xml:space="preserve"> or other unit]</w:t>
            </w:r>
          </w:p>
        </w:tc>
        <w:tc>
          <w:tcPr>
            <w:tcW w:w="2717" w:type="pct"/>
            <w:tcBorders>
              <w:top w:val="nil"/>
              <w:left w:val="nil"/>
              <w:bottom w:val="single" w:sz="4" w:space="0" w:color="auto"/>
              <w:right w:val="single" w:sz="8" w:space="0" w:color="auto"/>
            </w:tcBorders>
            <w:shd w:val="clear" w:color="auto" w:fill="auto"/>
            <w:noWrap/>
            <w:vAlign w:val="center"/>
          </w:tcPr>
          <w:p w14:paraId="7844F324" w14:textId="3369ED50" w:rsidR="00046F85" w:rsidRPr="00CB4513" w:rsidRDefault="007C7C8F" w:rsidP="0039090F">
            <w:pPr>
              <w:spacing w:after="0" w:line="240" w:lineRule="auto"/>
              <w:jc w:val="center"/>
              <w:rPr>
                <w:rFonts w:eastAsia="Times New Roman" w:cstheme="minorHAnsi"/>
                <w:i/>
                <w:color w:val="000000"/>
                <w:lang w:val="en-GB" w:eastAsia="en-GB"/>
              </w:rPr>
            </w:pPr>
            <w:r>
              <w:rPr>
                <w:rFonts w:eastAsia="Times New Roman" w:cstheme="minorHAnsi"/>
                <w:i/>
                <w:color w:val="000000"/>
                <w:lang w:val="en-GB" w:eastAsia="en-GB"/>
              </w:rPr>
              <w:t xml:space="preserve">1543 </w:t>
            </w:r>
            <w:proofErr w:type="spellStart"/>
            <w:r>
              <w:rPr>
                <w:rFonts w:eastAsia="Times New Roman" w:cstheme="minorHAnsi"/>
                <w:i/>
                <w:color w:val="000000"/>
                <w:lang w:val="en-GB" w:eastAsia="en-GB"/>
              </w:rPr>
              <w:t>ktoe</w:t>
            </w:r>
            <w:proofErr w:type="spellEnd"/>
          </w:p>
        </w:tc>
      </w:tr>
      <w:tr w:rsidR="00666537" w:rsidRPr="007C7C8F" w14:paraId="14CC6E82" w14:textId="77777777" w:rsidTr="00666537">
        <w:trPr>
          <w:trHeight w:val="458"/>
          <w:jc w:val="center"/>
        </w:trPr>
        <w:tc>
          <w:tcPr>
            <w:tcW w:w="2283" w:type="pct"/>
            <w:tcBorders>
              <w:top w:val="nil"/>
              <w:left w:val="single" w:sz="8" w:space="0" w:color="auto"/>
              <w:bottom w:val="single" w:sz="4" w:space="0" w:color="auto"/>
              <w:right w:val="single" w:sz="8" w:space="0" w:color="auto"/>
            </w:tcBorders>
            <w:shd w:val="clear" w:color="auto" w:fill="8DB3E2" w:themeFill="text2" w:themeFillTint="66"/>
            <w:noWrap/>
            <w:vAlign w:val="center"/>
          </w:tcPr>
          <w:p w14:paraId="3C3C2208" w14:textId="4C1961B5" w:rsidR="00666537" w:rsidRPr="00666537" w:rsidRDefault="00046F85" w:rsidP="00046F85">
            <w:pPr>
              <w:spacing w:after="0" w:line="240" w:lineRule="auto"/>
              <w:ind w:left="142"/>
              <w:rPr>
                <w:rFonts w:ascii="Calibri" w:eastAsia="Times New Roman" w:hAnsi="Calibri" w:cs="Times New Roman"/>
                <w:b/>
                <w:bCs/>
                <w:lang w:val="en-GB" w:eastAsia="en-GB"/>
              </w:rPr>
            </w:pPr>
            <w:r w:rsidRPr="00046F85">
              <w:rPr>
                <w:rFonts w:ascii="Calibri" w:eastAsia="Times New Roman" w:hAnsi="Calibri" w:cs="Times New Roman"/>
                <w:bCs/>
                <w:lang w:val="en-GB" w:eastAsia="en-GB"/>
              </w:rPr>
              <w:t>Please explain main factors affecting achievement/ non-achievement of the target</w:t>
            </w:r>
          </w:p>
        </w:tc>
        <w:tc>
          <w:tcPr>
            <w:tcW w:w="2717" w:type="pct"/>
            <w:tcBorders>
              <w:top w:val="nil"/>
              <w:left w:val="nil"/>
              <w:bottom w:val="single" w:sz="4" w:space="0" w:color="auto"/>
              <w:right w:val="single" w:sz="8" w:space="0" w:color="auto"/>
            </w:tcBorders>
            <w:shd w:val="clear" w:color="auto" w:fill="auto"/>
            <w:noWrap/>
            <w:vAlign w:val="center"/>
          </w:tcPr>
          <w:p w14:paraId="69F27055" w14:textId="58E05E29" w:rsidR="00666537" w:rsidRPr="00666537" w:rsidRDefault="00B61BFB" w:rsidP="00666537">
            <w:pPr>
              <w:spacing w:after="0" w:line="240" w:lineRule="auto"/>
              <w:jc w:val="center"/>
              <w:rPr>
                <w:rFonts w:eastAsia="Times New Roman" w:cstheme="minorHAnsi"/>
                <w:color w:val="000000"/>
                <w:lang w:val="en-GB" w:eastAsia="en-GB"/>
              </w:rPr>
            </w:pPr>
            <w:r>
              <w:rPr>
                <w:rFonts w:eastAsia="Times New Roman" w:cstheme="minorHAnsi"/>
                <w:color w:val="000000"/>
                <w:lang w:val="en-GB" w:eastAsia="en-GB"/>
              </w:rPr>
              <w:t>Due to the lack of investment and economic crises (pandemic situation covid-19) there is not to compare achieved target as there was not target set for 2021. For this reporting period the approximate annual energy savings for a period 2019 and 2020 was 10.21ktoe. The same trajectory is taken for year 2021.</w:t>
            </w:r>
          </w:p>
        </w:tc>
      </w:tr>
    </w:tbl>
    <w:p w14:paraId="2A538B91" w14:textId="5B42451D" w:rsidR="000A3E46" w:rsidRPr="009309D2" w:rsidRDefault="00AF16A5" w:rsidP="00F576C2">
      <w:pPr>
        <w:pStyle w:val="Heading1"/>
      </w:pPr>
      <w:r>
        <w:t>Updates on major energy efficiency m</w:t>
      </w:r>
      <w:r w:rsidR="000A3E46" w:rsidRPr="009309D2">
        <w:t xml:space="preserve">easures </w:t>
      </w:r>
    </w:p>
    <w:p w14:paraId="1EBBFA46" w14:textId="61FC6D7B" w:rsidR="008B074D" w:rsidRDefault="005F57F0" w:rsidP="008B074D">
      <w:pPr>
        <w:spacing w:after="0" w:line="240" w:lineRule="auto"/>
        <w:jc w:val="both"/>
        <w:rPr>
          <w:rFonts w:cstheme="minorHAnsi"/>
          <w:lang w:val="en-US"/>
        </w:rPr>
      </w:pPr>
      <w:r>
        <w:rPr>
          <w:rFonts w:cstheme="minorHAnsi"/>
          <w:lang w:val="en-US"/>
        </w:rPr>
        <w:t xml:space="preserve">During 2021 the implementation of energy efficiency measure has been stagnating due to the COVID restriction and reduced construction activities.  Most of the projects planned to be implemented are postponed for 2022 as result of </w:t>
      </w:r>
      <w:proofErr w:type="spellStart"/>
      <w:r>
        <w:rPr>
          <w:rFonts w:cstheme="minorHAnsi"/>
          <w:lang w:val="en-US"/>
        </w:rPr>
        <w:t>covid</w:t>
      </w:r>
      <w:proofErr w:type="spellEnd"/>
      <w:r>
        <w:rPr>
          <w:rFonts w:cstheme="minorHAnsi"/>
          <w:lang w:val="en-US"/>
        </w:rPr>
        <w:t xml:space="preserve"> restrictions. Energy efficiency Fund has started the procedures for implementation of EE in public buildings. More </w:t>
      </w:r>
      <w:r w:rsidRPr="00CB4513">
        <w:rPr>
          <w:rFonts w:cstheme="minorHAnsi"/>
          <w:lang w:val="en-US"/>
        </w:rPr>
        <w:t>th</w:t>
      </w:r>
      <w:r w:rsidR="00B3759F" w:rsidRPr="00CB4513">
        <w:rPr>
          <w:rFonts w:cstheme="minorHAnsi"/>
          <w:lang w:val="en-US"/>
        </w:rPr>
        <w:t>an 7</w:t>
      </w:r>
      <w:r w:rsidR="00211444" w:rsidRPr="00CB4513">
        <w:rPr>
          <w:rFonts w:cstheme="minorHAnsi"/>
          <w:lang w:val="en-US"/>
        </w:rPr>
        <w:t>7</w:t>
      </w:r>
      <w:r w:rsidR="00B3759F" w:rsidRPr="00CB4513">
        <w:rPr>
          <w:rFonts w:cstheme="minorHAnsi"/>
          <w:lang w:val="en-US"/>
        </w:rPr>
        <w:t xml:space="preserve"> public</w:t>
      </w:r>
      <w:r w:rsidR="00B3759F">
        <w:rPr>
          <w:rFonts w:cstheme="minorHAnsi"/>
          <w:lang w:val="en-US"/>
        </w:rPr>
        <w:t xml:space="preserve"> buildings on Municipal </w:t>
      </w:r>
      <w:r w:rsidR="00CB4513">
        <w:rPr>
          <w:rFonts w:cstheme="minorHAnsi"/>
          <w:lang w:val="en-US"/>
        </w:rPr>
        <w:t>level has</w:t>
      </w:r>
      <w:r w:rsidR="00B3759F">
        <w:rPr>
          <w:rFonts w:cstheme="minorHAnsi"/>
          <w:lang w:val="en-US"/>
        </w:rPr>
        <w:t xml:space="preserve"> been energy audited and detail design for implementation is completed up to date. </w:t>
      </w:r>
      <w:r>
        <w:rPr>
          <w:rFonts w:cstheme="minorHAnsi"/>
          <w:lang w:val="en-US"/>
        </w:rPr>
        <w:t xml:space="preserve"> </w:t>
      </w:r>
    </w:p>
    <w:p w14:paraId="21C06A6F" w14:textId="77777777" w:rsidR="000A3E46" w:rsidRPr="002126A1" w:rsidRDefault="000A3E46" w:rsidP="00F576C2">
      <w:pPr>
        <w:pStyle w:val="Heading2"/>
        <w:numPr>
          <w:ilvl w:val="0"/>
          <w:numId w:val="4"/>
        </w:numPr>
        <w:spacing w:after="120"/>
        <w:ind w:left="714" w:hanging="357"/>
        <w:rPr>
          <w:b w:val="0"/>
          <w:bCs w:val="0"/>
          <w:color w:val="auto"/>
          <w:sz w:val="22"/>
          <w:szCs w:val="22"/>
          <w:lang w:val="en-GB"/>
        </w:rPr>
      </w:pPr>
      <w:r w:rsidRPr="002126A1">
        <w:rPr>
          <w:b w:val="0"/>
          <w:bCs w:val="0"/>
          <w:color w:val="auto"/>
          <w:sz w:val="22"/>
          <w:szCs w:val="22"/>
          <w:lang w:val="en-GB"/>
        </w:rPr>
        <w:t>Legislative measures</w:t>
      </w:r>
    </w:p>
    <w:p w14:paraId="7600051E" w14:textId="77777777" w:rsidR="00193F14" w:rsidRPr="00193F14" w:rsidRDefault="00193F14" w:rsidP="00193F14">
      <w:pPr>
        <w:pStyle w:val="ListParagraph"/>
        <w:numPr>
          <w:ilvl w:val="0"/>
          <w:numId w:val="4"/>
        </w:numPr>
        <w:jc w:val="both"/>
        <w:rPr>
          <w:iCs/>
          <w:lang w:val="en-GB"/>
        </w:rPr>
      </w:pPr>
      <w:r w:rsidRPr="00193F14">
        <w:rPr>
          <w:iCs/>
          <w:lang w:val="en-GB"/>
        </w:rPr>
        <w:t xml:space="preserve">The list of new primary legislation (energy or energy efficiency law updates) and other acts (Rulebooks, Ordinances, </w:t>
      </w:r>
      <w:proofErr w:type="gramStart"/>
      <w:r w:rsidRPr="00193F14">
        <w:rPr>
          <w:iCs/>
          <w:lang w:val="en-GB"/>
        </w:rPr>
        <w:t>Guidelines</w:t>
      </w:r>
      <w:proofErr w:type="gramEnd"/>
      <w:r w:rsidRPr="00193F14">
        <w:rPr>
          <w:iCs/>
          <w:lang w:val="en-GB"/>
        </w:rPr>
        <w:t>) is listed in below table.</w:t>
      </w:r>
    </w:p>
    <w:p w14:paraId="10F7D78D" w14:textId="5959BFD1" w:rsidR="00B3759F" w:rsidRDefault="00B3759F" w:rsidP="000A3E46">
      <w:pPr>
        <w:jc w:val="both"/>
        <w:rPr>
          <w:iCs/>
          <w:lang w:val="en-GB"/>
        </w:rPr>
      </w:pPr>
      <w:r>
        <w:rPr>
          <w:iCs/>
          <w:lang w:val="en-GB"/>
        </w:rPr>
        <w:t xml:space="preserve">During this reporting period the following legal and regulatory acts are adopted and enforced; </w:t>
      </w:r>
    </w:p>
    <w:tbl>
      <w:tblPr>
        <w:tblW w:w="5000" w:type="pct"/>
        <w:jc w:val="center"/>
        <w:tblLayout w:type="fixed"/>
        <w:tblCellMar>
          <w:left w:w="115" w:type="dxa"/>
          <w:right w:w="115" w:type="dxa"/>
        </w:tblCellMar>
        <w:tblLook w:val="04A0" w:firstRow="1" w:lastRow="0" w:firstColumn="1" w:lastColumn="0" w:noHBand="0" w:noVBand="1"/>
      </w:tblPr>
      <w:tblGrid>
        <w:gridCol w:w="5035"/>
        <w:gridCol w:w="5035"/>
      </w:tblGrid>
      <w:tr w:rsidR="008631BE" w:rsidRPr="000B3BAC" w14:paraId="10E18AFF" w14:textId="77777777" w:rsidTr="008631BE">
        <w:trPr>
          <w:trHeight w:val="412"/>
          <w:jc w:val="center"/>
        </w:trPr>
        <w:tc>
          <w:tcPr>
            <w:tcW w:w="250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2819361" w14:textId="61D3DE33" w:rsidR="008631BE" w:rsidRPr="00BD3BB0" w:rsidRDefault="008631BE" w:rsidP="00BD3BB0">
            <w:pPr>
              <w:spacing w:after="0" w:line="240" w:lineRule="auto"/>
              <w:ind w:left="142"/>
              <w:jc w:val="center"/>
              <w:rPr>
                <w:rFonts w:ascii="Calibri" w:eastAsia="Times New Roman" w:hAnsi="Calibri" w:cs="Times New Roman"/>
                <w:bCs/>
                <w:sz w:val="20"/>
                <w:szCs w:val="20"/>
                <w:lang w:val="en-GB" w:eastAsia="en-GB"/>
              </w:rPr>
            </w:pPr>
            <w:r w:rsidRPr="00BD3BB0">
              <w:rPr>
                <w:rFonts w:ascii="Calibri" w:eastAsia="Times New Roman" w:hAnsi="Calibri" w:cs="Times New Roman"/>
                <w:bCs/>
                <w:sz w:val="20"/>
                <w:szCs w:val="20"/>
                <w:lang w:val="en-GB" w:eastAsia="en-GB"/>
              </w:rPr>
              <w:t>LEGISLATIVE MEASURE</w:t>
            </w:r>
          </w:p>
        </w:tc>
        <w:tc>
          <w:tcPr>
            <w:tcW w:w="250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7FFFBC23" w14:textId="2AC41AF3" w:rsidR="008631BE" w:rsidRPr="00BD3BB0" w:rsidRDefault="008631BE" w:rsidP="00BD3BB0">
            <w:pPr>
              <w:spacing w:after="0" w:line="240" w:lineRule="auto"/>
              <w:jc w:val="center"/>
              <w:rPr>
                <w:rFonts w:eastAsia="Times New Roman" w:cstheme="minorHAnsi"/>
                <w:color w:val="000000"/>
                <w:sz w:val="20"/>
                <w:szCs w:val="20"/>
                <w:lang w:val="en-GB" w:eastAsia="en-GB"/>
              </w:rPr>
            </w:pPr>
            <w:r w:rsidRPr="00BD3BB0">
              <w:rPr>
                <w:rFonts w:eastAsia="Times New Roman" w:cstheme="minorHAnsi"/>
                <w:color w:val="000000"/>
                <w:sz w:val="20"/>
                <w:szCs w:val="20"/>
                <w:lang w:val="en-GB" w:eastAsia="en-GB"/>
              </w:rPr>
              <w:t>PUBLICATION DATE / SOURCE</w:t>
            </w:r>
          </w:p>
        </w:tc>
      </w:tr>
      <w:tr w:rsidR="00B3759F" w:rsidRPr="007C7C8F" w14:paraId="08DC1CED" w14:textId="77777777" w:rsidTr="00B3759F">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158847" w14:textId="6BE47A0F" w:rsidR="00B3759F" w:rsidRPr="00BD3BB0" w:rsidRDefault="00B3759F" w:rsidP="00B3759F">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Administrative instruction (ME) NO. 01/2021 on Energy Efficiency requirements for transmission system operator and distributor system operator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19DA64" w14:textId="372B9224" w:rsidR="00B3759F" w:rsidRPr="00BD3BB0" w:rsidRDefault="00F8521D" w:rsidP="00B3759F">
            <w:pPr>
              <w:spacing w:after="0" w:line="240" w:lineRule="auto"/>
              <w:rPr>
                <w:rFonts w:eastAsia="Times New Roman" w:cstheme="minorHAnsi"/>
                <w:color w:val="000000"/>
                <w:sz w:val="18"/>
                <w:szCs w:val="18"/>
                <w:lang w:val="en-GB" w:eastAsia="en-GB"/>
              </w:rPr>
            </w:pPr>
            <w:hyperlink r:id="rId11" w:history="1">
              <w:r w:rsidR="00B3759F" w:rsidRPr="0070321E">
                <w:rPr>
                  <w:rStyle w:val="Hyperlink"/>
                  <w:rFonts w:eastAsia="Times New Roman" w:cstheme="minorHAnsi"/>
                  <w:i/>
                  <w:sz w:val="18"/>
                  <w:szCs w:val="18"/>
                  <w:lang w:val="en-GB" w:eastAsia="en-GB"/>
                </w:rPr>
                <w:t>https://me.rks-gov.net/repository/docs/UDHeZIM_ADMINISTRATIV_(ME)_NR._01_2021_PeR_KeRKESAT_E_EFI%C3%87IENCeS_Se_ENERGJISe_PeR_OPERATORIN_E_SISTEMIT_Te_TRANSMETIMIT_DHE_OPERATORIN_E_SISTEMIT_Te_S___.pdf</w:t>
              </w:r>
            </w:hyperlink>
            <w:r w:rsidR="00B3759F">
              <w:rPr>
                <w:rFonts w:eastAsia="Times New Roman" w:cstheme="minorHAnsi"/>
                <w:i/>
                <w:color w:val="000000"/>
                <w:sz w:val="18"/>
                <w:szCs w:val="18"/>
                <w:lang w:val="en-GB" w:eastAsia="en-GB"/>
              </w:rPr>
              <w:t xml:space="preserve"> </w:t>
            </w:r>
          </w:p>
        </w:tc>
      </w:tr>
      <w:tr w:rsidR="00B3759F" w:rsidRPr="007C7C8F" w14:paraId="0B992CF6"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ADF37" w14:textId="10CCA16B" w:rsidR="00B3759F" w:rsidRDefault="00B3759F" w:rsidP="00B3759F">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lastRenderedPageBreak/>
              <w:t xml:space="preserve">Administrative instruction (ME) NO. 02/2021 on Energy Efficiency criteria for Energy network regulation and for electricity network tariffs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22383" w14:textId="15593DC5" w:rsidR="00B3759F" w:rsidRPr="00976830" w:rsidRDefault="00F8521D" w:rsidP="00B3759F">
            <w:pPr>
              <w:spacing w:after="0" w:line="240" w:lineRule="auto"/>
              <w:rPr>
                <w:sz w:val="16"/>
                <w:szCs w:val="16"/>
                <w:lang w:val="en-GB"/>
              </w:rPr>
            </w:pPr>
            <w:hyperlink r:id="rId12" w:history="1">
              <w:r w:rsidR="00B3759F" w:rsidRPr="009D7414">
                <w:rPr>
                  <w:rStyle w:val="Hyperlink"/>
                  <w:rFonts w:eastAsia="Times New Roman" w:cstheme="minorHAnsi"/>
                  <w:i/>
                  <w:sz w:val="16"/>
                  <w:szCs w:val="16"/>
                  <w:lang w:val="en-GB" w:eastAsia="en-GB"/>
                </w:rPr>
                <w:t>https://me.rks-gov.net/repository/docs/2_UDHEZIM_ADMINISTRATIV_(ME)_NR.02_2021_PER_KRITERET_E_EFI%C3%87IENCES_SE_ENERGJISE_PER_RREGULLIMIN_E_RRJETIT_TE_ENERGJISE_DHE_PER_TARIFAT_E_RRJETIT_TE_ENERG___.pdf</w:t>
              </w:r>
            </w:hyperlink>
            <w:r w:rsidR="00B3759F" w:rsidRPr="009D7414">
              <w:rPr>
                <w:rFonts w:eastAsia="Times New Roman" w:cstheme="minorHAnsi"/>
                <w:i/>
                <w:color w:val="000000"/>
                <w:sz w:val="16"/>
                <w:szCs w:val="16"/>
                <w:lang w:val="en-GB" w:eastAsia="en-GB"/>
              </w:rPr>
              <w:t xml:space="preserve"> </w:t>
            </w:r>
          </w:p>
        </w:tc>
      </w:tr>
      <w:tr w:rsidR="00E6431D" w:rsidRPr="007C7C8F" w14:paraId="322F0FD5"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44959" w14:textId="25AC2789" w:rsidR="00E6431D" w:rsidRPr="00BD3BB0" w:rsidRDefault="00E6431D" w:rsidP="00E6431D">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Administrative instruction (ME) NO. 04/2021 for amending and supplementing the administrative instruction (MED) no03/2019 on Energy content of selected fuels for end use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DEC4C2" w14:textId="58756665" w:rsidR="00E6431D" w:rsidRPr="009D7414" w:rsidRDefault="00F8521D" w:rsidP="00E6431D">
            <w:pPr>
              <w:spacing w:after="0" w:line="240" w:lineRule="auto"/>
              <w:rPr>
                <w:rFonts w:eastAsia="Times New Roman" w:cstheme="minorHAnsi"/>
                <w:color w:val="000000"/>
                <w:sz w:val="16"/>
                <w:szCs w:val="16"/>
                <w:lang w:val="en-GB" w:eastAsia="en-GB"/>
              </w:rPr>
            </w:pPr>
            <w:hyperlink r:id="rId13" w:history="1">
              <w:r w:rsidR="00E6431D" w:rsidRPr="009D7414">
                <w:rPr>
                  <w:rStyle w:val="Hyperlink"/>
                  <w:rFonts w:eastAsia="Times New Roman" w:cstheme="minorHAnsi"/>
                  <w:i/>
                  <w:sz w:val="16"/>
                  <w:szCs w:val="16"/>
                  <w:lang w:val="en-GB" w:eastAsia="en-GB"/>
                </w:rPr>
                <w:t>https://me.rks-gov.net/repository/docs/3_UDHEZIM_ADMINISTRATIV_(ME)_NR.04_2021_PER_NDRYSHIMIN_DHE_PLOTESIMIN_E_UDHEZIMIT_ADMINISTRATIV__(MZHE)_NR._03_2019_PER_PERMBAJTJEN_ENERGJISE_SE_LENDEVE___.pdf</w:t>
              </w:r>
            </w:hyperlink>
            <w:r w:rsidR="00E6431D" w:rsidRPr="009D7414">
              <w:rPr>
                <w:rFonts w:eastAsia="Times New Roman" w:cstheme="minorHAnsi"/>
                <w:i/>
                <w:color w:val="000000"/>
                <w:sz w:val="16"/>
                <w:szCs w:val="16"/>
                <w:lang w:val="en-GB" w:eastAsia="en-GB"/>
              </w:rPr>
              <w:t xml:space="preserve"> </w:t>
            </w:r>
          </w:p>
        </w:tc>
      </w:tr>
      <w:tr w:rsidR="00E6431D" w:rsidRPr="007C7C8F" w14:paraId="273532A6"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CB986" w14:textId="1594D1BE" w:rsidR="00E6431D" w:rsidRPr="00BD3BB0" w:rsidRDefault="00E6431D" w:rsidP="00E6431D">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Administrative instruction (ME) NO. 05/2021 on the general reporting framework Energy Efficiency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863893" w14:textId="093F10D0" w:rsidR="00E6431D" w:rsidRPr="009D7414" w:rsidRDefault="00F8521D" w:rsidP="00E6431D">
            <w:pPr>
              <w:spacing w:after="0" w:line="240" w:lineRule="auto"/>
              <w:rPr>
                <w:rFonts w:eastAsia="Times New Roman" w:cstheme="minorHAnsi"/>
                <w:i/>
                <w:color w:val="000000"/>
                <w:sz w:val="16"/>
                <w:szCs w:val="16"/>
                <w:lang w:val="en-GB" w:eastAsia="en-GB"/>
              </w:rPr>
            </w:pPr>
            <w:hyperlink r:id="rId14" w:history="1">
              <w:r w:rsidR="00E6431D" w:rsidRPr="009D7414">
                <w:rPr>
                  <w:rStyle w:val="Hyperlink"/>
                  <w:rFonts w:eastAsia="Times New Roman" w:cstheme="minorHAnsi"/>
                  <w:sz w:val="16"/>
                  <w:szCs w:val="16"/>
                  <w:lang w:val="en-GB" w:eastAsia="en-GB"/>
                </w:rPr>
                <w:t>https://me.rks-gov.net/repository/docs/4_UDHEZIM_ADMINISTRATIV_(ME)_Nr.05_2021_PER_KORNIZEN_E_PERGJITHSHME_TE_RAPORTIMIT_PER_EFI%C3%87IENCE_TE_ENERGJISE.pdf</w:t>
              </w:r>
            </w:hyperlink>
            <w:r w:rsidR="00E6431D" w:rsidRPr="009D7414">
              <w:rPr>
                <w:rFonts w:eastAsia="Times New Roman" w:cstheme="minorHAnsi"/>
                <w:color w:val="000000"/>
                <w:sz w:val="16"/>
                <w:szCs w:val="16"/>
                <w:lang w:val="en-GB" w:eastAsia="en-GB"/>
              </w:rPr>
              <w:t xml:space="preserve"> </w:t>
            </w:r>
          </w:p>
        </w:tc>
      </w:tr>
      <w:tr w:rsidR="00E6431D" w:rsidRPr="007C7C8F" w14:paraId="5C45F3D8"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EEDE2C" w14:textId="239FBDE8" w:rsidR="00E6431D" w:rsidRPr="00BD3BB0" w:rsidRDefault="00E6431D" w:rsidP="00E6431D">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Administrative Instruction (ME) NO. 06/2021 on Energy services (ESCO)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E37F8" w14:textId="424523E7" w:rsidR="00E6431D" w:rsidRPr="009D7414" w:rsidRDefault="00F8521D" w:rsidP="00E6431D">
            <w:pPr>
              <w:spacing w:after="0" w:line="240" w:lineRule="auto"/>
              <w:rPr>
                <w:rFonts w:eastAsia="Times New Roman" w:cstheme="minorHAnsi"/>
                <w:i/>
                <w:color w:val="000000"/>
                <w:sz w:val="16"/>
                <w:szCs w:val="16"/>
                <w:lang w:val="en-GB" w:eastAsia="en-GB"/>
              </w:rPr>
            </w:pPr>
            <w:hyperlink r:id="rId15" w:history="1">
              <w:r w:rsidR="00E6431D" w:rsidRPr="009D7414">
                <w:rPr>
                  <w:rStyle w:val="Hyperlink"/>
                  <w:rFonts w:eastAsia="Times New Roman" w:cstheme="minorHAnsi"/>
                  <w:sz w:val="16"/>
                  <w:szCs w:val="16"/>
                  <w:lang w:val="en-GB" w:eastAsia="en-GB"/>
                </w:rPr>
                <w:t>https://me.rks-gov.net/repository/docs/5_UDHEZIM_ADMINISTRATIV_(ME)_NR.06_2021_PER_SHERBIMET_E_ENERGJISE_(ESCO).pdf</w:t>
              </w:r>
            </w:hyperlink>
            <w:r w:rsidR="00E6431D" w:rsidRPr="009D7414">
              <w:rPr>
                <w:rFonts w:eastAsia="Times New Roman" w:cstheme="minorHAnsi"/>
                <w:color w:val="000000"/>
                <w:sz w:val="16"/>
                <w:szCs w:val="16"/>
                <w:lang w:val="en-GB" w:eastAsia="en-GB"/>
              </w:rPr>
              <w:t xml:space="preserve"> </w:t>
            </w:r>
          </w:p>
        </w:tc>
      </w:tr>
      <w:tr w:rsidR="00E6431D" w:rsidRPr="007C7C8F" w14:paraId="4136FA3E"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78DED" w14:textId="661DC38A" w:rsidR="00E6431D" w:rsidRPr="00BD3BB0" w:rsidRDefault="00E6431D" w:rsidP="00E6431D">
            <w:pPr>
              <w:spacing w:after="0" w:line="240" w:lineRule="auto"/>
              <w:ind w:left="142"/>
              <w:rPr>
                <w:rFonts w:ascii="Calibri" w:eastAsia="Times New Roman" w:hAnsi="Calibri" w:cs="Times New Roman"/>
                <w:bCs/>
                <w:sz w:val="18"/>
                <w:szCs w:val="18"/>
                <w:lang w:val="en-GB" w:eastAsia="en-GB"/>
              </w:rPr>
            </w:pPr>
            <w:r w:rsidRPr="00C8537E">
              <w:rPr>
                <w:rFonts w:ascii="Calibri" w:eastAsia="Times New Roman" w:hAnsi="Calibri" w:cs="Times New Roman"/>
                <w:bCs/>
                <w:sz w:val="18"/>
                <w:szCs w:val="18"/>
                <w:lang w:val="en-GB" w:eastAsia="en-GB"/>
              </w:rPr>
              <w:t xml:space="preserve">Concept Document for </w:t>
            </w:r>
            <w:r>
              <w:rPr>
                <w:rFonts w:ascii="Calibri" w:eastAsia="Times New Roman" w:hAnsi="Calibri" w:cs="Times New Roman"/>
                <w:bCs/>
                <w:sz w:val="18"/>
                <w:szCs w:val="18"/>
                <w:lang w:val="en-GB" w:eastAsia="en-GB"/>
              </w:rPr>
              <w:t>revision the law Energy efficiency no 06/L-079</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9CB0CA" w14:textId="34340B45" w:rsidR="00E6431D" w:rsidRPr="009D7414" w:rsidRDefault="00E6431D" w:rsidP="00E6431D">
            <w:pPr>
              <w:spacing w:after="0" w:line="240" w:lineRule="auto"/>
              <w:rPr>
                <w:rFonts w:eastAsia="Times New Roman" w:cstheme="minorHAnsi"/>
                <w:i/>
                <w:color w:val="000000"/>
                <w:sz w:val="16"/>
                <w:szCs w:val="16"/>
                <w:lang w:val="en-GB" w:eastAsia="en-GB"/>
              </w:rPr>
            </w:pPr>
            <w:r w:rsidRPr="009D7414">
              <w:rPr>
                <w:rFonts w:eastAsia="Times New Roman" w:cstheme="minorHAnsi"/>
                <w:i/>
                <w:color w:val="000000"/>
                <w:sz w:val="16"/>
                <w:szCs w:val="16"/>
                <w:lang w:val="en-GB" w:eastAsia="en-GB"/>
              </w:rPr>
              <w:t>The procedure for updating the law on Energy efficiency has been initiated</w:t>
            </w:r>
          </w:p>
        </w:tc>
      </w:tr>
      <w:tr w:rsidR="00E6431D" w:rsidRPr="007C7C8F" w14:paraId="63C8F7E3"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CFA525" w14:textId="26670C12" w:rsidR="00E6431D" w:rsidRPr="00BD3BB0" w:rsidRDefault="00E6431D" w:rsidP="00E6431D">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The Kosovo </w:t>
            </w:r>
            <w:r w:rsidRPr="00C8537E">
              <w:rPr>
                <w:rFonts w:ascii="Calibri" w:eastAsia="Times New Roman" w:hAnsi="Calibri" w:cs="Times New Roman"/>
                <w:bCs/>
                <w:sz w:val="18"/>
                <w:szCs w:val="18"/>
                <w:lang w:val="en-GB" w:eastAsia="en-GB"/>
              </w:rPr>
              <w:t xml:space="preserve">Energy Strategy </w:t>
            </w:r>
            <w:r>
              <w:rPr>
                <w:rFonts w:ascii="Calibri" w:eastAsia="Times New Roman" w:hAnsi="Calibri" w:cs="Times New Roman"/>
                <w:bCs/>
                <w:sz w:val="18"/>
                <w:szCs w:val="18"/>
                <w:lang w:val="en-GB" w:eastAsia="en-GB"/>
              </w:rPr>
              <w:t xml:space="preserve">for period </w:t>
            </w:r>
            <w:r w:rsidRPr="00C8537E">
              <w:rPr>
                <w:rFonts w:ascii="Calibri" w:eastAsia="Times New Roman" w:hAnsi="Calibri" w:cs="Times New Roman"/>
                <w:bCs/>
                <w:sz w:val="18"/>
                <w:szCs w:val="18"/>
                <w:lang w:val="en-GB" w:eastAsia="en-GB"/>
              </w:rPr>
              <w:t xml:space="preserve">2022 </w:t>
            </w:r>
            <w:r>
              <w:rPr>
                <w:rFonts w:ascii="Calibri" w:eastAsia="Times New Roman" w:hAnsi="Calibri" w:cs="Times New Roman"/>
                <w:bCs/>
                <w:sz w:val="18"/>
                <w:szCs w:val="18"/>
                <w:lang w:val="en-GB" w:eastAsia="en-GB"/>
              </w:rPr>
              <w:t>–</w:t>
            </w:r>
            <w:r w:rsidRPr="00C8537E">
              <w:rPr>
                <w:rFonts w:ascii="Calibri" w:eastAsia="Times New Roman" w:hAnsi="Calibri" w:cs="Times New Roman"/>
                <w:bCs/>
                <w:sz w:val="18"/>
                <w:szCs w:val="18"/>
                <w:lang w:val="en-GB" w:eastAsia="en-GB"/>
              </w:rPr>
              <w:t xml:space="preserve"> 2031</w:t>
            </w:r>
            <w:r>
              <w:rPr>
                <w:rFonts w:ascii="Calibri" w:eastAsia="Times New Roman" w:hAnsi="Calibri" w:cs="Times New Roman"/>
                <w:bCs/>
                <w:sz w:val="18"/>
                <w:szCs w:val="18"/>
                <w:lang w:val="en-GB" w:eastAsia="en-GB"/>
              </w:rPr>
              <w:t xml:space="preserve"> is available as draft version and has undergone the public consultation.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F5767" w14:textId="276F3A25" w:rsidR="00E6431D" w:rsidRPr="009D7414" w:rsidRDefault="00F8521D" w:rsidP="00E6431D">
            <w:pPr>
              <w:spacing w:after="0" w:line="240" w:lineRule="auto"/>
              <w:rPr>
                <w:rFonts w:eastAsia="Times New Roman" w:cstheme="minorHAnsi"/>
                <w:i/>
                <w:color w:val="000000"/>
                <w:sz w:val="16"/>
                <w:szCs w:val="16"/>
                <w:lang w:val="en-GB" w:eastAsia="en-GB"/>
              </w:rPr>
            </w:pPr>
            <w:hyperlink r:id="rId16" w:history="1">
              <w:r w:rsidR="00E6431D" w:rsidRPr="009D7414">
                <w:rPr>
                  <w:rStyle w:val="Hyperlink"/>
                  <w:rFonts w:eastAsia="Times New Roman" w:cstheme="minorHAnsi"/>
                  <w:i/>
                  <w:sz w:val="16"/>
                  <w:szCs w:val="16"/>
                  <w:lang w:val="en-GB" w:eastAsia="en-GB"/>
                </w:rPr>
                <w:t>https://konsultimet.rks-gov.net/viewConsult.php?ConsultationID=41426</w:t>
              </w:r>
            </w:hyperlink>
            <w:r w:rsidR="00E6431D" w:rsidRPr="009D7414">
              <w:rPr>
                <w:rFonts w:eastAsia="Times New Roman" w:cstheme="minorHAnsi"/>
                <w:i/>
                <w:color w:val="000000"/>
                <w:sz w:val="16"/>
                <w:szCs w:val="16"/>
                <w:lang w:val="en-GB" w:eastAsia="en-GB"/>
              </w:rPr>
              <w:t xml:space="preserve"> </w:t>
            </w:r>
          </w:p>
        </w:tc>
      </w:tr>
      <w:tr w:rsidR="009C6105" w:rsidRPr="00071E80" w14:paraId="4CB32C17"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86F8B1" w14:textId="15B4BEF1" w:rsidR="009C6105" w:rsidRDefault="009C6105" w:rsidP="00E6431D">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The </w:t>
            </w:r>
            <w:r w:rsidRPr="00C8537E">
              <w:rPr>
                <w:rFonts w:ascii="Calibri" w:eastAsia="Times New Roman" w:hAnsi="Calibri" w:cs="Times New Roman"/>
                <w:bCs/>
                <w:sz w:val="18"/>
                <w:szCs w:val="18"/>
                <w:lang w:val="en-GB" w:eastAsia="en-GB"/>
              </w:rPr>
              <w:t xml:space="preserve">National Action Plan for Energy Efficiency </w:t>
            </w:r>
            <w:r>
              <w:rPr>
                <w:rFonts w:ascii="Calibri" w:eastAsia="Times New Roman" w:hAnsi="Calibri" w:cs="Times New Roman"/>
                <w:bCs/>
                <w:sz w:val="18"/>
                <w:szCs w:val="18"/>
                <w:lang w:val="en-GB" w:eastAsia="en-GB"/>
              </w:rPr>
              <w:t xml:space="preserve">for covering the period </w:t>
            </w:r>
            <w:r w:rsidRPr="00C8537E">
              <w:rPr>
                <w:rFonts w:ascii="Calibri" w:eastAsia="Times New Roman" w:hAnsi="Calibri" w:cs="Times New Roman"/>
                <w:bCs/>
                <w:sz w:val="18"/>
                <w:szCs w:val="18"/>
                <w:lang w:val="en-GB" w:eastAsia="en-GB"/>
              </w:rPr>
              <w:t>(2022-2024)</w:t>
            </w:r>
            <w:r>
              <w:rPr>
                <w:rFonts w:ascii="Calibri" w:eastAsia="Times New Roman" w:hAnsi="Calibri" w:cs="Times New Roman"/>
                <w:bCs/>
                <w:sz w:val="18"/>
                <w:szCs w:val="18"/>
                <w:lang w:val="en-GB" w:eastAsia="en-GB"/>
              </w:rPr>
              <w:t xml:space="preserve"> is in the finalization process.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F8C39" w14:textId="294EC9A0" w:rsidR="009C6105" w:rsidRDefault="002D7EC0" w:rsidP="00E6431D">
            <w:pPr>
              <w:spacing w:after="0" w:line="240" w:lineRule="auto"/>
              <w:rPr>
                <w:rFonts w:eastAsia="Times New Roman" w:cstheme="minorHAnsi"/>
                <w:i/>
                <w:color w:val="000000"/>
                <w:sz w:val="18"/>
                <w:szCs w:val="18"/>
                <w:lang w:val="en-GB" w:eastAsia="en-GB"/>
              </w:rPr>
            </w:pPr>
            <w:r>
              <w:rPr>
                <w:rFonts w:eastAsia="Times New Roman" w:cstheme="minorHAnsi"/>
                <w:i/>
                <w:color w:val="000000"/>
                <w:sz w:val="18"/>
                <w:szCs w:val="18"/>
                <w:lang w:val="en-GB" w:eastAsia="en-GB"/>
              </w:rPr>
              <w:t xml:space="preserve">Under drafting procedures </w:t>
            </w:r>
          </w:p>
        </w:tc>
      </w:tr>
      <w:tr w:rsidR="009C6105" w:rsidRPr="00071E80" w14:paraId="49B09167"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4CF08" w14:textId="0DA20C0E" w:rsidR="009C6105" w:rsidRDefault="009C6105" w:rsidP="00E6431D">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The law on Energy performance in Building </w:t>
            </w:r>
            <w:r w:rsidR="002D7EC0">
              <w:rPr>
                <w:rFonts w:ascii="Calibri" w:eastAsia="Times New Roman" w:hAnsi="Calibri" w:cs="Times New Roman"/>
                <w:bCs/>
                <w:sz w:val="18"/>
                <w:szCs w:val="18"/>
                <w:lang w:val="en-GB" w:eastAsia="en-GB"/>
              </w:rPr>
              <w:t xml:space="preserve">is revised in </w:t>
            </w:r>
            <w:r w:rsidR="00193F14">
              <w:rPr>
                <w:rFonts w:ascii="Calibri" w:eastAsia="Times New Roman" w:hAnsi="Calibri" w:cs="Times New Roman"/>
                <w:bCs/>
                <w:sz w:val="18"/>
                <w:szCs w:val="18"/>
                <w:lang w:val="en-GB" w:eastAsia="en-GB"/>
              </w:rPr>
              <w:t xml:space="preserve">reflecting the changes in the </w:t>
            </w:r>
            <w:r w:rsidR="00D33770">
              <w:rPr>
                <w:rFonts w:ascii="Calibri" w:eastAsia="Times New Roman" w:hAnsi="Calibri" w:cs="Times New Roman"/>
                <w:bCs/>
                <w:sz w:val="18"/>
                <w:szCs w:val="18"/>
                <w:lang w:val="en-GB" w:eastAsia="en-GB"/>
              </w:rPr>
              <w:t xml:space="preserve">recast </w:t>
            </w:r>
            <w:r w:rsidR="002D7EC0">
              <w:rPr>
                <w:rFonts w:ascii="Calibri" w:eastAsia="Times New Roman" w:hAnsi="Calibri" w:cs="Times New Roman"/>
                <w:bCs/>
                <w:sz w:val="18"/>
                <w:szCs w:val="18"/>
                <w:lang w:val="en-GB" w:eastAsia="en-GB"/>
              </w:rPr>
              <w:t>EPBD (</w:t>
            </w:r>
            <w:hyperlink r:id="rId17" w:history="1">
              <w:r w:rsidR="002D7EC0" w:rsidRPr="002D7EC0">
                <w:rPr>
                  <w:rFonts w:ascii="Calibri" w:eastAsia="Times New Roman" w:hAnsi="Calibri" w:cs="Times New Roman"/>
                  <w:bCs/>
                  <w:sz w:val="18"/>
                  <w:szCs w:val="18"/>
                  <w:lang w:val="en-GB" w:eastAsia="en-GB"/>
                </w:rPr>
                <w:t>Directive 2018/844/EU</w:t>
              </w:r>
            </w:hyperlink>
            <w:r w:rsidR="00D33770">
              <w:rPr>
                <w:rFonts w:ascii="Calibri" w:eastAsia="Times New Roman" w:hAnsi="Calibri" w:cs="Times New Roman"/>
                <w:bCs/>
                <w:sz w:val="18"/>
                <w:szCs w:val="18"/>
                <w:lang w:val="en-GB" w:eastAsia="en-GB"/>
              </w:rPr>
              <w:t>)</w:t>
            </w:r>
            <w:r w:rsidR="002D7EC0">
              <w:rPr>
                <w:rFonts w:ascii="Calibri" w:eastAsia="Times New Roman" w:hAnsi="Calibri" w:cs="Times New Roman"/>
                <w:bCs/>
                <w:sz w:val="18"/>
                <w:szCs w:val="18"/>
                <w:lang w:val="en-GB" w:eastAsia="en-GB"/>
              </w:rPr>
              <w:t xml:space="preserve"> in parallel the respective secondary legislation is in process to be harmonized)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76669" w14:textId="34FA2654" w:rsidR="009C6105" w:rsidRDefault="002D7EC0" w:rsidP="00E6431D">
            <w:pPr>
              <w:spacing w:after="0" w:line="240" w:lineRule="auto"/>
              <w:rPr>
                <w:rFonts w:eastAsia="Times New Roman" w:cstheme="minorHAnsi"/>
                <w:i/>
                <w:color w:val="000000"/>
                <w:sz w:val="18"/>
                <w:szCs w:val="18"/>
                <w:lang w:val="en-GB" w:eastAsia="en-GB"/>
              </w:rPr>
            </w:pPr>
            <w:r>
              <w:rPr>
                <w:rFonts w:eastAsia="Times New Roman" w:cstheme="minorHAnsi"/>
                <w:i/>
                <w:color w:val="000000"/>
                <w:sz w:val="18"/>
                <w:szCs w:val="18"/>
                <w:lang w:val="en-GB" w:eastAsia="en-GB"/>
              </w:rPr>
              <w:t>Under the drafting procedures.</w:t>
            </w:r>
          </w:p>
        </w:tc>
      </w:tr>
      <w:tr w:rsidR="00193F14" w:rsidRPr="007C7C8F" w14:paraId="6A6AAE1B"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0F7AC" w14:textId="1AE1FD80" w:rsidR="00193F14" w:rsidRDefault="00D33770" w:rsidP="00E6431D">
            <w:pPr>
              <w:spacing w:after="0" w:line="240" w:lineRule="auto"/>
              <w:ind w:left="142"/>
              <w:rPr>
                <w:rFonts w:ascii="Calibri" w:eastAsia="Times New Roman" w:hAnsi="Calibri" w:cs="Times New Roman"/>
                <w:bCs/>
                <w:sz w:val="18"/>
                <w:szCs w:val="18"/>
                <w:lang w:val="en-GB" w:eastAsia="en-GB"/>
              </w:rPr>
            </w:pPr>
            <w:r w:rsidRPr="009D7414">
              <w:rPr>
                <w:rFonts w:ascii="Calibri" w:eastAsia="Times New Roman" w:hAnsi="Calibri" w:cs="Times New Roman"/>
                <w:bCs/>
                <w:sz w:val="18"/>
                <w:szCs w:val="18"/>
                <w:lang w:val="en-GB" w:eastAsia="en-GB"/>
              </w:rPr>
              <w:t>Drafting the template and guidelines for integrated Municipal Energy efficiency and Climate Action Plans (MECAPs)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A5CE6" w14:textId="6BBB3892" w:rsidR="00193F14" w:rsidRPr="009D7414" w:rsidRDefault="00D33770" w:rsidP="00E6431D">
            <w:pPr>
              <w:spacing w:after="0" w:line="240" w:lineRule="auto"/>
              <w:rPr>
                <w:rFonts w:ascii="Calibri" w:eastAsia="Times New Roman" w:hAnsi="Calibri" w:cs="Times New Roman"/>
                <w:bCs/>
                <w:sz w:val="18"/>
                <w:szCs w:val="18"/>
                <w:lang w:val="en-GB" w:eastAsia="en-GB"/>
              </w:rPr>
            </w:pPr>
            <w:r w:rsidRPr="009D7414">
              <w:rPr>
                <w:rFonts w:ascii="Calibri" w:eastAsia="Times New Roman" w:hAnsi="Calibri" w:cs="Times New Roman"/>
                <w:bCs/>
                <w:sz w:val="18"/>
                <w:szCs w:val="18"/>
                <w:lang w:val="en-GB" w:eastAsia="en-GB"/>
              </w:rPr>
              <w:t xml:space="preserve">Under drafting process and piloting in 6 Municipalities. </w:t>
            </w:r>
            <w:proofErr w:type="spellStart"/>
            <w:r w:rsidRPr="009D7414">
              <w:rPr>
                <w:rFonts w:ascii="Calibri" w:eastAsia="Times New Roman" w:hAnsi="Calibri" w:cs="Times New Roman"/>
                <w:bCs/>
                <w:sz w:val="18"/>
                <w:szCs w:val="18"/>
                <w:lang w:val="en-GB" w:eastAsia="en-GB"/>
              </w:rPr>
              <w:t>Deçan</w:t>
            </w:r>
            <w:proofErr w:type="spellEnd"/>
            <w:r w:rsidRPr="009D7414">
              <w:rPr>
                <w:rFonts w:ascii="Calibri" w:eastAsia="Times New Roman" w:hAnsi="Calibri" w:cs="Times New Roman"/>
                <w:bCs/>
                <w:sz w:val="18"/>
                <w:szCs w:val="18"/>
                <w:lang w:val="en-GB" w:eastAsia="en-GB"/>
              </w:rPr>
              <w:t xml:space="preserve">, </w:t>
            </w:r>
            <w:proofErr w:type="spellStart"/>
            <w:r w:rsidRPr="009D7414">
              <w:rPr>
                <w:rFonts w:ascii="Calibri" w:eastAsia="Times New Roman" w:hAnsi="Calibri" w:cs="Times New Roman"/>
                <w:bCs/>
                <w:sz w:val="18"/>
                <w:szCs w:val="18"/>
                <w:lang w:val="en-GB" w:eastAsia="en-GB"/>
              </w:rPr>
              <w:t>Drenas</w:t>
            </w:r>
            <w:proofErr w:type="spellEnd"/>
            <w:r w:rsidRPr="009D7414">
              <w:rPr>
                <w:rFonts w:ascii="Calibri" w:eastAsia="Times New Roman" w:hAnsi="Calibri" w:cs="Times New Roman"/>
                <w:bCs/>
                <w:sz w:val="18"/>
                <w:szCs w:val="18"/>
                <w:lang w:val="en-GB" w:eastAsia="en-GB"/>
              </w:rPr>
              <w:t xml:space="preserve">, </w:t>
            </w:r>
            <w:proofErr w:type="spellStart"/>
            <w:r w:rsidRPr="009D7414">
              <w:rPr>
                <w:rFonts w:ascii="Calibri" w:eastAsia="Times New Roman" w:hAnsi="Calibri" w:cs="Times New Roman"/>
                <w:bCs/>
                <w:sz w:val="18"/>
                <w:szCs w:val="18"/>
                <w:lang w:val="en-GB" w:eastAsia="en-GB"/>
              </w:rPr>
              <w:t>Ferizaj</w:t>
            </w:r>
            <w:proofErr w:type="spellEnd"/>
            <w:r w:rsidRPr="009D7414">
              <w:rPr>
                <w:rFonts w:ascii="Calibri" w:eastAsia="Times New Roman" w:hAnsi="Calibri" w:cs="Times New Roman"/>
                <w:bCs/>
                <w:sz w:val="18"/>
                <w:szCs w:val="18"/>
                <w:lang w:val="en-GB" w:eastAsia="en-GB"/>
              </w:rPr>
              <w:t xml:space="preserve">, </w:t>
            </w:r>
            <w:proofErr w:type="spellStart"/>
            <w:r w:rsidRPr="009D7414">
              <w:rPr>
                <w:rFonts w:ascii="Calibri" w:eastAsia="Times New Roman" w:hAnsi="Calibri" w:cs="Times New Roman"/>
                <w:bCs/>
                <w:sz w:val="18"/>
                <w:szCs w:val="18"/>
                <w:lang w:val="en-GB" w:eastAsia="en-GB"/>
              </w:rPr>
              <w:t>Gjilan</w:t>
            </w:r>
            <w:proofErr w:type="spellEnd"/>
            <w:r w:rsidRPr="009D7414">
              <w:rPr>
                <w:rFonts w:ascii="Calibri" w:eastAsia="Times New Roman" w:hAnsi="Calibri" w:cs="Times New Roman"/>
                <w:bCs/>
                <w:sz w:val="18"/>
                <w:szCs w:val="18"/>
                <w:lang w:val="en-GB" w:eastAsia="en-GB"/>
              </w:rPr>
              <w:t xml:space="preserve">, </w:t>
            </w:r>
            <w:proofErr w:type="spellStart"/>
            <w:r w:rsidRPr="009D7414">
              <w:rPr>
                <w:rFonts w:ascii="Calibri" w:eastAsia="Times New Roman" w:hAnsi="Calibri" w:cs="Times New Roman"/>
                <w:bCs/>
                <w:sz w:val="18"/>
                <w:szCs w:val="18"/>
                <w:lang w:val="en-GB" w:eastAsia="en-GB"/>
              </w:rPr>
              <w:t>Podujeva</w:t>
            </w:r>
            <w:proofErr w:type="spellEnd"/>
            <w:r w:rsidRPr="009D7414">
              <w:rPr>
                <w:rFonts w:ascii="Calibri" w:eastAsia="Times New Roman" w:hAnsi="Calibri" w:cs="Times New Roman"/>
                <w:bCs/>
                <w:sz w:val="18"/>
                <w:szCs w:val="18"/>
                <w:lang w:val="en-GB" w:eastAsia="en-GB"/>
              </w:rPr>
              <w:t xml:space="preserve"> and </w:t>
            </w:r>
            <w:proofErr w:type="spellStart"/>
            <w:r w:rsidRPr="009D7414">
              <w:rPr>
                <w:rFonts w:ascii="Calibri" w:eastAsia="Times New Roman" w:hAnsi="Calibri" w:cs="Times New Roman"/>
                <w:bCs/>
                <w:sz w:val="18"/>
                <w:szCs w:val="18"/>
                <w:lang w:val="en-GB" w:eastAsia="en-GB"/>
              </w:rPr>
              <w:t>Prizren</w:t>
            </w:r>
            <w:proofErr w:type="spellEnd"/>
            <w:r w:rsidRPr="009D7414">
              <w:rPr>
                <w:rFonts w:ascii="Calibri" w:eastAsia="Times New Roman" w:hAnsi="Calibri" w:cs="Times New Roman"/>
                <w:bCs/>
                <w:sz w:val="18"/>
                <w:szCs w:val="18"/>
                <w:lang w:val="en-GB" w:eastAsia="en-GB"/>
              </w:rPr>
              <w:t>.</w:t>
            </w:r>
          </w:p>
        </w:tc>
      </w:tr>
      <w:tr w:rsidR="00193F14" w:rsidRPr="00071E80" w14:paraId="736C2698"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8ED36" w14:textId="1D6BE078" w:rsidR="00193F14" w:rsidRDefault="00193F14" w:rsidP="00E6431D">
            <w:pPr>
              <w:spacing w:after="0" w:line="240" w:lineRule="auto"/>
              <w:ind w:left="142"/>
              <w:rPr>
                <w:rFonts w:ascii="Calibri" w:eastAsia="Times New Roman" w:hAnsi="Calibri" w:cs="Times New Roman"/>
                <w:bCs/>
                <w:sz w:val="18"/>
                <w:szCs w:val="18"/>
                <w:lang w:val="en-GB" w:eastAsia="en-GB"/>
              </w:rPr>
            </w:pPr>
            <w:r w:rsidRPr="009D7414">
              <w:rPr>
                <w:rFonts w:ascii="Calibri" w:eastAsia="Times New Roman" w:hAnsi="Calibri" w:cs="Times New Roman"/>
                <w:bCs/>
                <w:sz w:val="18"/>
                <w:szCs w:val="18"/>
                <w:lang w:val="en-GB" w:eastAsia="en-GB"/>
              </w:rPr>
              <w:t>Finalization of National plan for increasing the number of nearly zero-energy buildings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A0F1E2" w14:textId="07FC0118" w:rsidR="00193F14" w:rsidRPr="009D7414" w:rsidRDefault="00211444" w:rsidP="00E6431D">
            <w:pPr>
              <w:spacing w:after="0" w:line="240" w:lineRule="auto"/>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Draft </w:t>
            </w:r>
          </w:p>
        </w:tc>
      </w:tr>
      <w:tr w:rsidR="00193F14" w:rsidRPr="00071E80" w14:paraId="32C31943"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81727D" w14:textId="589F95D3" w:rsidR="00193F14" w:rsidRDefault="00193F14" w:rsidP="00E6431D">
            <w:pPr>
              <w:spacing w:after="0" w:line="240" w:lineRule="auto"/>
              <w:ind w:left="142"/>
              <w:rPr>
                <w:rFonts w:ascii="Calibri" w:eastAsia="Times New Roman" w:hAnsi="Calibri" w:cs="Times New Roman"/>
                <w:bCs/>
                <w:sz w:val="18"/>
                <w:szCs w:val="18"/>
                <w:lang w:val="en-GB" w:eastAsia="en-GB"/>
              </w:rPr>
            </w:pPr>
            <w:r w:rsidRPr="009D7414">
              <w:rPr>
                <w:rFonts w:ascii="Calibri" w:eastAsia="Times New Roman" w:hAnsi="Calibri" w:cs="Times New Roman"/>
                <w:bCs/>
                <w:sz w:val="18"/>
                <w:szCs w:val="18"/>
                <w:lang w:val="en-GB" w:eastAsia="en-GB"/>
              </w:rPr>
              <w:t>Finalization of the guidelines for setting the minimum energy performance requirements of buildings.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1D271" w14:textId="01C20DAB" w:rsidR="00193F14" w:rsidRPr="009D7414" w:rsidRDefault="00211444" w:rsidP="00E6431D">
            <w:pPr>
              <w:spacing w:after="0" w:line="240" w:lineRule="auto"/>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Draft</w:t>
            </w:r>
          </w:p>
        </w:tc>
      </w:tr>
      <w:tr w:rsidR="00193F14" w:rsidRPr="00071E80" w14:paraId="6632916D"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15B4B" w14:textId="5E6CB9A4" w:rsidR="00193F14" w:rsidRDefault="00D33770" w:rsidP="00E6431D">
            <w:pPr>
              <w:spacing w:after="0" w:line="240" w:lineRule="auto"/>
              <w:ind w:left="142"/>
              <w:rPr>
                <w:rFonts w:ascii="Calibri" w:eastAsia="Times New Roman" w:hAnsi="Calibri" w:cs="Times New Roman"/>
                <w:bCs/>
                <w:sz w:val="18"/>
                <w:szCs w:val="18"/>
                <w:lang w:val="en-GB" w:eastAsia="en-GB"/>
              </w:rPr>
            </w:pPr>
            <w:r w:rsidRPr="009D7414">
              <w:rPr>
                <w:rFonts w:ascii="Calibri" w:eastAsia="Times New Roman" w:hAnsi="Calibri" w:cs="Times New Roman"/>
                <w:bCs/>
                <w:sz w:val="18"/>
                <w:szCs w:val="18"/>
                <w:lang w:val="en-GB" w:eastAsia="en-GB"/>
              </w:rPr>
              <w:t>“Financing Mechanisms to promote the implementation of EE and RE measures in the residential and private building sectors of Kosovo”.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81034" w14:textId="722A90CD" w:rsidR="00193F14" w:rsidRPr="009D7414" w:rsidRDefault="00211444" w:rsidP="00E6431D">
            <w:pPr>
              <w:spacing w:after="0" w:line="240" w:lineRule="auto"/>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Draft</w:t>
            </w:r>
          </w:p>
        </w:tc>
      </w:tr>
      <w:tr w:rsidR="00193F14" w:rsidRPr="007C7C8F" w14:paraId="38252208" w14:textId="77777777" w:rsidTr="008631BE">
        <w:trPr>
          <w:trHeight w:val="458"/>
          <w:jc w:val="center"/>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258D9A" w14:textId="6D380583" w:rsidR="00D33770" w:rsidRPr="009D7414" w:rsidRDefault="00D33770" w:rsidP="00D33770">
            <w:pPr>
              <w:spacing w:after="0" w:line="240" w:lineRule="auto"/>
              <w:ind w:left="142"/>
              <w:rPr>
                <w:rFonts w:ascii="Calibri" w:eastAsia="Times New Roman" w:hAnsi="Calibri" w:cs="Times New Roman"/>
                <w:bCs/>
                <w:sz w:val="18"/>
                <w:szCs w:val="18"/>
                <w:lang w:val="en-GB" w:eastAsia="en-GB"/>
              </w:rPr>
            </w:pPr>
            <w:r w:rsidRPr="009D7414">
              <w:rPr>
                <w:rFonts w:ascii="Calibri" w:eastAsia="Times New Roman" w:hAnsi="Calibri" w:cs="Times New Roman"/>
                <w:bCs/>
                <w:sz w:val="18"/>
                <w:szCs w:val="18"/>
                <w:lang w:val="en-GB" w:eastAsia="en-GB"/>
              </w:rPr>
              <w:t>Publication of the “Typology and Energy Performance of Residential Buildings in the Republic of Kosovo"</w:t>
            </w:r>
          </w:p>
          <w:p w14:paraId="06356CB2" w14:textId="77777777" w:rsidR="00193F14" w:rsidRDefault="00193F14" w:rsidP="00D33770">
            <w:pPr>
              <w:spacing w:after="0" w:line="240" w:lineRule="auto"/>
              <w:ind w:left="142"/>
              <w:rPr>
                <w:rFonts w:ascii="Calibri" w:eastAsia="Times New Roman" w:hAnsi="Calibri" w:cs="Times New Roman"/>
                <w:bCs/>
                <w:sz w:val="18"/>
                <w:szCs w:val="18"/>
                <w:lang w:val="en-GB" w:eastAsia="en-GB"/>
              </w:rPr>
            </w:pP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97AF19" w14:textId="523F5419" w:rsidR="00193F14" w:rsidRPr="009D7414" w:rsidRDefault="00193F14" w:rsidP="00E6431D">
            <w:pPr>
              <w:spacing w:after="0" w:line="240" w:lineRule="auto"/>
              <w:rPr>
                <w:rFonts w:ascii="Calibri" w:eastAsia="Times New Roman" w:hAnsi="Calibri" w:cs="Times New Roman"/>
                <w:bCs/>
                <w:sz w:val="18"/>
                <w:szCs w:val="18"/>
                <w:lang w:val="en-GB" w:eastAsia="en-GB"/>
              </w:rPr>
            </w:pPr>
          </w:p>
        </w:tc>
      </w:tr>
    </w:tbl>
    <w:p w14:paraId="018280C6" w14:textId="0692DB23" w:rsidR="009D7414" w:rsidRDefault="009D7414" w:rsidP="000A3E46">
      <w:pPr>
        <w:jc w:val="both"/>
        <w:rPr>
          <w:i/>
          <w:color w:val="0070C0"/>
          <w:lang w:val="en-GB"/>
        </w:rPr>
      </w:pPr>
    </w:p>
    <w:p w14:paraId="764A882C" w14:textId="29470F55" w:rsidR="000A3E46" w:rsidRDefault="000A3E46" w:rsidP="00F576C2">
      <w:pPr>
        <w:pStyle w:val="Heading2"/>
        <w:numPr>
          <w:ilvl w:val="0"/>
          <w:numId w:val="4"/>
        </w:numPr>
        <w:spacing w:after="120"/>
        <w:ind w:left="714" w:hanging="357"/>
        <w:rPr>
          <w:sz w:val="24"/>
          <w:szCs w:val="24"/>
          <w:lang w:val="en-GB"/>
        </w:rPr>
      </w:pPr>
      <w:r w:rsidRPr="00EF1451">
        <w:rPr>
          <w:sz w:val="24"/>
          <w:szCs w:val="24"/>
          <w:lang w:val="en-GB"/>
        </w:rPr>
        <w:t>Non-legislative measures</w:t>
      </w:r>
    </w:p>
    <w:p w14:paraId="0C24A56C" w14:textId="7D439990" w:rsidR="00E6431D" w:rsidRDefault="00826186" w:rsidP="000A3E46">
      <w:pPr>
        <w:jc w:val="both"/>
        <w:rPr>
          <w:i/>
          <w:color w:val="0070C0"/>
          <w:lang w:val="en-GB"/>
        </w:rPr>
      </w:pPr>
      <w:r>
        <w:rPr>
          <w:iCs/>
          <w:lang w:val="en-GB"/>
        </w:rPr>
        <w:t xml:space="preserve">On below table are listed the non-legislative measures taken from central governmental and local level. </w:t>
      </w:r>
    </w:p>
    <w:tbl>
      <w:tblPr>
        <w:tblpPr w:leftFromText="180" w:rightFromText="180" w:vertAnchor="text" w:horzAnchor="margin" w:tblpY="170"/>
        <w:tblW w:w="5135" w:type="pct"/>
        <w:tblLayout w:type="fixed"/>
        <w:tblCellMar>
          <w:left w:w="115" w:type="dxa"/>
          <w:right w:w="115" w:type="dxa"/>
        </w:tblCellMar>
        <w:tblLook w:val="04A0" w:firstRow="1" w:lastRow="0" w:firstColumn="1" w:lastColumn="0" w:noHBand="0" w:noVBand="1"/>
      </w:tblPr>
      <w:tblGrid>
        <w:gridCol w:w="2512"/>
        <w:gridCol w:w="3870"/>
        <w:gridCol w:w="1173"/>
        <w:gridCol w:w="1529"/>
        <w:gridCol w:w="1258"/>
      </w:tblGrid>
      <w:tr w:rsidR="00A906C2" w:rsidRPr="007C7C8F" w14:paraId="7BE4FA50" w14:textId="77777777" w:rsidTr="00A906C2">
        <w:trPr>
          <w:trHeight w:val="412"/>
        </w:trPr>
        <w:tc>
          <w:tcPr>
            <w:tcW w:w="121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2B619A86" w14:textId="77777777" w:rsidR="00F04CA1" w:rsidRPr="009A000F" w:rsidRDefault="00F04CA1" w:rsidP="00F04CA1">
            <w:pPr>
              <w:spacing w:after="0" w:line="240" w:lineRule="auto"/>
              <w:ind w:left="142"/>
              <w:jc w:val="center"/>
              <w:rPr>
                <w:rFonts w:eastAsia="Times New Roman" w:cstheme="minorHAnsi"/>
                <w:bCs/>
                <w:sz w:val="18"/>
                <w:szCs w:val="18"/>
                <w:lang w:val="en-GB" w:eastAsia="en-GB"/>
              </w:rPr>
            </w:pPr>
            <w:r w:rsidRPr="009A000F">
              <w:rPr>
                <w:rFonts w:eastAsia="Times New Roman" w:cstheme="minorHAnsi"/>
                <w:bCs/>
                <w:sz w:val="18"/>
                <w:szCs w:val="18"/>
                <w:lang w:val="en-GB" w:eastAsia="en-GB"/>
              </w:rPr>
              <w:t>NAME OF MEASURE</w:t>
            </w:r>
          </w:p>
        </w:tc>
        <w:tc>
          <w:tcPr>
            <w:tcW w:w="187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A71DB59" w14:textId="77777777" w:rsidR="00F04CA1" w:rsidRPr="009A000F" w:rsidRDefault="00F04CA1" w:rsidP="00F04CA1">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SHORT DESCRIPTION</w:t>
            </w:r>
          </w:p>
        </w:tc>
        <w:tc>
          <w:tcPr>
            <w:tcW w:w="566"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CF8C8E9" w14:textId="77777777" w:rsidR="00F04CA1" w:rsidRPr="009A000F" w:rsidRDefault="00F04CA1" w:rsidP="00F04CA1">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 xml:space="preserve">IMPLEMENTING </w:t>
            </w:r>
          </w:p>
          <w:p w14:paraId="4F407BD8" w14:textId="77777777" w:rsidR="00F04CA1" w:rsidRPr="009A000F" w:rsidRDefault="00F04CA1" w:rsidP="00F04CA1">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PERIOD</w:t>
            </w:r>
          </w:p>
          <w:p w14:paraId="77DBE834" w14:textId="77777777" w:rsidR="00F04CA1" w:rsidRPr="009A000F" w:rsidRDefault="00F04CA1" w:rsidP="00F04CA1">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(YYYY-YYYY)</w:t>
            </w:r>
          </w:p>
        </w:tc>
        <w:tc>
          <w:tcPr>
            <w:tcW w:w="73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6811D2" w14:textId="77777777" w:rsidR="00F04CA1" w:rsidRPr="009A000F" w:rsidRDefault="00F04CA1" w:rsidP="00633A85">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ESTIMATED 2020 ENERGY SAVINGS (KTOE), GHG REDUCTION (KT CO2-EQUIVALENT) AND % CONTRIBUTION TO THE 2020 EE TARGET</w:t>
            </w:r>
          </w:p>
        </w:tc>
        <w:tc>
          <w:tcPr>
            <w:tcW w:w="608"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58073BE" w14:textId="77777777" w:rsidR="00F04CA1" w:rsidRPr="009A000F" w:rsidRDefault="00F04CA1" w:rsidP="00633A85">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SOURCE WHERE MORE DETAILS ARE AVAILABLE</w:t>
            </w:r>
          </w:p>
        </w:tc>
      </w:tr>
      <w:tr w:rsidR="00A906C2" w:rsidRPr="009A000F" w14:paraId="138AD50B" w14:textId="77777777" w:rsidTr="00A906C2">
        <w:trPr>
          <w:trHeight w:val="1270"/>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3DB68" w14:textId="2F1175A7" w:rsidR="00F04CA1" w:rsidRPr="009A000F" w:rsidRDefault="00E6431D" w:rsidP="009C6105">
            <w:pPr>
              <w:spacing w:after="0" w:line="240" w:lineRule="auto"/>
              <w:ind w:left="60"/>
              <w:rPr>
                <w:rFonts w:eastAsia="Times New Roman" w:cstheme="minorHAnsi"/>
                <w:bCs/>
                <w:sz w:val="18"/>
                <w:szCs w:val="18"/>
                <w:lang w:val="en-GB" w:eastAsia="en-GB"/>
              </w:rPr>
            </w:pPr>
            <w:r w:rsidRPr="009A000F">
              <w:rPr>
                <w:rFonts w:eastAsia="Times New Roman" w:cstheme="minorHAnsi"/>
                <w:bCs/>
                <w:sz w:val="18"/>
                <w:szCs w:val="18"/>
                <w:lang w:val="en-GB" w:eastAsia="en-GB"/>
              </w:rPr>
              <w:t xml:space="preserve">Implementation of </w:t>
            </w:r>
            <w:r w:rsidR="00C61EAA" w:rsidRPr="009A000F">
              <w:rPr>
                <w:rFonts w:eastAsia="Times New Roman" w:cstheme="minorHAnsi"/>
                <w:bCs/>
                <w:sz w:val="18"/>
                <w:szCs w:val="18"/>
                <w:lang w:val="en-GB" w:eastAsia="en-GB"/>
              </w:rPr>
              <w:t>E</w:t>
            </w:r>
            <w:r w:rsidRPr="009A000F">
              <w:rPr>
                <w:rFonts w:eastAsia="Times New Roman" w:cstheme="minorHAnsi"/>
                <w:bCs/>
                <w:sz w:val="18"/>
                <w:szCs w:val="18"/>
                <w:lang w:val="en-GB" w:eastAsia="en-GB"/>
              </w:rPr>
              <w:t xml:space="preserve">nergy </w:t>
            </w:r>
            <w:r w:rsidR="00C61EAA" w:rsidRPr="009A000F">
              <w:rPr>
                <w:rFonts w:eastAsia="Times New Roman" w:cstheme="minorHAnsi"/>
                <w:bCs/>
                <w:sz w:val="18"/>
                <w:szCs w:val="18"/>
                <w:lang w:val="en-GB" w:eastAsia="en-GB"/>
              </w:rPr>
              <w:t>E</w:t>
            </w:r>
            <w:r w:rsidRPr="009A000F">
              <w:rPr>
                <w:rFonts w:eastAsia="Times New Roman" w:cstheme="minorHAnsi"/>
                <w:bCs/>
                <w:sz w:val="18"/>
                <w:szCs w:val="18"/>
                <w:lang w:val="en-GB" w:eastAsia="en-GB"/>
              </w:rPr>
              <w:t xml:space="preserve">fficiency </w:t>
            </w:r>
            <w:r w:rsidR="00C61EAA" w:rsidRPr="009A000F">
              <w:rPr>
                <w:rFonts w:eastAsia="Times New Roman" w:cstheme="minorHAnsi"/>
                <w:bCs/>
                <w:sz w:val="18"/>
                <w:szCs w:val="18"/>
                <w:lang w:val="en-GB" w:eastAsia="en-GB"/>
              </w:rPr>
              <w:t xml:space="preserve">measures </w:t>
            </w:r>
            <w:r w:rsidRPr="009A000F">
              <w:rPr>
                <w:rFonts w:eastAsia="Times New Roman" w:cstheme="minorHAnsi"/>
                <w:bCs/>
                <w:sz w:val="18"/>
                <w:szCs w:val="18"/>
                <w:lang w:val="en-GB" w:eastAsia="en-GB"/>
              </w:rPr>
              <w:t>in</w:t>
            </w:r>
            <w:r w:rsidR="00C61EAA" w:rsidRPr="009A000F">
              <w:rPr>
                <w:rFonts w:eastAsia="Times New Roman" w:cstheme="minorHAnsi"/>
                <w:bCs/>
                <w:sz w:val="18"/>
                <w:szCs w:val="18"/>
                <w:lang w:val="en-GB" w:eastAsia="en-GB"/>
              </w:rPr>
              <w:t xml:space="preserve"> public buildings in following Municipalities; (</w:t>
            </w:r>
            <w:proofErr w:type="spellStart"/>
            <w:r w:rsidR="00C61EAA" w:rsidRPr="009A000F">
              <w:rPr>
                <w:rFonts w:eastAsia="Times New Roman" w:cstheme="minorHAnsi"/>
                <w:bCs/>
                <w:sz w:val="18"/>
                <w:szCs w:val="18"/>
                <w:lang w:val="en-GB" w:eastAsia="en-GB"/>
              </w:rPr>
              <w:t>Obliq</w:t>
            </w:r>
            <w:proofErr w:type="spellEnd"/>
            <w:r w:rsidR="00C61EAA" w:rsidRPr="009A000F">
              <w:rPr>
                <w:rFonts w:eastAsia="Times New Roman" w:cstheme="minorHAnsi"/>
                <w:bCs/>
                <w:sz w:val="18"/>
                <w:szCs w:val="18"/>
                <w:lang w:val="en-GB" w:eastAsia="en-GB"/>
              </w:rPr>
              <w:t xml:space="preserve">, </w:t>
            </w:r>
            <w:proofErr w:type="spellStart"/>
            <w:r w:rsidR="00C61EAA" w:rsidRPr="009A000F">
              <w:rPr>
                <w:rFonts w:eastAsia="Times New Roman" w:cstheme="minorHAnsi"/>
                <w:bCs/>
                <w:sz w:val="18"/>
                <w:szCs w:val="18"/>
                <w:lang w:val="en-GB" w:eastAsia="en-GB"/>
              </w:rPr>
              <w:t>Kamenice</w:t>
            </w:r>
            <w:proofErr w:type="spellEnd"/>
            <w:r w:rsidR="00C61EAA" w:rsidRPr="009A000F">
              <w:rPr>
                <w:rFonts w:eastAsia="Times New Roman" w:cstheme="minorHAnsi"/>
                <w:bCs/>
                <w:sz w:val="18"/>
                <w:szCs w:val="18"/>
                <w:lang w:val="en-GB" w:eastAsia="en-GB"/>
              </w:rPr>
              <w:t xml:space="preserve">, </w:t>
            </w:r>
            <w:proofErr w:type="spellStart"/>
            <w:r w:rsidR="00C61EAA" w:rsidRPr="009A000F">
              <w:rPr>
                <w:rFonts w:eastAsia="Times New Roman" w:cstheme="minorHAnsi"/>
                <w:bCs/>
                <w:sz w:val="18"/>
                <w:szCs w:val="18"/>
                <w:lang w:val="en-GB" w:eastAsia="en-GB"/>
              </w:rPr>
              <w:t>Graçanice,Peja</w:t>
            </w:r>
            <w:proofErr w:type="spellEnd"/>
            <w:r w:rsidR="00C61EAA" w:rsidRPr="009A000F">
              <w:rPr>
                <w:rFonts w:eastAsia="Times New Roman" w:cstheme="minorHAnsi"/>
                <w:bCs/>
                <w:sz w:val="18"/>
                <w:szCs w:val="18"/>
                <w:lang w:val="en-GB" w:eastAsia="en-GB"/>
              </w:rPr>
              <w:t xml:space="preserve"> and </w:t>
            </w:r>
            <w:proofErr w:type="spellStart"/>
            <w:r w:rsidR="00C61EAA" w:rsidRPr="009A000F">
              <w:rPr>
                <w:rFonts w:eastAsia="Times New Roman" w:cstheme="minorHAnsi"/>
                <w:bCs/>
                <w:sz w:val="18"/>
                <w:szCs w:val="18"/>
                <w:lang w:val="en-GB" w:eastAsia="en-GB"/>
              </w:rPr>
              <w:t>Dragash</w:t>
            </w:r>
            <w:proofErr w:type="spellEnd"/>
            <w:r w:rsidR="00C61EAA" w:rsidRPr="009A000F">
              <w:rPr>
                <w:rFonts w:eastAsia="Times New Roman" w:cstheme="minorHAnsi"/>
                <w:bCs/>
                <w:sz w:val="18"/>
                <w:szCs w:val="18"/>
                <w:lang w:val="en-GB" w:eastAsia="en-GB"/>
              </w:rPr>
              <w:t>)</w:t>
            </w:r>
          </w:p>
        </w:tc>
        <w:tc>
          <w:tcPr>
            <w:tcW w:w="1871" w:type="pct"/>
            <w:tcBorders>
              <w:top w:val="single" w:sz="4" w:space="0" w:color="auto"/>
              <w:left w:val="single" w:sz="4" w:space="0" w:color="auto"/>
              <w:bottom w:val="single" w:sz="4" w:space="0" w:color="auto"/>
              <w:right w:val="single" w:sz="4" w:space="0" w:color="auto"/>
            </w:tcBorders>
          </w:tcPr>
          <w:p w14:paraId="03E4E081" w14:textId="3602BE43" w:rsidR="00F04CA1" w:rsidRPr="009A000F" w:rsidRDefault="00C61EAA"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 xml:space="preserve">Implementation of EE measure in buildings consist of following; Thermo-insulation of building envelope, installation of Efficient heating and </w:t>
            </w:r>
            <w:proofErr w:type="spellStart"/>
            <w:r w:rsidRPr="009A000F">
              <w:rPr>
                <w:rFonts w:eastAsia="Times New Roman" w:cstheme="minorHAnsi"/>
                <w:sz w:val="18"/>
                <w:szCs w:val="18"/>
                <w:lang w:val="en-GB" w:eastAsia="en-GB"/>
              </w:rPr>
              <w:t>colling</w:t>
            </w:r>
            <w:proofErr w:type="spellEnd"/>
            <w:r w:rsidRPr="009A000F">
              <w:rPr>
                <w:rFonts w:eastAsia="Times New Roman" w:cstheme="minorHAnsi"/>
                <w:sz w:val="18"/>
                <w:szCs w:val="18"/>
                <w:lang w:val="en-GB" w:eastAsia="en-GB"/>
              </w:rPr>
              <w:t xml:space="preserve">, renovation of public street lighting with LED lighting system etc. </w:t>
            </w:r>
            <w:r w:rsidR="00CB0D01" w:rsidRPr="009A000F">
              <w:rPr>
                <w:rFonts w:eastAsia="Times New Roman" w:cstheme="minorHAnsi"/>
                <w:sz w:val="18"/>
                <w:szCs w:val="18"/>
                <w:lang w:val="en-GB" w:eastAsia="en-GB"/>
              </w:rPr>
              <w:t xml:space="preserve"> total investment cost is 0.96Mil Eur.</w:t>
            </w:r>
          </w:p>
        </w:tc>
        <w:tc>
          <w:tcPr>
            <w:tcW w:w="566" w:type="pct"/>
            <w:tcBorders>
              <w:top w:val="single" w:sz="4" w:space="0" w:color="auto"/>
              <w:left w:val="single" w:sz="4" w:space="0" w:color="auto"/>
              <w:bottom w:val="single" w:sz="4" w:space="0" w:color="auto"/>
              <w:right w:val="single" w:sz="4" w:space="0" w:color="auto"/>
            </w:tcBorders>
          </w:tcPr>
          <w:p w14:paraId="3542CC75"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4BA15FF4" w14:textId="0902651E" w:rsidR="009C6105" w:rsidRPr="009A000F" w:rsidRDefault="009C6105"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2021</w:t>
            </w:r>
          </w:p>
          <w:p w14:paraId="65683D7C" w14:textId="6B0B9D81" w:rsidR="009C6105" w:rsidRPr="009A000F" w:rsidRDefault="009C6105" w:rsidP="009C6105">
            <w:pPr>
              <w:spacing w:after="0" w:line="240" w:lineRule="auto"/>
              <w:ind w:left="60"/>
              <w:rPr>
                <w:rFonts w:eastAsia="Times New Roman" w:cstheme="minorHAnsi"/>
                <w:sz w:val="18"/>
                <w:szCs w:val="18"/>
                <w:lang w:val="en-GB" w:eastAsia="en-GB"/>
              </w:rPr>
            </w:pPr>
          </w:p>
          <w:p w14:paraId="38B38D33"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42B26A10"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7E855F6B" w14:textId="56FF5109" w:rsidR="00F04CA1" w:rsidRPr="009A000F" w:rsidRDefault="00F04CA1" w:rsidP="009C6105">
            <w:pPr>
              <w:spacing w:after="0" w:line="240" w:lineRule="auto"/>
              <w:ind w:left="60"/>
              <w:rPr>
                <w:rFonts w:eastAsia="Times New Roman" w:cstheme="minorHAnsi"/>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1B4B2496" w14:textId="77777777" w:rsidR="00B356E1" w:rsidRPr="009A000F" w:rsidRDefault="00B356E1" w:rsidP="009C6105">
            <w:pPr>
              <w:spacing w:after="0" w:line="240" w:lineRule="auto"/>
              <w:ind w:left="60"/>
              <w:jc w:val="center"/>
              <w:rPr>
                <w:rFonts w:eastAsia="Times New Roman" w:cstheme="minorHAnsi"/>
                <w:sz w:val="18"/>
                <w:szCs w:val="18"/>
                <w:lang w:val="en-GB" w:eastAsia="en-GB"/>
              </w:rPr>
            </w:pPr>
          </w:p>
          <w:p w14:paraId="72EA1C62" w14:textId="77777777" w:rsidR="00B356E1" w:rsidRPr="009A000F" w:rsidRDefault="00B356E1" w:rsidP="009C6105">
            <w:pPr>
              <w:spacing w:after="0" w:line="240" w:lineRule="auto"/>
              <w:ind w:left="60"/>
              <w:jc w:val="center"/>
              <w:rPr>
                <w:rFonts w:eastAsia="Times New Roman" w:cstheme="minorHAnsi"/>
                <w:sz w:val="18"/>
                <w:szCs w:val="18"/>
                <w:lang w:val="en-GB" w:eastAsia="en-GB"/>
              </w:rPr>
            </w:pPr>
          </w:p>
          <w:p w14:paraId="04AA7FD8" w14:textId="77777777" w:rsidR="00F04CA1" w:rsidRPr="009A000F" w:rsidRDefault="00B356E1" w:rsidP="009C6105">
            <w:pPr>
              <w:spacing w:after="0" w:line="240" w:lineRule="auto"/>
              <w:ind w:left="60"/>
              <w:jc w:val="center"/>
              <w:rPr>
                <w:rFonts w:eastAsia="Times New Roman" w:cstheme="minorHAnsi"/>
                <w:sz w:val="18"/>
                <w:szCs w:val="18"/>
                <w:lang w:val="en-GB" w:eastAsia="en-GB"/>
              </w:rPr>
            </w:pPr>
            <w:r w:rsidRPr="009A000F">
              <w:rPr>
                <w:rFonts w:eastAsia="Times New Roman" w:cstheme="minorHAnsi"/>
                <w:sz w:val="18"/>
                <w:szCs w:val="18"/>
                <w:lang w:val="en-GB" w:eastAsia="en-GB"/>
              </w:rPr>
              <w:t xml:space="preserve">0.17 </w:t>
            </w:r>
            <w:proofErr w:type="spellStart"/>
            <w:r w:rsidRPr="009A000F">
              <w:rPr>
                <w:rFonts w:eastAsia="Times New Roman" w:cstheme="minorHAnsi"/>
                <w:sz w:val="18"/>
                <w:szCs w:val="18"/>
                <w:lang w:val="en-GB" w:eastAsia="en-GB"/>
              </w:rPr>
              <w:t>Ktoe</w:t>
            </w:r>
            <w:proofErr w:type="spellEnd"/>
          </w:p>
          <w:p w14:paraId="5DAA92AA" w14:textId="2FB191A0" w:rsidR="00B356E1" w:rsidRPr="009A000F" w:rsidRDefault="00B356E1" w:rsidP="009C6105">
            <w:pPr>
              <w:spacing w:after="0" w:line="240" w:lineRule="auto"/>
              <w:ind w:left="60"/>
              <w:jc w:val="center"/>
              <w:rPr>
                <w:rFonts w:eastAsia="Times New Roman" w:cstheme="minorHAnsi"/>
                <w:sz w:val="18"/>
                <w:szCs w:val="18"/>
                <w:lang w:val="en-GB" w:eastAsia="en-GB"/>
              </w:rPr>
            </w:pP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97B44" w14:textId="6600B421" w:rsidR="00F04CA1" w:rsidRPr="009A000F" w:rsidRDefault="00E001B3" w:rsidP="009C6105">
            <w:pPr>
              <w:spacing w:after="0" w:line="240" w:lineRule="auto"/>
              <w:ind w:left="60"/>
              <w:jc w:val="center"/>
              <w:rPr>
                <w:rFonts w:eastAsia="Times New Roman" w:cstheme="minorHAnsi"/>
                <w:sz w:val="18"/>
                <w:szCs w:val="18"/>
                <w:lang w:val="en-GB" w:eastAsia="en-GB"/>
              </w:rPr>
            </w:pPr>
            <w:r w:rsidRPr="009A000F">
              <w:rPr>
                <w:rFonts w:eastAsia="Times New Roman" w:cstheme="minorHAnsi"/>
                <w:sz w:val="18"/>
                <w:szCs w:val="18"/>
                <w:lang w:val="en-GB" w:eastAsia="en-GB"/>
              </w:rPr>
              <w:t>-</w:t>
            </w:r>
          </w:p>
        </w:tc>
      </w:tr>
      <w:tr w:rsidR="00A906C2" w:rsidRPr="009A000F" w14:paraId="1EA37B04"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D4D7C" w14:textId="35DA562F" w:rsidR="00E6431D" w:rsidRPr="009A000F" w:rsidRDefault="00E6431D"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lastRenderedPageBreak/>
              <w:t xml:space="preserve">Implementation of EE measures </w:t>
            </w:r>
            <w:r w:rsidR="00C61EAA" w:rsidRPr="009A000F">
              <w:rPr>
                <w:rFonts w:eastAsia="Times New Roman" w:cstheme="minorHAnsi"/>
                <w:sz w:val="18"/>
                <w:szCs w:val="18"/>
                <w:lang w:val="en-GB" w:eastAsia="en-GB"/>
              </w:rPr>
              <w:t xml:space="preserve">in the Central government buildings </w:t>
            </w:r>
            <w:r w:rsidRPr="009A000F">
              <w:rPr>
                <w:rFonts w:eastAsia="Times New Roman" w:cstheme="minorHAnsi"/>
                <w:sz w:val="18"/>
                <w:szCs w:val="18"/>
                <w:lang w:val="en-GB" w:eastAsia="en-GB"/>
              </w:rPr>
              <w:t>(</w:t>
            </w:r>
            <w:r w:rsidR="00C61EAA" w:rsidRPr="009A000F">
              <w:rPr>
                <w:rFonts w:eastAsia="Times New Roman" w:cstheme="minorHAnsi"/>
                <w:sz w:val="18"/>
                <w:szCs w:val="18"/>
                <w:lang w:val="en-GB" w:eastAsia="en-GB"/>
              </w:rPr>
              <w:t xml:space="preserve">invest. </w:t>
            </w:r>
            <w:r w:rsidRPr="009A000F">
              <w:rPr>
                <w:rFonts w:eastAsia="Times New Roman" w:cstheme="minorHAnsi"/>
                <w:sz w:val="18"/>
                <w:szCs w:val="18"/>
                <w:lang w:val="en-GB" w:eastAsia="en-GB"/>
              </w:rPr>
              <w:t>Ministry of Justices)</w:t>
            </w:r>
          </w:p>
        </w:tc>
        <w:tc>
          <w:tcPr>
            <w:tcW w:w="1871" w:type="pct"/>
            <w:tcBorders>
              <w:top w:val="single" w:sz="4" w:space="0" w:color="auto"/>
              <w:left w:val="single" w:sz="4" w:space="0" w:color="auto"/>
              <w:bottom w:val="single" w:sz="4" w:space="0" w:color="auto"/>
              <w:right w:val="single" w:sz="4" w:space="0" w:color="auto"/>
            </w:tcBorders>
          </w:tcPr>
          <w:p w14:paraId="50B25B1B" w14:textId="77777777" w:rsidR="00E6431D" w:rsidRPr="009A000F" w:rsidRDefault="00E6431D"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 xml:space="preserve">Replacement of </w:t>
            </w:r>
            <w:r w:rsidR="00C61EAA" w:rsidRPr="009A000F">
              <w:rPr>
                <w:rFonts w:eastAsia="Times New Roman" w:cstheme="minorHAnsi"/>
                <w:sz w:val="18"/>
                <w:szCs w:val="18"/>
                <w:lang w:val="en-GB" w:eastAsia="en-GB"/>
              </w:rPr>
              <w:t xml:space="preserve">internal </w:t>
            </w:r>
            <w:r w:rsidR="00B96EFC" w:rsidRPr="009A000F">
              <w:rPr>
                <w:rFonts w:eastAsia="Times New Roman" w:cstheme="minorHAnsi"/>
                <w:sz w:val="18"/>
                <w:szCs w:val="18"/>
                <w:lang w:val="en-GB" w:eastAsia="en-GB"/>
              </w:rPr>
              <w:t>lighting</w:t>
            </w:r>
            <w:r w:rsidR="00C61EAA" w:rsidRPr="009A000F">
              <w:rPr>
                <w:rFonts w:eastAsia="Times New Roman" w:cstheme="minorHAnsi"/>
                <w:sz w:val="18"/>
                <w:szCs w:val="18"/>
                <w:lang w:val="en-GB" w:eastAsia="en-GB"/>
              </w:rPr>
              <w:t xml:space="preserve"> system and </w:t>
            </w:r>
            <w:r w:rsidR="00B96EFC" w:rsidRPr="009A000F">
              <w:rPr>
                <w:rFonts w:eastAsia="Times New Roman" w:cstheme="minorHAnsi"/>
                <w:sz w:val="18"/>
                <w:szCs w:val="18"/>
                <w:lang w:val="en-GB" w:eastAsia="en-GB"/>
              </w:rPr>
              <w:t>upgrade</w:t>
            </w:r>
            <w:r w:rsidR="00C61EAA" w:rsidRPr="009A000F">
              <w:rPr>
                <w:rFonts w:eastAsia="Times New Roman" w:cstheme="minorHAnsi"/>
                <w:sz w:val="18"/>
                <w:szCs w:val="18"/>
                <w:lang w:val="en-GB" w:eastAsia="en-GB"/>
              </w:rPr>
              <w:t xml:space="preserve"> to LED </w:t>
            </w:r>
            <w:r w:rsidRPr="009A000F">
              <w:rPr>
                <w:rFonts w:eastAsia="Times New Roman" w:cstheme="minorHAnsi"/>
                <w:sz w:val="18"/>
                <w:szCs w:val="18"/>
                <w:lang w:val="en-GB" w:eastAsia="en-GB"/>
              </w:rPr>
              <w:t>bulbs</w:t>
            </w:r>
          </w:p>
          <w:p w14:paraId="5AE25228" w14:textId="5AA9A06B" w:rsidR="00CB0D01" w:rsidRPr="009A000F" w:rsidRDefault="00CB0D01"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 xml:space="preserve">total investment is 1.08 Mil </w:t>
            </w:r>
            <w:proofErr w:type="spellStart"/>
            <w:r w:rsidRPr="009A000F">
              <w:rPr>
                <w:rFonts w:eastAsia="Times New Roman" w:cstheme="minorHAnsi"/>
                <w:sz w:val="18"/>
                <w:szCs w:val="18"/>
                <w:lang w:val="en-GB" w:eastAsia="en-GB"/>
              </w:rPr>
              <w:t>Eur</w:t>
            </w:r>
            <w:proofErr w:type="spellEnd"/>
          </w:p>
        </w:tc>
        <w:tc>
          <w:tcPr>
            <w:tcW w:w="566" w:type="pct"/>
            <w:tcBorders>
              <w:top w:val="single" w:sz="4" w:space="0" w:color="auto"/>
              <w:left w:val="single" w:sz="4" w:space="0" w:color="auto"/>
              <w:bottom w:val="single" w:sz="4" w:space="0" w:color="auto"/>
              <w:right w:val="single" w:sz="4" w:space="0" w:color="auto"/>
            </w:tcBorders>
          </w:tcPr>
          <w:p w14:paraId="2322C78D" w14:textId="6ED1C3E8" w:rsidR="00E6431D" w:rsidRPr="009A000F" w:rsidRDefault="009C6105"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2021</w:t>
            </w:r>
          </w:p>
          <w:p w14:paraId="3A0B91B7"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3776A6A4" w14:textId="084E2C71" w:rsidR="009C6105" w:rsidRPr="009A000F" w:rsidRDefault="009C6105" w:rsidP="009C6105">
            <w:pPr>
              <w:spacing w:after="0" w:line="240" w:lineRule="auto"/>
              <w:ind w:left="60"/>
              <w:rPr>
                <w:rFonts w:eastAsia="Times New Roman" w:cstheme="minorHAnsi"/>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5DE3C0CF" w14:textId="468A3E6C" w:rsidR="00E6431D" w:rsidRPr="009A000F" w:rsidRDefault="00B356E1" w:rsidP="009C6105">
            <w:pPr>
              <w:spacing w:after="0" w:line="240" w:lineRule="auto"/>
              <w:ind w:left="60"/>
              <w:jc w:val="center"/>
              <w:rPr>
                <w:rFonts w:eastAsia="Times New Roman" w:cstheme="minorHAnsi"/>
                <w:sz w:val="18"/>
                <w:szCs w:val="18"/>
                <w:lang w:val="en-GB" w:eastAsia="en-GB"/>
              </w:rPr>
            </w:pPr>
            <w:r w:rsidRPr="009A000F">
              <w:rPr>
                <w:rFonts w:eastAsia="Times New Roman" w:cstheme="minorHAnsi"/>
                <w:sz w:val="18"/>
                <w:szCs w:val="18"/>
                <w:lang w:val="en-GB" w:eastAsia="en-GB"/>
              </w:rPr>
              <w:t xml:space="preserve">0.196 </w:t>
            </w:r>
            <w:proofErr w:type="spellStart"/>
            <w:r w:rsidRPr="009A000F">
              <w:rPr>
                <w:rFonts w:eastAsia="Times New Roman" w:cstheme="minorHAnsi"/>
                <w:sz w:val="18"/>
                <w:szCs w:val="18"/>
                <w:lang w:val="en-GB" w:eastAsia="en-GB"/>
              </w:rPr>
              <w:t>ktoe</w:t>
            </w:r>
            <w:proofErr w:type="spellEnd"/>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8C03C" w14:textId="77777777" w:rsidR="00E6431D" w:rsidRPr="009A000F" w:rsidRDefault="00E6431D" w:rsidP="009C6105">
            <w:pPr>
              <w:spacing w:after="0" w:line="240" w:lineRule="auto"/>
              <w:ind w:left="60"/>
              <w:jc w:val="center"/>
              <w:rPr>
                <w:rFonts w:eastAsia="Times New Roman" w:cstheme="minorHAnsi"/>
                <w:color w:val="000000"/>
                <w:sz w:val="18"/>
                <w:szCs w:val="18"/>
                <w:lang w:val="en-GB" w:eastAsia="en-GB"/>
              </w:rPr>
            </w:pPr>
          </w:p>
        </w:tc>
      </w:tr>
      <w:tr w:rsidR="00A906C2" w:rsidRPr="009A000F" w14:paraId="6E181F31" w14:textId="77777777" w:rsidTr="00A906C2">
        <w:trPr>
          <w:trHeight w:val="179"/>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30B4B" w14:textId="3DA67339" w:rsidR="00E6431D" w:rsidRPr="009A000F" w:rsidRDefault="00E6431D"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Implementation of EE measures</w:t>
            </w:r>
            <w:r w:rsidR="00B96EFC" w:rsidRPr="009A000F">
              <w:rPr>
                <w:rFonts w:eastAsia="Times New Roman" w:cstheme="minorHAnsi"/>
                <w:sz w:val="18"/>
                <w:szCs w:val="18"/>
                <w:lang w:val="en-GB" w:eastAsia="en-GB"/>
              </w:rPr>
              <w:t xml:space="preserve"> in </w:t>
            </w:r>
            <w:proofErr w:type="spellStart"/>
            <w:r w:rsidR="00B96EFC" w:rsidRPr="009A000F">
              <w:rPr>
                <w:rFonts w:eastAsia="Times New Roman" w:cstheme="minorHAnsi"/>
                <w:sz w:val="18"/>
                <w:szCs w:val="18"/>
                <w:lang w:val="en-GB" w:eastAsia="en-GB"/>
              </w:rPr>
              <w:t>Agricultaure</w:t>
            </w:r>
            <w:proofErr w:type="spellEnd"/>
            <w:r w:rsidR="00B96EFC" w:rsidRPr="009A000F">
              <w:rPr>
                <w:rFonts w:eastAsia="Times New Roman" w:cstheme="minorHAnsi"/>
                <w:sz w:val="18"/>
                <w:szCs w:val="18"/>
                <w:lang w:val="en-GB" w:eastAsia="en-GB"/>
              </w:rPr>
              <w:t xml:space="preserve"> sector </w:t>
            </w:r>
            <w:r w:rsidRPr="009A000F">
              <w:rPr>
                <w:rFonts w:eastAsia="Times New Roman" w:cstheme="minorHAnsi"/>
                <w:sz w:val="18"/>
                <w:szCs w:val="18"/>
                <w:lang w:val="en-GB" w:eastAsia="en-GB"/>
              </w:rPr>
              <w:t>(</w:t>
            </w:r>
            <w:r w:rsidR="00B96EFC" w:rsidRPr="009A000F">
              <w:rPr>
                <w:rFonts w:eastAsia="Times New Roman" w:cstheme="minorHAnsi"/>
                <w:sz w:val="18"/>
                <w:szCs w:val="18"/>
                <w:lang w:val="en-GB" w:eastAsia="en-GB"/>
              </w:rPr>
              <w:t xml:space="preserve">invest. </w:t>
            </w:r>
            <w:r w:rsidRPr="009A000F">
              <w:rPr>
                <w:rFonts w:eastAsia="Times New Roman" w:cstheme="minorHAnsi"/>
                <w:sz w:val="18"/>
                <w:szCs w:val="18"/>
                <w:lang w:val="en-GB" w:eastAsia="en-GB"/>
              </w:rPr>
              <w:t>Ministry of Agriculture)</w:t>
            </w:r>
          </w:p>
        </w:tc>
        <w:tc>
          <w:tcPr>
            <w:tcW w:w="1871" w:type="pct"/>
            <w:tcBorders>
              <w:top w:val="single" w:sz="4" w:space="0" w:color="auto"/>
              <w:left w:val="single" w:sz="4" w:space="0" w:color="auto"/>
              <w:bottom w:val="single" w:sz="4" w:space="0" w:color="auto"/>
              <w:right w:val="single" w:sz="4" w:space="0" w:color="auto"/>
            </w:tcBorders>
          </w:tcPr>
          <w:p w14:paraId="6FC4F09E" w14:textId="5FAFC71B" w:rsidR="00E6431D" w:rsidRPr="009A000F" w:rsidRDefault="00E6431D"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Implementation of EE measures</w:t>
            </w:r>
            <w:r w:rsidR="00B96EFC" w:rsidRPr="009A000F">
              <w:rPr>
                <w:rFonts w:eastAsia="Times New Roman" w:cstheme="minorHAnsi"/>
                <w:sz w:val="18"/>
                <w:szCs w:val="18"/>
                <w:lang w:val="en-GB" w:eastAsia="en-GB"/>
              </w:rPr>
              <w:t xml:space="preserve"> in the agriculture sector through the </w:t>
            </w:r>
            <w:r w:rsidRPr="009A000F">
              <w:rPr>
                <w:rFonts w:eastAsia="Times New Roman" w:cstheme="minorHAnsi"/>
                <w:sz w:val="18"/>
                <w:szCs w:val="18"/>
                <w:lang w:val="en-GB" w:eastAsia="en-GB"/>
              </w:rPr>
              <w:t>Program for Rural Development 2014-2021</w:t>
            </w:r>
            <w:r w:rsidR="00CB0D01" w:rsidRPr="009A000F">
              <w:rPr>
                <w:rFonts w:eastAsia="Times New Roman" w:cstheme="minorHAnsi"/>
                <w:sz w:val="18"/>
                <w:szCs w:val="18"/>
                <w:lang w:val="en-GB" w:eastAsia="en-GB"/>
              </w:rPr>
              <w:t xml:space="preserve"> total investment is 4.4 Mil Euro.</w:t>
            </w:r>
          </w:p>
        </w:tc>
        <w:tc>
          <w:tcPr>
            <w:tcW w:w="566" w:type="pct"/>
            <w:tcBorders>
              <w:top w:val="single" w:sz="4" w:space="0" w:color="auto"/>
              <w:left w:val="single" w:sz="4" w:space="0" w:color="auto"/>
              <w:bottom w:val="single" w:sz="4" w:space="0" w:color="auto"/>
              <w:right w:val="single" w:sz="4" w:space="0" w:color="auto"/>
            </w:tcBorders>
          </w:tcPr>
          <w:p w14:paraId="558C3990" w14:textId="2D5E8D37" w:rsidR="00E6431D" w:rsidRPr="009A000F" w:rsidRDefault="009C6105" w:rsidP="009C6105">
            <w:pPr>
              <w:spacing w:after="0" w:line="240" w:lineRule="auto"/>
              <w:ind w:left="60"/>
              <w:rPr>
                <w:rFonts w:eastAsia="Times New Roman" w:cstheme="minorHAnsi"/>
                <w:sz w:val="18"/>
                <w:szCs w:val="18"/>
                <w:lang w:val="en-GB" w:eastAsia="en-GB"/>
              </w:rPr>
            </w:pPr>
            <w:r w:rsidRPr="009A000F">
              <w:rPr>
                <w:rFonts w:eastAsia="Times New Roman" w:cstheme="minorHAnsi"/>
                <w:sz w:val="18"/>
                <w:szCs w:val="18"/>
                <w:lang w:val="en-GB" w:eastAsia="en-GB"/>
              </w:rPr>
              <w:t>2021</w:t>
            </w:r>
          </w:p>
          <w:p w14:paraId="4CFC2AFC"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5B4349CA" w14:textId="77777777" w:rsidR="009C6105" w:rsidRPr="009A000F" w:rsidRDefault="009C6105" w:rsidP="009C6105">
            <w:pPr>
              <w:spacing w:after="0" w:line="240" w:lineRule="auto"/>
              <w:ind w:left="60"/>
              <w:rPr>
                <w:rFonts w:eastAsia="Times New Roman" w:cstheme="minorHAnsi"/>
                <w:sz w:val="18"/>
                <w:szCs w:val="18"/>
                <w:lang w:val="en-GB" w:eastAsia="en-GB"/>
              </w:rPr>
            </w:pPr>
          </w:p>
          <w:p w14:paraId="714FDC53" w14:textId="71DA357F" w:rsidR="009C6105" w:rsidRPr="009A000F" w:rsidRDefault="009C6105" w:rsidP="009C6105">
            <w:pPr>
              <w:spacing w:after="0" w:line="240" w:lineRule="auto"/>
              <w:ind w:left="60"/>
              <w:rPr>
                <w:rFonts w:eastAsia="Times New Roman" w:cstheme="minorHAnsi"/>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1FC45C5B" w14:textId="041A7997" w:rsidR="00E6431D" w:rsidRPr="009A000F" w:rsidRDefault="00B356E1" w:rsidP="009C6105">
            <w:pPr>
              <w:spacing w:after="0" w:line="240" w:lineRule="auto"/>
              <w:ind w:left="60"/>
              <w:jc w:val="center"/>
              <w:rPr>
                <w:rFonts w:eastAsia="Times New Roman" w:cstheme="minorHAnsi"/>
                <w:sz w:val="18"/>
                <w:szCs w:val="18"/>
                <w:lang w:val="en-GB" w:eastAsia="en-GB"/>
              </w:rPr>
            </w:pPr>
            <w:r w:rsidRPr="009A000F">
              <w:rPr>
                <w:rFonts w:eastAsia="Times New Roman" w:cstheme="minorHAnsi"/>
                <w:sz w:val="18"/>
                <w:szCs w:val="18"/>
                <w:lang w:val="en-GB" w:eastAsia="en-GB"/>
              </w:rPr>
              <w:t xml:space="preserve">0.8 </w:t>
            </w:r>
            <w:proofErr w:type="spellStart"/>
            <w:r w:rsidRPr="009A000F">
              <w:rPr>
                <w:rFonts w:eastAsia="Times New Roman" w:cstheme="minorHAnsi"/>
                <w:sz w:val="18"/>
                <w:szCs w:val="18"/>
                <w:lang w:val="en-GB" w:eastAsia="en-GB"/>
              </w:rPr>
              <w:t>ktoe</w:t>
            </w:r>
            <w:proofErr w:type="spellEnd"/>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17E0CE" w14:textId="77777777" w:rsidR="00E6431D" w:rsidRPr="009A000F" w:rsidRDefault="00E6431D" w:rsidP="009C6105">
            <w:pPr>
              <w:spacing w:after="0" w:line="240" w:lineRule="auto"/>
              <w:ind w:left="60"/>
              <w:jc w:val="center"/>
              <w:rPr>
                <w:rFonts w:eastAsia="Times New Roman" w:cstheme="minorHAnsi"/>
                <w:color w:val="000000"/>
                <w:sz w:val="18"/>
                <w:szCs w:val="18"/>
                <w:lang w:val="en-GB" w:eastAsia="en-GB"/>
              </w:rPr>
            </w:pPr>
          </w:p>
        </w:tc>
      </w:tr>
      <w:tr w:rsidR="00A906C2" w:rsidRPr="009A000F" w14:paraId="08C925F3"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18B45" w14:textId="6ACEC303" w:rsidR="00E6431D" w:rsidRPr="009A000F" w:rsidRDefault="00E6431D" w:rsidP="009C6105">
            <w:pPr>
              <w:spacing w:after="0" w:line="240" w:lineRule="auto"/>
              <w:ind w:left="60"/>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Implementation of EE measures</w:t>
            </w:r>
            <w:r w:rsidR="00B96EFC" w:rsidRPr="009A000F">
              <w:rPr>
                <w:rFonts w:eastAsia="Times New Roman" w:cstheme="minorHAnsi"/>
                <w:color w:val="000000"/>
                <w:sz w:val="18"/>
                <w:szCs w:val="18"/>
                <w:lang w:val="en-GB" w:eastAsia="en-GB"/>
              </w:rPr>
              <w:t xml:space="preserve"> in public buildings through Kosovo Energy Efficiency and Renewable Energy Program, </w:t>
            </w:r>
            <w:r w:rsidR="000E2C87" w:rsidRPr="009A000F">
              <w:rPr>
                <w:rFonts w:eastAsia="Times New Roman" w:cstheme="minorHAnsi"/>
                <w:color w:val="000000"/>
                <w:sz w:val="18"/>
                <w:szCs w:val="18"/>
                <w:lang w:val="en-GB" w:eastAsia="en-GB"/>
              </w:rPr>
              <w:t>KEEREP, (invest</w:t>
            </w:r>
            <w:r w:rsidR="00B96EFC" w:rsidRPr="009A000F">
              <w:rPr>
                <w:rFonts w:eastAsia="Times New Roman" w:cstheme="minorHAnsi"/>
                <w:color w:val="000000"/>
                <w:sz w:val="18"/>
                <w:szCs w:val="18"/>
                <w:lang w:val="en-GB" w:eastAsia="en-GB"/>
              </w:rPr>
              <w:t>. World Bank)</w:t>
            </w:r>
          </w:p>
        </w:tc>
        <w:tc>
          <w:tcPr>
            <w:tcW w:w="1871" w:type="pct"/>
            <w:tcBorders>
              <w:top w:val="single" w:sz="4" w:space="0" w:color="auto"/>
              <w:left w:val="single" w:sz="4" w:space="0" w:color="auto"/>
              <w:bottom w:val="single" w:sz="4" w:space="0" w:color="auto"/>
              <w:right w:val="single" w:sz="4" w:space="0" w:color="auto"/>
            </w:tcBorders>
          </w:tcPr>
          <w:p w14:paraId="54F8A244" w14:textId="4D0A13D0" w:rsidR="00E6431D" w:rsidRPr="009A000F" w:rsidRDefault="00B96EFC" w:rsidP="009C6105">
            <w:pPr>
              <w:spacing w:after="0" w:line="240" w:lineRule="auto"/>
              <w:ind w:left="60"/>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Implementation of EE measure in public buildings consisting of following; Thermo-insulation of building envelope, installation of Efficient heating and cooling, replacement of internal lighting etc.</w:t>
            </w:r>
            <w:r w:rsidR="000E2C87" w:rsidRPr="009A000F">
              <w:rPr>
                <w:rFonts w:eastAsia="Times New Roman" w:cstheme="minorHAnsi"/>
                <w:color w:val="000000"/>
                <w:sz w:val="18"/>
                <w:szCs w:val="18"/>
                <w:lang w:val="en-GB" w:eastAsia="en-GB"/>
              </w:rPr>
              <w:t xml:space="preserve"> the total investment is 1,365,624 Mil Euro</w:t>
            </w:r>
          </w:p>
        </w:tc>
        <w:tc>
          <w:tcPr>
            <w:tcW w:w="566" w:type="pct"/>
            <w:tcBorders>
              <w:top w:val="single" w:sz="4" w:space="0" w:color="auto"/>
              <w:left w:val="single" w:sz="4" w:space="0" w:color="auto"/>
              <w:bottom w:val="single" w:sz="4" w:space="0" w:color="auto"/>
              <w:right w:val="single" w:sz="4" w:space="0" w:color="auto"/>
            </w:tcBorders>
          </w:tcPr>
          <w:p w14:paraId="2D1B647B" w14:textId="769B4E20" w:rsidR="00E6431D" w:rsidRPr="009A000F" w:rsidRDefault="009C6105" w:rsidP="009C6105">
            <w:pPr>
              <w:spacing w:after="0" w:line="240" w:lineRule="auto"/>
              <w:ind w:left="60"/>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2021</w:t>
            </w:r>
          </w:p>
          <w:p w14:paraId="6A6CB62E" w14:textId="77777777" w:rsidR="009C6105" w:rsidRPr="009A000F" w:rsidRDefault="009C6105" w:rsidP="009C6105">
            <w:pPr>
              <w:spacing w:after="0" w:line="240" w:lineRule="auto"/>
              <w:ind w:left="60"/>
              <w:rPr>
                <w:rFonts w:eastAsia="Times New Roman" w:cstheme="minorHAnsi"/>
                <w:color w:val="000000"/>
                <w:sz w:val="18"/>
                <w:szCs w:val="18"/>
                <w:lang w:val="en-GB" w:eastAsia="en-GB"/>
              </w:rPr>
            </w:pPr>
          </w:p>
          <w:p w14:paraId="6176007D" w14:textId="3F72AB1E" w:rsidR="009C6105" w:rsidRPr="009A000F" w:rsidRDefault="009C6105" w:rsidP="009C6105">
            <w:pPr>
              <w:spacing w:after="0" w:line="240" w:lineRule="auto"/>
              <w:ind w:left="60"/>
              <w:rPr>
                <w:rFonts w:eastAsia="Times New Roman" w:cstheme="minorHAnsi"/>
                <w:i/>
                <w:color w:val="000000"/>
                <w:sz w:val="18"/>
                <w:szCs w:val="18"/>
                <w:lang w:val="en-GB" w:eastAsia="en-GB"/>
              </w:rPr>
            </w:pPr>
          </w:p>
        </w:tc>
        <w:tc>
          <w:tcPr>
            <w:tcW w:w="739" w:type="pct"/>
            <w:tcBorders>
              <w:top w:val="single" w:sz="4" w:space="0" w:color="auto"/>
              <w:left w:val="single" w:sz="4" w:space="0" w:color="auto"/>
              <w:bottom w:val="single" w:sz="4" w:space="0" w:color="auto"/>
              <w:right w:val="single" w:sz="4" w:space="0" w:color="auto"/>
            </w:tcBorders>
          </w:tcPr>
          <w:p w14:paraId="06FDA9EF" w14:textId="7A331061" w:rsidR="00E6431D" w:rsidRPr="009A000F" w:rsidRDefault="00B356E1" w:rsidP="009C6105">
            <w:pPr>
              <w:spacing w:after="0" w:line="240" w:lineRule="auto"/>
              <w:ind w:left="60"/>
              <w:jc w:val="center"/>
              <w:rPr>
                <w:rFonts w:eastAsia="Times New Roman" w:cstheme="minorHAnsi"/>
                <w:i/>
                <w:color w:val="000000"/>
                <w:sz w:val="18"/>
                <w:szCs w:val="18"/>
                <w:lang w:val="en-GB" w:eastAsia="en-GB"/>
              </w:rPr>
            </w:pPr>
            <w:r w:rsidRPr="009A000F">
              <w:rPr>
                <w:rFonts w:eastAsia="Times New Roman" w:cstheme="minorHAnsi"/>
                <w:i/>
                <w:color w:val="000000"/>
                <w:sz w:val="18"/>
                <w:szCs w:val="18"/>
                <w:lang w:val="en-GB" w:eastAsia="en-GB"/>
              </w:rPr>
              <w:t xml:space="preserve">0.25 </w:t>
            </w:r>
            <w:proofErr w:type="spellStart"/>
            <w:r w:rsidRPr="009A000F">
              <w:rPr>
                <w:rFonts w:eastAsia="Times New Roman" w:cstheme="minorHAnsi"/>
                <w:i/>
                <w:color w:val="000000"/>
                <w:sz w:val="18"/>
                <w:szCs w:val="18"/>
                <w:lang w:val="en-GB" w:eastAsia="en-GB"/>
              </w:rPr>
              <w:t>Ktoe</w:t>
            </w:r>
            <w:proofErr w:type="spellEnd"/>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6CE63A" w14:textId="77777777" w:rsidR="00E6431D" w:rsidRPr="009A000F" w:rsidRDefault="00E6431D" w:rsidP="009C6105">
            <w:pPr>
              <w:spacing w:after="0" w:line="240" w:lineRule="auto"/>
              <w:ind w:left="60"/>
              <w:jc w:val="center"/>
              <w:rPr>
                <w:rFonts w:eastAsia="Times New Roman" w:cstheme="minorHAnsi"/>
                <w:i/>
                <w:color w:val="000000"/>
                <w:sz w:val="18"/>
                <w:szCs w:val="18"/>
                <w:lang w:val="en-GB" w:eastAsia="en-GB"/>
              </w:rPr>
            </w:pPr>
          </w:p>
        </w:tc>
      </w:tr>
      <w:tr w:rsidR="00A906C2" w:rsidRPr="009A000F" w14:paraId="30DB61E0"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19DD1" w14:textId="55BE993D" w:rsidR="00E6431D" w:rsidRPr="009A000F" w:rsidRDefault="00E6431D" w:rsidP="002F2AC5">
            <w:pPr>
              <w:spacing w:after="0" w:line="240" w:lineRule="auto"/>
              <w:ind w:left="60"/>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 xml:space="preserve">Implementation of EE measures </w:t>
            </w:r>
            <w:r w:rsidR="00B96EFC" w:rsidRPr="009A000F">
              <w:rPr>
                <w:rFonts w:eastAsia="Times New Roman" w:cstheme="minorHAnsi"/>
                <w:color w:val="000000"/>
                <w:sz w:val="18"/>
                <w:szCs w:val="18"/>
                <w:lang w:val="en-GB" w:eastAsia="en-GB"/>
              </w:rPr>
              <w:t>in public building</w:t>
            </w:r>
            <w:r w:rsidR="00CB0D01" w:rsidRPr="009A000F">
              <w:rPr>
                <w:rFonts w:eastAsia="Times New Roman" w:cstheme="minorHAnsi"/>
                <w:color w:val="000000"/>
                <w:sz w:val="18"/>
                <w:szCs w:val="18"/>
                <w:lang w:val="en-GB" w:eastAsia="en-GB"/>
              </w:rPr>
              <w:t>s</w:t>
            </w:r>
            <w:r w:rsidR="00B96EFC" w:rsidRPr="009A000F">
              <w:rPr>
                <w:rFonts w:eastAsia="Times New Roman" w:cstheme="minorHAnsi"/>
                <w:color w:val="000000"/>
                <w:sz w:val="18"/>
                <w:szCs w:val="18"/>
                <w:lang w:val="en-GB" w:eastAsia="en-GB"/>
              </w:rPr>
              <w:t xml:space="preserve"> through Kosovo Energy Efficiency Fund </w:t>
            </w:r>
          </w:p>
        </w:tc>
        <w:tc>
          <w:tcPr>
            <w:tcW w:w="1871" w:type="pct"/>
            <w:tcBorders>
              <w:top w:val="single" w:sz="4" w:space="0" w:color="auto"/>
              <w:left w:val="single" w:sz="4" w:space="0" w:color="auto"/>
              <w:bottom w:val="single" w:sz="4" w:space="0" w:color="auto"/>
              <w:right w:val="single" w:sz="4" w:space="0" w:color="auto"/>
            </w:tcBorders>
          </w:tcPr>
          <w:p w14:paraId="7197EBBC" w14:textId="77777777" w:rsidR="00CB0D01" w:rsidRPr="009A000F" w:rsidRDefault="00E6431D" w:rsidP="00E6431D">
            <w:pPr>
              <w:spacing w:after="0" w:line="240" w:lineRule="auto"/>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 xml:space="preserve">Implementation of EE </w:t>
            </w:r>
            <w:r w:rsidR="009C6105" w:rsidRPr="009A000F">
              <w:rPr>
                <w:rFonts w:eastAsia="Times New Roman" w:cstheme="minorHAnsi"/>
                <w:color w:val="000000"/>
                <w:sz w:val="18"/>
                <w:szCs w:val="18"/>
                <w:lang w:val="en-GB" w:eastAsia="en-GB"/>
              </w:rPr>
              <w:t>measures in public buildings</w:t>
            </w:r>
            <w:r w:rsidR="00CB0D01" w:rsidRPr="009A000F">
              <w:rPr>
                <w:rFonts w:eastAsia="Times New Roman" w:cstheme="minorHAnsi"/>
                <w:color w:val="000000"/>
                <w:sz w:val="18"/>
                <w:szCs w:val="18"/>
                <w:lang w:val="en-GB" w:eastAsia="en-GB"/>
              </w:rPr>
              <w:t xml:space="preserve"> is in the implementation stage and no savings can be assessed as the project are under work implementation </w:t>
            </w:r>
          </w:p>
          <w:p w14:paraId="49D019CA" w14:textId="2249EE14" w:rsidR="00E6431D" w:rsidRPr="009A000F" w:rsidRDefault="00CB0D01" w:rsidP="00E6431D">
            <w:pPr>
              <w:spacing w:after="0" w:line="240" w:lineRule="auto"/>
              <w:rPr>
                <w:rFonts w:eastAsia="Times New Roman" w:cstheme="minorHAnsi"/>
                <w:color w:val="000000"/>
                <w:sz w:val="18"/>
                <w:szCs w:val="18"/>
                <w:lang w:val="en-GB" w:eastAsia="en-GB"/>
              </w:rPr>
            </w:pPr>
            <w:proofErr w:type="gramStart"/>
            <w:r w:rsidRPr="009A000F">
              <w:rPr>
                <w:rFonts w:eastAsia="Times New Roman" w:cstheme="minorHAnsi"/>
                <w:color w:val="000000"/>
                <w:sz w:val="18"/>
                <w:szCs w:val="18"/>
                <w:lang w:val="en-GB" w:eastAsia="en-GB"/>
              </w:rPr>
              <w:t>total</w:t>
            </w:r>
            <w:proofErr w:type="gramEnd"/>
            <w:r w:rsidRPr="009A000F">
              <w:rPr>
                <w:rFonts w:eastAsia="Times New Roman" w:cstheme="minorHAnsi"/>
                <w:color w:val="000000"/>
                <w:sz w:val="18"/>
                <w:szCs w:val="18"/>
                <w:lang w:val="en-GB" w:eastAsia="en-GB"/>
              </w:rPr>
              <w:t xml:space="preserve"> investment for </w:t>
            </w:r>
            <w:r w:rsidRPr="00CB4513">
              <w:rPr>
                <w:rFonts w:eastAsia="Times New Roman" w:cstheme="minorHAnsi"/>
                <w:color w:val="000000"/>
                <w:sz w:val="18"/>
                <w:szCs w:val="18"/>
                <w:lang w:val="en-GB" w:eastAsia="en-GB"/>
              </w:rPr>
              <w:t>reporting period is: 5.06 Mil euro.</w:t>
            </w:r>
            <w:r w:rsidR="009C6105" w:rsidRPr="009A000F">
              <w:rPr>
                <w:rFonts w:eastAsia="Times New Roman" w:cstheme="minorHAnsi"/>
                <w:color w:val="000000"/>
                <w:sz w:val="18"/>
                <w:szCs w:val="18"/>
                <w:lang w:val="en-GB" w:eastAsia="en-GB"/>
              </w:rPr>
              <w:t xml:space="preserve"> </w:t>
            </w:r>
          </w:p>
        </w:tc>
        <w:tc>
          <w:tcPr>
            <w:tcW w:w="566" w:type="pct"/>
            <w:tcBorders>
              <w:top w:val="single" w:sz="4" w:space="0" w:color="auto"/>
              <w:left w:val="single" w:sz="4" w:space="0" w:color="auto"/>
              <w:bottom w:val="single" w:sz="4" w:space="0" w:color="auto"/>
              <w:right w:val="single" w:sz="4" w:space="0" w:color="auto"/>
            </w:tcBorders>
          </w:tcPr>
          <w:p w14:paraId="4F7A436F" w14:textId="64604BA7" w:rsidR="00E6431D" w:rsidRPr="009A000F" w:rsidRDefault="009C6105" w:rsidP="00E6431D">
            <w:pPr>
              <w:spacing w:after="0" w:line="240" w:lineRule="auto"/>
              <w:rPr>
                <w:rFonts w:eastAsia="Times New Roman" w:cstheme="minorHAnsi"/>
                <w:i/>
                <w:color w:val="000000"/>
                <w:sz w:val="18"/>
                <w:szCs w:val="18"/>
                <w:lang w:val="en-GB" w:eastAsia="en-GB"/>
              </w:rPr>
            </w:pPr>
            <w:r w:rsidRPr="009A000F">
              <w:rPr>
                <w:rFonts w:eastAsia="Times New Roman" w:cstheme="minorHAnsi"/>
                <w:color w:val="000000"/>
                <w:sz w:val="18"/>
                <w:szCs w:val="18"/>
                <w:lang w:val="en-GB" w:eastAsia="en-GB"/>
              </w:rPr>
              <w:t>2021</w:t>
            </w:r>
          </w:p>
        </w:tc>
        <w:tc>
          <w:tcPr>
            <w:tcW w:w="739" w:type="pct"/>
            <w:tcBorders>
              <w:top w:val="single" w:sz="4" w:space="0" w:color="auto"/>
              <w:left w:val="single" w:sz="4" w:space="0" w:color="auto"/>
              <w:bottom w:val="single" w:sz="4" w:space="0" w:color="auto"/>
              <w:right w:val="single" w:sz="4" w:space="0" w:color="auto"/>
            </w:tcBorders>
          </w:tcPr>
          <w:p w14:paraId="15DA72B2" w14:textId="77777777" w:rsidR="00DE2C85" w:rsidRPr="009A000F" w:rsidRDefault="00DE2C85" w:rsidP="00E6431D">
            <w:pPr>
              <w:spacing w:after="0" w:line="240" w:lineRule="auto"/>
              <w:jc w:val="center"/>
              <w:rPr>
                <w:rFonts w:eastAsia="Times New Roman" w:cstheme="minorHAnsi"/>
                <w:i/>
                <w:color w:val="000000"/>
                <w:sz w:val="18"/>
                <w:szCs w:val="18"/>
                <w:highlight w:val="yellow"/>
                <w:lang w:val="en-GB" w:eastAsia="en-GB"/>
              </w:rPr>
            </w:pPr>
          </w:p>
          <w:p w14:paraId="2079C621" w14:textId="1E49F220" w:rsidR="00E6431D" w:rsidRPr="009A000F" w:rsidRDefault="00B356E1" w:rsidP="00E6431D">
            <w:pPr>
              <w:spacing w:after="0" w:line="240" w:lineRule="auto"/>
              <w:jc w:val="center"/>
              <w:rPr>
                <w:rFonts w:eastAsia="Times New Roman" w:cstheme="minorHAnsi"/>
                <w:i/>
                <w:color w:val="000000"/>
                <w:sz w:val="18"/>
                <w:szCs w:val="18"/>
                <w:lang w:val="en-GB" w:eastAsia="en-GB"/>
              </w:rPr>
            </w:pPr>
            <w:r w:rsidRPr="00CB4513">
              <w:rPr>
                <w:rFonts w:eastAsia="Times New Roman" w:cstheme="minorHAnsi"/>
                <w:i/>
                <w:color w:val="000000"/>
                <w:sz w:val="18"/>
                <w:szCs w:val="18"/>
                <w:lang w:val="en-GB" w:eastAsia="en-GB"/>
              </w:rPr>
              <w:t xml:space="preserve">0.92 </w:t>
            </w:r>
            <w:proofErr w:type="spellStart"/>
            <w:r w:rsidRPr="00CB4513">
              <w:rPr>
                <w:rFonts w:eastAsia="Times New Roman" w:cstheme="minorHAnsi"/>
                <w:i/>
                <w:color w:val="000000"/>
                <w:sz w:val="18"/>
                <w:szCs w:val="18"/>
                <w:lang w:val="en-GB" w:eastAsia="en-GB"/>
              </w:rPr>
              <w:t>ktoe</w:t>
            </w:r>
            <w:proofErr w:type="spellEnd"/>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29A6E" w14:textId="77777777" w:rsidR="00E6431D" w:rsidRPr="009A000F" w:rsidRDefault="00E6431D" w:rsidP="00E6431D">
            <w:pPr>
              <w:spacing w:after="0" w:line="240" w:lineRule="auto"/>
              <w:jc w:val="center"/>
              <w:rPr>
                <w:rFonts w:eastAsia="Times New Roman" w:cstheme="minorHAnsi"/>
                <w:i/>
                <w:color w:val="000000"/>
                <w:sz w:val="18"/>
                <w:szCs w:val="18"/>
                <w:lang w:val="en-GB" w:eastAsia="en-GB"/>
              </w:rPr>
            </w:pPr>
          </w:p>
        </w:tc>
      </w:tr>
      <w:tr w:rsidR="00A906C2" w:rsidRPr="009A000F" w14:paraId="0486656D"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DC577" w14:textId="2ECCCE28" w:rsidR="002F2AC5" w:rsidRPr="009A000F" w:rsidRDefault="002F2AC5" w:rsidP="002F2AC5">
            <w:pPr>
              <w:pStyle w:val="Caption"/>
              <w:spacing w:line="240" w:lineRule="auto"/>
              <w:ind w:left="0"/>
              <w:rPr>
                <w:rFonts w:asciiTheme="minorHAnsi" w:hAnsiTheme="minorHAnsi" w:cstheme="minorHAnsi"/>
                <w:b w:val="0"/>
                <w:bCs w:val="0"/>
                <w:color w:val="000000"/>
                <w:sz w:val="18"/>
                <w:szCs w:val="18"/>
                <w:lang w:eastAsia="en-GB"/>
              </w:rPr>
            </w:pPr>
            <w:r w:rsidRPr="009A000F">
              <w:rPr>
                <w:rFonts w:asciiTheme="minorHAnsi" w:hAnsiTheme="minorHAnsi" w:cstheme="minorHAnsi"/>
                <w:b w:val="0"/>
                <w:bCs w:val="0"/>
                <w:color w:val="000000"/>
                <w:sz w:val="18"/>
                <w:szCs w:val="18"/>
                <w:lang w:eastAsia="en-GB"/>
              </w:rPr>
              <w:t xml:space="preserve">The EBRD Green Economy Financing Facility (GEFF) has continued supporting SMEs through micro finance institutions during 2021. </w:t>
            </w:r>
          </w:p>
          <w:p w14:paraId="77B0A91B" w14:textId="77777777" w:rsidR="002F2AC5" w:rsidRPr="009A000F" w:rsidRDefault="002F2AC5" w:rsidP="00E6431D">
            <w:pPr>
              <w:spacing w:after="0" w:line="240" w:lineRule="auto"/>
              <w:ind w:left="142"/>
              <w:rPr>
                <w:rFonts w:eastAsia="Times New Roman" w:cstheme="minorHAnsi"/>
                <w:color w:val="000000"/>
                <w:sz w:val="18"/>
                <w:szCs w:val="18"/>
                <w:lang w:val="en-GB" w:eastAsia="en-GB"/>
              </w:rPr>
            </w:pPr>
          </w:p>
        </w:tc>
        <w:tc>
          <w:tcPr>
            <w:tcW w:w="1871" w:type="pct"/>
            <w:tcBorders>
              <w:top w:val="single" w:sz="4" w:space="0" w:color="auto"/>
              <w:left w:val="single" w:sz="4" w:space="0" w:color="auto"/>
              <w:bottom w:val="single" w:sz="4" w:space="0" w:color="auto"/>
              <w:right w:val="single" w:sz="4" w:space="0" w:color="auto"/>
            </w:tcBorders>
          </w:tcPr>
          <w:p w14:paraId="4F54731C" w14:textId="59D7BA27" w:rsidR="002F2AC5" w:rsidRPr="009A000F" w:rsidRDefault="002F2AC5" w:rsidP="00E6431D">
            <w:pPr>
              <w:spacing w:after="0" w:line="240" w:lineRule="auto"/>
              <w:rPr>
                <w:rFonts w:eastAsia="Times New Roman" w:cstheme="minorHAnsi"/>
                <w:color w:val="000000"/>
                <w:sz w:val="18"/>
                <w:szCs w:val="18"/>
                <w:lang w:val="en-GB" w:eastAsia="en-GB"/>
              </w:rPr>
            </w:pPr>
            <w:r w:rsidRPr="009A000F">
              <w:rPr>
                <w:rFonts w:cstheme="minorHAnsi"/>
                <w:bCs/>
                <w:color w:val="000000"/>
                <w:sz w:val="18"/>
                <w:szCs w:val="18"/>
                <w:lang w:val="en-GB" w:eastAsia="en-GB"/>
              </w:rPr>
              <w:t>GEFF provides finance for green economy investments in the private sector as well as to SMEs to implement energy efficiency and renewable energy products and services.</w:t>
            </w:r>
          </w:p>
        </w:tc>
        <w:tc>
          <w:tcPr>
            <w:tcW w:w="566" w:type="pct"/>
            <w:tcBorders>
              <w:top w:val="single" w:sz="4" w:space="0" w:color="auto"/>
              <w:left w:val="single" w:sz="4" w:space="0" w:color="auto"/>
              <w:bottom w:val="single" w:sz="4" w:space="0" w:color="auto"/>
              <w:right w:val="single" w:sz="4" w:space="0" w:color="auto"/>
            </w:tcBorders>
          </w:tcPr>
          <w:p w14:paraId="75D0CE36" w14:textId="27BDE55A" w:rsidR="002F2AC5" w:rsidRPr="009A000F" w:rsidRDefault="002F2AC5" w:rsidP="00E6431D">
            <w:pPr>
              <w:spacing w:after="0" w:line="240" w:lineRule="auto"/>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2021</w:t>
            </w:r>
          </w:p>
        </w:tc>
        <w:tc>
          <w:tcPr>
            <w:tcW w:w="739" w:type="pct"/>
            <w:tcBorders>
              <w:top w:val="single" w:sz="4" w:space="0" w:color="auto"/>
              <w:left w:val="single" w:sz="4" w:space="0" w:color="auto"/>
              <w:bottom w:val="single" w:sz="4" w:space="0" w:color="auto"/>
              <w:right w:val="single" w:sz="4" w:space="0" w:color="auto"/>
            </w:tcBorders>
          </w:tcPr>
          <w:p w14:paraId="71608136" w14:textId="77777777" w:rsidR="00DE2C85" w:rsidRPr="009A000F" w:rsidRDefault="00DE2C85" w:rsidP="00E6431D">
            <w:pPr>
              <w:spacing w:after="0" w:line="240" w:lineRule="auto"/>
              <w:jc w:val="center"/>
              <w:rPr>
                <w:rFonts w:eastAsia="Times New Roman" w:cstheme="minorHAnsi"/>
                <w:i/>
                <w:color w:val="000000"/>
                <w:sz w:val="18"/>
                <w:szCs w:val="18"/>
                <w:lang w:val="en-GB" w:eastAsia="en-GB"/>
              </w:rPr>
            </w:pPr>
          </w:p>
          <w:p w14:paraId="6683F409" w14:textId="74B8D216" w:rsidR="002F2AC5" w:rsidRPr="009A000F" w:rsidRDefault="00B356E1" w:rsidP="00E6431D">
            <w:pPr>
              <w:spacing w:after="0" w:line="240" w:lineRule="auto"/>
              <w:jc w:val="center"/>
              <w:rPr>
                <w:rFonts w:eastAsia="Times New Roman" w:cstheme="minorHAnsi"/>
                <w:i/>
                <w:color w:val="000000"/>
                <w:sz w:val="18"/>
                <w:szCs w:val="18"/>
                <w:lang w:val="en-GB" w:eastAsia="en-GB"/>
              </w:rPr>
            </w:pPr>
            <w:r w:rsidRPr="009A000F">
              <w:rPr>
                <w:rFonts w:eastAsia="Times New Roman" w:cstheme="minorHAnsi"/>
                <w:i/>
                <w:color w:val="000000"/>
                <w:sz w:val="18"/>
                <w:szCs w:val="18"/>
                <w:lang w:val="en-GB" w:eastAsia="en-GB"/>
              </w:rPr>
              <w:t>0.1ktoe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35F860" w14:textId="77777777" w:rsidR="002F2AC5" w:rsidRPr="009A000F" w:rsidRDefault="002F2AC5" w:rsidP="00E6431D">
            <w:pPr>
              <w:spacing w:after="0" w:line="240" w:lineRule="auto"/>
              <w:jc w:val="center"/>
              <w:rPr>
                <w:rFonts w:eastAsia="Times New Roman" w:cstheme="minorHAnsi"/>
                <w:i/>
                <w:color w:val="000000"/>
                <w:sz w:val="18"/>
                <w:szCs w:val="18"/>
                <w:lang w:val="en-GB" w:eastAsia="en-GB"/>
              </w:rPr>
            </w:pPr>
          </w:p>
        </w:tc>
      </w:tr>
      <w:tr w:rsidR="00A906C2" w:rsidRPr="009A000F" w14:paraId="198579CD"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7DDA68" w14:textId="127C9218" w:rsidR="00B96EFC" w:rsidRPr="009A000F" w:rsidRDefault="00B96EFC" w:rsidP="00E6431D">
            <w:pPr>
              <w:spacing w:after="0" w:line="240" w:lineRule="auto"/>
              <w:ind w:left="142"/>
              <w:rPr>
                <w:rFonts w:eastAsia="Times New Roman" w:cstheme="minorHAnsi"/>
                <w:sz w:val="18"/>
                <w:szCs w:val="18"/>
                <w:lang w:val="en-GB" w:eastAsia="en-GB"/>
              </w:rPr>
            </w:pPr>
            <w:r w:rsidRPr="009A000F">
              <w:rPr>
                <w:rFonts w:eastAsia="Times New Roman" w:cstheme="minorHAnsi"/>
                <w:sz w:val="18"/>
                <w:szCs w:val="18"/>
                <w:lang w:val="en-GB" w:eastAsia="en-GB"/>
              </w:rPr>
              <w:t xml:space="preserve">Implementation of Energy Efficiency measures in household sector supported by MCC under </w:t>
            </w:r>
            <w:r w:rsidR="000E2C87" w:rsidRPr="009A000F">
              <w:rPr>
                <w:rFonts w:eastAsia="Times New Roman" w:cstheme="minorHAnsi"/>
                <w:sz w:val="18"/>
                <w:szCs w:val="18"/>
                <w:lang w:val="en-GB" w:eastAsia="en-GB"/>
              </w:rPr>
              <w:t>MFK</w:t>
            </w:r>
            <w:r w:rsidRPr="009A000F">
              <w:rPr>
                <w:rFonts w:eastAsia="Times New Roman" w:cstheme="minorHAnsi"/>
                <w:sz w:val="18"/>
                <w:szCs w:val="18"/>
                <w:lang w:val="en-GB" w:eastAsia="en-GB"/>
              </w:rPr>
              <w:t xml:space="preserve"> program</w:t>
            </w:r>
          </w:p>
        </w:tc>
        <w:tc>
          <w:tcPr>
            <w:tcW w:w="1871" w:type="pct"/>
            <w:tcBorders>
              <w:top w:val="single" w:sz="4" w:space="0" w:color="auto"/>
              <w:left w:val="single" w:sz="4" w:space="0" w:color="auto"/>
              <w:bottom w:val="single" w:sz="4" w:space="0" w:color="auto"/>
              <w:right w:val="single" w:sz="4" w:space="0" w:color="auto"/>
            </w:tcBorders>
          </w:tcPr>
          <w:p w14:paraId="6030CE5A" w14:textId="198A4B7A" w:rsidR="00B96EFC" w:rsidRPr="009A000F" w:rsidRDefault="00B96EFC" w:rsidP="00E6431D">
            <w:pPr>
              <w:spacing w:after="0" w:line="240" w:lineRule="auto"/>
              <w:rPr>
                <w:rFonts w:eastAsia="Times New Roman" w:cstheme="minorHAnsi"/>
                <w:sz w:val="18"/>
                <w:szCs w:val="18"/>
                <w:lang w:val="en-GB" w:eastAsia="en-GB"/>
              </w:rPr>
            </w:pPr>
            <w:r w:rsidRPr="009A000F">
              <w:rPr>
                <w:rFonts w:eastAsia="Times New Roman" w:cstheme="minorHAnsi"/>
                <w:sz w:val="18"/>
                <w:szCs w:val="18"/>
                <w:lang w:val="en-GB" w:eastAsia="en-GB"/>
              </w:rPr>
              <w:t xml:space="preserve">Implementation of EE measures in household sector; building envelope thermos-insulation, replacing doors and windows, installing efficient heating and cooling system, installing efficient lighting, installation of solar thermal panels for SHW.  </w:t>
            </w:r>
            <w:r w:rsidR="000E2C87" w:rsidRPr="009A000F">
              <w:rPr>
                <w:rFonts w:eastAsia="Times New Roman" w:cstheme="minorHAnsi"/>
                <w:sz w:val="18"/>
                <w:szCs w:val="18"/>
                <w:lang w:val="en-GB" w:eastAsia="en-GB"/>
              </w:rPr>
              <w:t xml:space="preserve"> The total investment about 4.06 Mil </w:t>
            </w:r>
            <w:r w:rsidR="00B356E1" w:rsidRPr="009A000F">
              <w:rPr>
                <w:rFonts w:eastAsia="Times New Roman" w:cstheme="minorHAnsi"/>
                <w:sz w:val="18"/>
                <w:szCs w:val="18"/>
                <w:lang w:val="en-GB" w:eastAsia="en-GB"/>
              </w:rPr>
              <w:t>Euro is</w:t>
            </w:r>
            <w:r w:rsidR="000E2C87" w:rsidRPr="009A000F">
              <w:rPr>
                <w:rFonts w:eastAsia="Times New Roman" w:cstheme="minorHAnsi"/>
                <w:sz w:val="18"/>
                <w:szCs w:val="18"/>
                <w:lang w:val="en-GB" w:eastAsia="en-GB"/>
              </w:rPr>
              <w:t xml:space="preserve"> done under HER, AER, and WEE </w:t>
            </w:r>
            <w:r w:rsidR="00667FA4" w:rsidRPr="009A000F">
              <w:rPr>
                <w:rFonts w:eastAsia="Times New Roman" w:cstheme="minorHAnsi"/>
                <w:sz w:val="18"/>
                <w:szCs w:val="18"/>
                <w:lang w:val="en-GB" w:eastAsia="en-GB"/>
              </w:rPr>
              <w:t>windows.</w:t>
            </w:r>
            <w:r w:rsidR="00CB0D01" w:rsidRPr="009A000F">
              <w:rPr>
                <w:rFonts w:eastAsia="Times New Roman" w:cstheme="minorHAnsi"/>
                <w:sz w:val="18"/>
                <w:szCs w:val="18"/>
                <w:lang w:val="en-GB" w:eastAsia="en-GB"/>
              </w:rPr>
              <w:t xml:space="preserve"> </w:t>
            </w:r>
            <w:r w:rsidR="00B356E1" w:rsidRPr="009A000F">
              <w:rPr>
                <w:rFonts w:eastAsia="Times New Roman" w:cstheme="minorHAnsi"/>
                <w:sz w:val="18"/>
                <w:szCs w:val="18"/>
                <w:lang w:val="en-GB" w:eastAsia="en-GB"/>
              </w:rPr>
              <w:t xml:space="preserve">The program covered </w:t>
            </w:r>
            <w:r w:rsidR="00CB0D01" w:rsidRPr="009A000F">
              <w:rPr>
                <w:rFonts w:eastAsia="Times New Roman" w:cstheme="minorHAnsi"/>
                <w:sz w:val="18"/>
                <w:szCs w:val="18"/>
                <w:lang w:val="en-GB" w:eastAsia="en-GB"/>
              </w:rPr>
              <w:t xml:space="preserve">175 </w:t>
            </w:r>
            <w:r w:rsidR="00B356E1" w:rsidRPr="009A000F">
              <w:rPr>
                <w:rFonts w:eastAsia="Times New Roman" w:cstheme="minorHAnsi"/>
                <w:sz w:val="18"/>
                <w:szCs w:val="18"/>
                <w:lang w:val="en-GB" w:eastAsia="en-GB"/>
              </w:rPr>
              <w:t>household buildings with 43,935</w:t>
            </w:r>
            <w:r w:rsidR="00CB0D01" w:rsidRPr="009A000F">
              <w:rPr>
                <w:rFonts w:eastAsia="Times New Roman" w:cstheme="minorHAnsi"/>
                <w:sz w:val="18"/>
                <w:szCs w:val="18"/>
                <w:lang w:val="en-GB" w:eastAsia="en-GB"/>
              </w:rPr>
              <w:t xml:space="preserve"> m</w:t>
            </w:r>
            <w:r w:rsidR="00B356E1" w:rsidRPr="009A000F">
              <w:rPr>
                <w:rFonts w:eastAsia="Times New Roman" w:cstheme="minorHAnsi"/>
                <w:sz w:val="18"/>
                <w:szCs w:val="18"/>
                <w:lang w:val="en-GB" w:eastAsia="en-GB"/>
              </w:rPr>
              <w:t>2.</w:t>
            </w:r>
          </w:p>
        </w:tc>
        <w:tc>
          <w:tcPr>
            <w:tcW w:w="566" w:type="pct"/>
            <w:tcBorders>
              <w:top w:val="single" w:sz="4" w:space="0" w:color="auto"/>
              <w:left w:val="single" w:sz="4" w:space="0" w:color="auto"/>
              <w:bottom w:val="single" w:sz="4" w:space="0" w:color="auto"/>
              <w:right w:val="single" w:sz="4" w:space="0" w:color="auto"/>
            </w:tcBorders>
          </w:tcPr>
          <w:p w14:paraId="4B69353A" w14:textId="2ADBDA28" w:rsidR="00B96EFC" w:rsidRPr="009A000F" w:rsidRDefault="009C6105" w:rsidP="00E6431D">
            <w:pPr>
              <w:spacing w:after="0" w:line="240" w:lineRule="auto"/>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2021</w:t>
            </w:r>
          </w:p>
        </w:tc>
        <w:tc>
          <w:tcPr>
            <w:tcW w:w="739" w:type="pct"/>
            <w:tcBorders>
              <w:top w:val="single" w:sz="4" w:space="0" w:color="auto"/>
              <w:left w:val="single" w:sz="4" w:space="0" w:color="auto"/>
              <w:bottom w:val="single" w:sz="4" w:space="0" w:color="auto"/>
              <w:right w:val="single" w:sz="4" w:space="0" w:color="auto"/>
            </w:tcBorders>
          </w:tcPr>
          <w:p w14:paraId="352864BC" w14:textId="77777777" w:rsidR="00DE2C85" w:rsidRPr="009A000F" w:rsidRDefault="00DE2C85" w:rsidP="00E6431D">
            <w:pPr>
              <w:spacing w:after="0" w:line="240" w:lineRule="auto"/>
              <w:jc w:val="center"/>
              <w:rPr>
                <w:rFonts w:eastAsia="Times New Roman" w:cstheme="minorHAnsi"/>
                <w:i/>
                <w:color w:val="000000"/>
                <w:sz w:val="18"/>
                <w:szCs w:val="18"/>
                <w:lang w:val="en-GB" w:eastAsia="en-GB"/>
              </w:rPr>
            </w:pPr>
          </w:p>
          <w:p w14:paraId="3A1FE59F" w14:textId="77777777" w:rsidR="00DE2C85" w:rsidRPr="009A000F" w:rsidRDefault="00DE2C85" w:rsidP="00E6431D">
            <w:pPr>
              <w:spacing w:after="0" w:line="240" w:lineRule="auto"/>
              <w:jc w:val="center"/>
              <w:rPr>
                <w:rFonts w:eastAsia="Times New Roman" w:cstheme="minorHAnsi"/>
                <w:i/>
                <w:color w:val="000000"/>
                <w:sz w:val="18"/>
                <w:szCs w:val="18"/>
                <w:lang w:val="en-GB" w:eastAsia="en-GB"/>
              </w:rPr>
            </w:pPr>
          </w:p>
          <w:p w14:paraId="1E2BC671" w14:textId="69AD5843" w:rsidR="00B96EFC" w:rsidRPr="009A000F" w:rsidRDefault="00667FA4" w:rsidP="00E6431D">
            <w:pPr>
              <w:spacing w:after="0" w:line="240" w:lineRule="auto"/>
              <w:jc w:val="center"/>
              <w:rPr>
                <w:rFonts w:eastAsia="Times New Roman" w:cstheme="minorHAnsi"/>
                <w:i/>
                <w:color w:val="000000"/>
                <w:sz w:val="18"/>
                <w:szCs w:val="18"/>
                <w:lang w:val="en-GB" w:eastAsia="en-GB"/>
              </w:rPr>
            </w:pPr>
            <w:r w:rsidRPr="009A000F">
              <w:rPr>
                <w:rFonts w:eastAsia="Times New Roman" w:cstheme="minorHAnsi"/>
                <w:i/>
                <w:color w:val="000000"/>
                <w:sz w:val="18"/>
                <w:szCs w:val="18"/>
                <w:lang w:val="en-GB" w:eastAsia="en-GB"/>
              </w:rPr>
              <w:t>0.74ktoe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8A4C3" w14:textId="77777777" w:rsidR="00B96EFC" w:rsidRPr="009A000F" w:rsidRDefault="00B96EFC" w:rsidP="00E6431D">
            <w:pPr>
              <w:spacing w:after="0" w:line="240" w:lineRule="auto"/>
              <w:jc w:val="center"/>
              <w:rPr>
                <w:rFonts w:eastAsia="Times New Roman" w:cstheme="minorHAnsi"/>
                <w:i/>
                <w:color w:val="000000"/>
                <w:sz w:val="18"/>
                <w:szCs w:val="18"/>
                <w:lang w:val="en-GB" w:eastAsia="en-GB"/>
              </w:rPr>
            </w:pPr>
          </w:p>
        </w:tc>
      </w:tr>
      <w:tr w:rsidR="00A906C2" w:rsidRPr="009A000F" w14:paraId="25372817" w14:textId="77777777" w:rsidTr="00A906C2">
        <w:trPr>
          <w:trHeight w:val="458"/>
        </w:trPr>
        <w:tc>
          <w:tcPr>
            <w:tcW w:w="12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79FF9" w14:textId="73F17552" w:rsidR="009E5CF7" w:rsidRPr="009A000F" w:rsidRDefault="009E5CF7" w:rsidP="009E5CF7">
            <w:pPr>
              <w:spacing w:after="0" w:line="240" w:lineRule="auto"/>
              <w:ind w:left="142"/>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 xml:space="preserve">Commercial banks investment in green energy and Energy efficiency </w:t>
            </w:r>
          </w:p>
        </w:tc>
        <w:tc>
          <w:tcPr>
            <w:tcW w:w="1871" w:type="pct"/>
            <w:tcBorders>
              <w:top w:val="single" w:sz="4" w:space="0" w:color="auto"/>
              <w:left w:val="single" w:sz="4" w:space="0" w:color="auto"/>
              <w:bottom w:val="single" w:sz="4" w:space="0" w:color="auto"/>
              <w:right w:val="single" w:sz="4" w:space="0" w:color="auto"/>
            </w:tcBorders>
          </w:tcPr>
          <w:p w14:paraId="3779F398" w14:textId="303E6AC9" w:rsidR="009E5CF7" w:rsidRPr="009A000F" w:rsidRDefault="009E5CF7" w:rsidP="009E5CF7">
            <w:pPr>
              <w:spacing w:after="0" w:line="240" w:lineRule="auto"/>
              <w:ind w:left="142"/>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 xml:space="preserve">Different </w:t>
            </w:r>
            <w:proofErr w:type="spellStart"/>
            <w:r w:rsidRPr="009A000F">
              <w:rPr>
                <w:rFonts w:eastAsia="Times New Roman" w:cstheme="minorHAnsi"/>
                <w:color w:val="000000"/>
                <w:sz w:val="18"/>
                <w:szCs w:val="18"/>
                <w:lang w:val="en-GB" w:eastAsia="en-GB"/>
              </w:rPr>
              <w:t>lona</w:t>
            </w:r>
            <w:proofErr w:type="spellEnd"/>
            <w:r w:rsidRPr="009A000F">
              <w:rPr>
                <w:rFonts w:eastAsia="Times New Roman" w:cstheme="minorHAnsi"/>
                <w:color w:val="000000"/>
                <w:sz w:val="18"/>
                <w:szCs w:val="18"/>
                <w:lang w:val="en-GB" w:eastAsia="en-GB"/>
              </w:rPr>
              <w:t xml:space="preserve"> </w:t>
            </w:r>
            <w:proofErr w:type="spellStart"/>
            <w:r w:rsidRPr="009A000F">
              <w:rPr>
                <w:rFonts w:eastAsia="Times New Roman" w:cstheme="minorHAnsi"/>
                <w:color w:val="000000"/>
                <w:sz w:val="18"/>
                <w:szCs w:val="18"/>
                <w:lang w:val="en-GB" w:eastAsia="en-GB"/>
              </w:rPr>
              <w:t>schems</w:t>
            </w:r>
            <w:proofErr w:type="spellEnd"/>
            <w:r w:rsidRPr="009A000F">
              <w:rPr>
                <w:rFonts w:eastAsia="Times New Roman" w:cstheme="minorHAnsi"/>
                <w:color w:val="000000"/>
                <w:sz w:val="18"/>
                <w:szCs w:val="18"/>
                <w:lang w:val="en-GB" w:eastAsia="en-GB"/>
              </w:rPr>
              <w:t xml:space="preserve"> for financing EE and res “Green Energy and Energy Efficiency” with the total invest of 17,687,699.69Mil. Euro.</w:t>
            </w:r>
          </w:p>
          <w:p w14:paraId="2BA0F0D2" w14:textId="77777777" w:rsidR="009E5CF7" w:rsidRPr="009A000F" w:rsidRDefault="009E5CF7" w:rsidP="00E6431D">
            <w:pPr>
              <w:spacing w:after="0" w:line="240" w:lineRule="auto"/>
              <w:rPr>
                <w:rFonts w:eastAsia="Times New Roman" w:cstheme="minorHAnsi"/>
                <w:color w:val="000000"/>
                <w:sz w:val="18"/>
                <w:szCs w:val="18"/>
                <w:lang w:val="en-GB" w:eastAsia="en-GB"/>
              </w:rPr>
            </w:pPr>
          </w:p>
        </w:tc>
        <w:tc>
          <w:tcPr>
            <w:tcW w:w="566" w:type="pct"/>
            <w:tcBorders>
              <w:top w:val="single" w:sz="4" w:space="0" w:color="auto"/>
              <w:left w:val="single" w:sz="4" w:space="0" w:color="auto"/>
              <w:bottom w:val="single" w:sz="4" w:space="0" w:color="auto"/>
              <w:right w:val="single" w:sz="4" w:space="0" w:color="auto"/>
            </w:tcBorders>
          </w:tcPr>
          <w:p w14:paraId="58436834" w14:textId="27EFA1FE" w:rsidR="009E5CF7" w:rsidRPr="009A000F" w:rsidRDefault="00211444" w:rsidP="00E6431D">
            <w:pPr>
              <w:spacing w:after="0" w:line="240" w:lineRule="auto"/>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2021</w:t>
            </w:r>
          </w:p>
        </w:tc>
        <w:tc>
          <w:tcPr>
            <w:tcW w:w="739" w:type="pct"/>
            <w:tcBorders>
              <w:top w:val="single" w:sz="4" w:space="0" w:color="auto"/>
              <w:left w:val="single" w:sz="4" w:space="0" w:color="auto"/>
              <w:bottom w:val="single" w:sz="4" w:space="0" w:color="auto"/>
              <w:right w:val="single" w:sz="4" w:space="0" w:color="auto"/>
            </w:tcBorders>
          </w:tcPr>
          <w:p w14:paraId="2D016A69" w14:textId="02A233CE" w:rsidR="009E5CF7" w:rsidRPr="009A000F" w:rsidRDefault="009E5CF7" w:rsidP="00E6431D">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 xml:space="preserve">3.215 </w:t>
            </w:r>
            <w:proofErr w:type="spellStart"/>
            <w:r w:rsidRPr="009A000F">
              <w:rPr>
                <w:rFonts w:eastAsia="Times New Roman" w:cstheme="minorHAnsi"/>
                <w:color w:val="000000"/>
                <w:sz w:val="18"/>
                <w:szCs w:val="18"/>
                <w:lang w:val="en-GB" w:eastAsia="en-GB"/>
              </w:rPr>
              <w:t>ktoe</w:t>
            </w:r>
            <w:proofErr w:type="spellEnd"/>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5BF79E" w14:textId="77777777" w:rsidR="009E5CF7" w:rsidRPr="009A000F" w:rsidRDefault="009E5CF7" w:rsidP="00E6431D">
            <w:pPr>
              <w:spacing w:after="0" w:line="240" w:lineRule="auto"/>
              <w:jc w:val="center"/>
              <w:rPr>
                <w:rFonts w:eastAsia="Times New Roman" w:cstheme="minorHAnsi"/>
                <w:i/>
                <w:color w:val="000000"/>
                <w:sz w:val="18"/>
                <w:szCs w:val="18"/>
                <w:lang w:val="en-GB" w:eastAsia="en-GB"/>
              </w:rPr>
            </w:pPr>
          </w:p>
        </w:tc>
      </w:tr>
      <w:tr w:rsidR="00211444" w:rsidRPr="009A000F" w14:paraId="23782C42" w14:textId="77777777" w:rsidTr="00A906C2">
        <w:trPr>
          <w:trHeight w:val="458"/>
        </w:trPr>
        <w:tc>
          <w:tcPr>
            <w:tcW w:w="365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CFEA390" w14:textId="771C9AC9" w:rsidR="00211444" w:rsidRPr="009A000F" w:rsidRDefault="00211444" w:rsidP="00211444">
            <w:pPr>
              <w:spacing w:after="0" w:line="240" w:lineRule="auto"/>
              <w:jc w:val="right"/>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 xml:space="preserve">Total </w:t>
            </w:r>
          </w:p>
        </w:tc>
        <w:tc>
          <w:tcPr>
            <w:tcW w:w="739" w:type="pct"/>
            <w:tcBorders>
              <w:top w:val="single" w:sz="4" w:space="0" w:color="auto"/>
              <w:left w:val="single" w:sz="4" w:space="0" w:color="auto"/>
              <w:bottom w:val="single" w:sz="4" w:space="0" w:color="auto"/>
              <w:right w:val="single" w:sz="4" w:space="0" w:color="auto"/>
            </w:tcBorders>
          </w:tcPr>
          <w:p w14:paraId="5FD59B09" w14:textId="09FBA303" w:rsidR="00211444" w:rsidRPr="009A000F" w:rsidRDefault="00211444" w:rsidP="00E6431D">
            <w:pPr>
              <w:spacing w:after="0" w:line="240" w:lineRule="auto"/>
              <w:jc w:val="center"/>
              <w:rPr>
                <w:rFonts w:eastAsia="Times New Roman" w:cstheme="minorHAnsi"/>
                <w:color w:val="000000"/>
                <w:sz w:val="18"/>
                <w:szCs w:val="18"/>
                <w:lang w:val="en-GB" w:eastAsia="en-GB"/>
              </w:rPr>
            </w:pPr>
            <w:r w:rsidRPr="009A000F">
              <w:rPr>
                <w:rFonts w:eastAsia="Times New Roman" w:cstheme="minorHAnsi"/>
                <w:color w:val="000000"/>
                <w:sz w:val="18"/>
                <w:szCs w:val="18"/>
                <w:lang w:val="en-GB" w:eastAsia="en-GB"/>
              </w:rPr>
              <w:t>6.391ktoe</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98C4D" w14:textId="77777777" w:rsidR="00211444" w:rsidRPr="009A000F" w:rsidRDefault="00211444" w:rsidP="00E6431D">
            <w:pPr>
              <w:spacing w:after="0" w:line="240" w:lineRule="auto"/>
              <w:jc w:val="center"/>
              <w:rPr>
                <w:rFonts w:eastAsia="Times New Roman" w:cstheme="minorHAnsi"/>
                <w:i/>
                <w:color w:val="000000"/>
                <w:sz w:val="18"/>
                <w:szCs w:val="18"/>
                <w:lang w:val="en-GB" w:eastAsia="en-GB"/>
              </w:rPr>
            </w:pPr>
          </w:p>
        </w:tc>
      </w:tr>
    </w:tbl>
    <w:p w14:paraId="61A99222" w14:textId="77777777" w:rsidR="002F2AC5" w:rsidRDefault="002F2AC5" w:rsidP="009C00A0">
      <w:pPr>
        <w:pStyle w:val="ListParagraph"/>
        <w:ind w:left="1080"/>
        <w:jc w:val="both"/>
        <w:rPr>
          <w:rFonts w:cstheme="minorHAnsi"/>
          <w:lang w:val="en-GB"/>
        </w:rPr>
      </w:pPr>
    </w:p>
    <w:p w14:paraId="68BF582E" w14:textId="77777777" w:rsidR="00211444" w:rsidRPr="00211444" w:rsidRDefault="00211444" w:rsidP="00F31884">
      <w:pPr>
        <w:pStyle w:val="ListParagraph"/>
        <w:numPr>
          <w:ilvl w:val="0"/>
          <w:numId w:val="14"/>
        </w:numPr>
        <w:ind w:left="360"/>
        <w:jc w:val="both"/>
        <w:rPr>
          <w:rFonts w:ascii="Calibri" w:eastAsia="Times New Roman" w:hAnsi="Calibri" w:cs="Times New Roman"/>
          <w:bCs/>
          <w:sz w:val="18"/>
          <w:szCs w:val="18"/>
          <w:lang w:val="en-GB" w:eastAsia="en-GB"/>
        </w:rPr>
      </w:pPr>
      <w:r w:rsidRPr="00976830">
        <w:rPr>
          <w:lang w:val="en-US"/>
        </w:rPr>
        <w:lastRenderedPageBreak/>
        <w:t>Additionally, there were actions taken during the reporting period that are anticipated to support the implementation of EED or the Law on EE; the Law on EE;</w:t>
      </w:r>
    </w:p>
    <w:p w14:paraId="047C2A8E" w14:textId="77777777" w:rsidR="003F4559" w:rsidRPr="003F4559" w:rsidRDefault="003F4559" w:rsidP="003F4559">
      <w:pPr>
        <w:pStyle w:val="ListParagraph"/>
        <w:numPr>
          <w:ilvl w:val="0"/>
          <w:numId w:val="14"/>
        </w:numPr>
        <w:jc w:val="both"/>
        <w:rPr>
          <w:rFonts w:ascii="Calibri" w:eastAsia="Times New Roman" w:hAnsi="Calibri" w:cs="Times New Roman"/>
          <w:bCs/>
          <w:sz w:val="18"/>
          <w:szCs w:val="18"/>
          <w:lang w:val="en-GB" w:eastAsia="en-GB"/>
        </w:rPr>
      </w:pPr>
      <w:r w:rsidRPr="003F4559">
        <w:rPr>
          <w:rFonts w:ascii="Calibri" w:eastAsia="Times New Roman" w:hAnsi="Calibri" w:cs="Times New Roman"/>
          <w:bCs/>
          <w:sz w:val="18"/>
          <w:szCs w:val="18"/>
          <w:lang w:val="en-GB" w:eastAsia="en-GB"/>
        </w:rPr>
        <w:t xml:space="preserve">Under technical assistance projects implemented by GIZ it has been significant progress in preparing the digitization system for the procedures for energy performance certification in Buildings. The Calculation software and data management platform are in the finalization stage. The technical requirements and guidelines for implementation of energy efficiency in different sectors are developed too. The capacity development programs are implemented, targeting Municipal energy managers for planning, implementation, and monitoring (for all Kosovo Municipalities)   </w:t>
      </w:r>
    </w:p>
    <w:p w14:paraId="2A794681" w14:textId="77777777" w:rsidR="003F4559" w:rsidRPr="003F4559" w:rsidRDefault="003F4559" w:rsidP="003F4559">
      <w:pPr>
        <w:pStyle w:val="ListParagraph"/>
        <w:numPr>
          <w:ilvl w:val="0"/>
          <w:numId w:val="14"/>
        </w:numPr>
        <w:jc w:val="both"/>
        <w:rPr>
          <w:rFonts w:ascii="Calibri" w:eastAsia="Times New Roman" w:hAnsi="Calibri" w:cs="Times New Roman"/>
          <w:bCs/>
          <w:sz w:val="18"/>
          <w:szCs w:val="18"/>
          <w:lang w:val="en-GB" w:eastAsia="en-GB"/>
        </w:rPr>
      </w:pPr>
      <w:r w:rsidRPr="003F4559">
        <w:rPr>
          <w:rFonts w:ascii="Calibri" w:eastAsia="Times New Roman" w:hAnsi="Calibri" w:cs="Times New Roman"/>
          <w:bCs/>
          <w:sz w:val="18"/>
          <w:szCs w:val="18"/>
          <w:lang w:val="en-GB" w:eastAsia="en-GB"/>
        </w:rPr>
        <w:t xml:space="preserve">The program for training of Energy auditors has continued Centre for energy and sustainability CES at </w:t>
      </w:r>
      <w:proofErr w:type="spellStart"/>
      <w:r w:rsidRPr="003F4559">
        <w:rPr>
          <w:rFonts w:ascii="Calibri" w:eastAsia="Times New Roman" w:hAnsi="Calibri" w:cs="Times New Roman"/>
          <w:bCs/>
          <w:sz w:val="18"/>
          <w:szCs w:val="18"/>
          <w:lang w:val="en-GB" w:eastAsia="en-GB"/>
        </w:rPr>
        <w:t>Prishtina</w:t>
      </w:r>
      <w:proofErr w:type="spellEnd"/>
      <w:r w:rsidRPr="003F4559">
        <w:rPr>
          <w:rFonts w:ascii="Calibri" w:eastAsia="Times New Roman" w:hAnsi="Calibri" w:cs="Times New Roman"/>
          <w:bCs/>
          <w:sz w:val="18"/>
          <w:szCs w:val="18"/>
          <w:lang w:val="en-GB" w:eastAsia="en-GB"/>
        </w:rPr>
        <w:t xml:space="preserve"> University has continued to provide training for energy auditors. </w:t>
      </w:r>
    </w:p>
    <w:p w14:paraId="09929031" w14:textId="77777777" w:rsidR="003F4559" w:rsidRPr="003F4559" w:rsidRDefault="003F4559" w:rsidP="003F4559">
      <w:pPr>
        <w:pStyle w:val="ListParagraph"/>
        <w:numPr>
          <w:ilvl w:val="0"/>
          <w:numId w:val="14"/>
        </w:numPr>
        <w:jc w:val="both"/>
        <w:rPr>
          <w:rFonts w:ascii="Calibri" w:eastAsia="Times New Roman" w:hAnsi="Calibri" w:cs="Times New Roman"/>
          <w:bCs/>
          <w:sz w:val="18"/>
          <w:szCs w:val="18"/>
          <w:lang w:val="en-GB" w:eastAsia="en-GB"/>
        </w:rPr>
      </w:pPr>
      <w:r w:rsidRPr="003F4559">
        <w:rPr>
          <w:rFonts w:ascii="Calibri" w:eastAsia="Times New Roman" w:hAnsi="Calibri" w:cs="Times New Roman"/>
          <w:bCs/>
          <w:sz w:val="18"/>
          <w:szCs w:val="18"/>
          <w:lang w:val="en-GB" w:eastAsia="en-GB"/>
        </w:rPr>
        <w:t>Activities on gender aspects are conducted with local NGO’s bringing an overview Gender Diversity on the Energy Sector.</w:t>
      </w:r>
    </w:p>
    <w:p w14:paraId="56B26CA9" w14:textId="77777777" w:rsidR="003F4559" w:rsidRDefault="003F4559" w:rsidP="003F4559">
      <w:pPr>
        <w:pStyle w:val="ListParagraph"/>
        <w:numPr>
          <w:ilvl w:val="0"/>
          <w:numId w:val="14"/>
        </w:numPr>
        <w:jc w:val="both"/>
        <w:rPr>
          <w:rFonts w:ascii="Calibri" w:eastAsia="Times New Roman" w:hAnsi="Calibri" w:cs="Times New Roman"/>
          <w:bCs/>
          <w:sz w:val="18"/>
          <w:szCs w:val="18"/>
          <w:lang w:val="en-GB" w:eastAsia="en-GB"/>
        </w:rPr>
      </w:pPr>
      <w:r w:rsidRPr="002552C0">
        <w:rPr>
          <w:rFonts w:ascii="Calibri" w:eastAsia="Times New Roman" w:hAnsi="Calibri" w:cs="Times New Roman"/>
          <w:bCs/>
          <w:sz w:val="18"/>
          <w:szCs w:val="18"/>
          <w:lang w:val="en-GB" w:eastAsia="en-GB"/>
        </w:rPr>
        <w:t xml:space="preserve">Kosovo sustainable development week (KSDW ), its 5 edition is organized by ME, MESPI, MRD supported by EU, GIZ , INDEP and BGF: Complete version of KSDW 2021 recommendations can be found on KSDW web page; </w:t>
      </w:r>
      <w:hyperlink r:id="rId18" w:history="1">
        <w:r w:rsidRPr="002552C0">
          <w:rPr>
            <w:rStyle w:val="Hyperlink"/>
            <w:sz w:val="18"/>
            <w:szCs w:val="18"/>
            <w:lang w:val="en-US"/>
          </w:rPr>
          <w:t>https://ksdw.rks-gov.net/storage/app/media/KSDW2021_Report_ENG-min.pdf</w:t>
        </w:r>
      </w:hyperlink>
    </w:p>
    <w:p w14:paraId="384787D7" w14:textId="62BEFB21" w:rsidR="00327909" w:rsidRDefault="00327909" w:rsidP="003F4559">
      <w:pPr>
        <w:pStyle w:val="Heading1"/>
      </w:pPr>
      <w:r w:rsidRPr="009309D2">
        <w:lastRenderedPageBreak/>
        <w:t>Central Gover</w:t>
      </w:r>
      <w:r w:rsidR="009309D2">
        <w:t>n</w:t>
      </w:r>
      <w:r w:rsidRPr="009309D2">
        <w:t>ment buildings</w:t>
      </w:r>
      <w:r w:rsidR="002F41BB" w:rsidRPr="009309D2">
        <w:t xml:space="preserve"> (</w:t>
      </w:r>
      <w:r w:rsidR="0029765F">
        <w:t xml:space="preserve">EED </w:t>
      </w:r>
      <w:r w:rsidR="002F41BB" w:rsidRPr="009309D2">
        <w:t>Article 5)</w:t>
      </w:r>
      <w:r w:rsidR="0029765F">
        <w:t xml:space="preserve"> and </w:t>
      </w:r>
      <w:r w:rsidR="0029765F" w:rsidRPr="0029765F">
        <w:t>nearly zero-energy buildings</w:t>
      </w:r>
      <w:r w:rsidR="0029765F">
        <w:t xml:space="preserve"> (EPBD Article 9)</w:t>
      </w:r>
    </w:p>
    <w:p w14:paraId="50A77332" w14:textId="7C8665F0" w:rsidR="003E7655" w:rsidRPr="00FA24F5" w:rsidRDefault="00FF04AF" w:rsidP="00AE50F6">
      <w:pPr>
        <w:spacing w:after="0" w:line="240" w:lineRule="auto"/>
        <w:jc w:val="both"/>
        <w:rPr>
          <w:rFonts w:cstheme="minorHAnsi"/>
          <w:lang w:val="en-GB"/>
        </w:rPr>
      </w:pPr>
      <w:r w:rsidRPr="00FA24F5">
        <w:rPr>
          <w:rFonts w:cstheme="minorHAnsi"/>
          <w:lang w:val="en-GB"/>
        </w:rPr>
        <w:t xml:space="preserve">The program for renovation of Central government buildings is ongoing through Kosovo Energy Efficiency and Renewable Energy Program (KEEREP) </w:t>
      </w:r>
    </w:p>
    <w:p w14:paraId="194F99F5" w14:textId="1CB8B003" w:rsidR="00FF04AF" w:rsidRPr="00717B12" w:rsidRDefault="003E7655" w:rsidP="00717B12">
      <w:pPr>
        <w:pStyle w:val="ListParagraph"/>
        <w:ind w:left="0"/>
        <w:jc w:val="both"/>
        <w:rPr>
          <w:rFonts w:cstheme="minorHAnsi"/>
          <w:lang w:val="en-GB"/>
        </w:rPr>
      </w:pPr>
      <w:r w:rsidRPr="00717B12">
        <w:rPr>
          <w:rFonts w:cstheme="minorHAnsi"/>
          <w:lang w:val="en-GB"/>
        </w:rPr>
        <w:t xml:space="preserve">The action plan for near zero energy building is still as draft version. Its adoption is expected by end of </w:t>
      </w:r>
      <w:r w:rsidR="009A000F">
        <w:rPr>
          <w:rFonts w:cstheme="minorHAnsi"/>
          <w:lang w:val="en-GB"/>
        </w:rPr>
        <w:t>2022</w:t>
      </w:r>
      <w:r w:rsidRPr="00717B12">
        <w:rPr>
          <w:rFonts w:cstheme="minorHAnsi"/>
          <w:lang w:val="en-GB"/>
        </w:rPr>
        <w:t>. Several projects are identified to be under development stage</w:t>
      </w:r>
      <w:r w:rsidR="00FA24F5">
        <w:rPr>
          <w:rFonts w:cstheme="minorHAnsi"/>
          <w:lang w:val="en-GB"/>
        </w:rPr>
        <w:t>, this includes the d</w:t>
      </w:r>
      <w:r w:rsidRPr="00717B12">
        <w:rPr>
          <w:rFonts w:cstheme="minorHAnsi"/>
          <w:lang w:val="en-GB"/>
        </w:rPr>
        <w:t>etail design</w:t>
      </w:r>
      <w:r w:rsidR="00FA24F5">
        <w:rPr>
          <w:rFonts w:cstheme="minorHAnsi"/>
          <w:lang w:val="en-GB"/>
        </w:rPr>
        <w:t xml:space="preserve"> for fulfilment of the </w:t>
      </w:r>
      <w:proofErr w:type="spellStart"/>
      <w:r w:rsidRPr="00717B12">
        <w:rPr>
          <w:rFonts w:cstheme="minorHAnsi"/>
          <w:lang w:val="en-GB"/>
        </w:rPr>
        <w:t>nZEB</w:t>
      </w:r>
      <w:proofErr w:type="spellEnd"/>
      <w:r w:rsidRPr="00717B12">
        <w:rPr>
          <w:rFonts w:cstheme="minorHAnsi"/>
          <w:lang w:val="en-GB"/>
        </w:rPr>
        <w:t xml:space="preserve"> requirements. </w:t>
      </w:r>
    </w:p>
    <w:p w14:paraId="283AE889" w14:textId="241F4DD8" w:rsidR="00B673BC" w:rsidRDefault="00B673BC" w:rsidP="00FA24F5">
      <w:pPr>
        <w:pStyle w:val="ListParagraph"/>
        <w:ind w:left="0"/>
        <w:jc w:val="both"/>
        <w:rPr>
          <w:i/>
          <w:color w:val="0070C0"/>
          <w:lang w:val="en-GB"/>
        </w:rPr>
      </w:pPr>
    </w:p>
    <w:tbl>
      <w:tblPr>
        <w:tblStyle w:val="TableGrid"/>
        <w:tblW w:w="5000" w:type="pct"/>
        <w:tblBorders>
          <w:top w:val="none" w:sz="0" w:space="0" w:color="auto"/>
          <w:left w:val="none" w:sz="0" w:space="0" w:color="auto"/>
        </w:tblBorders>
        <w:tblLook w:val="04A0" w:firstRow="1" w:lastRow="0" w:firstColumn="1" w:lastColumn="0" w:noHBand="0" w:noVBand="1"/>
      </w:tblPr>
      <w:tblGrid>
        <w:gridCol w:w="4600"/>
        <w:gridCol w:w="2469"/>
        <w:gridCol w:w="3001"/>
      </w:tblGrid>
      <w:tr w:rsidR="000E5744" w:rsidRPr="0014266E" w14:paraId="5EC55B3F" w14:textId="77777777" w:rsidTr="00B81907">
        <w:trPr>
          <w:trHeight w:val="570"/>
        </w:trPr>
        <w:tc>
          <w:tcPr>
            <w:tcW w:w="2284" w:type="pct"/>
            <w:tcBorders>
              <w:bottom w:val="single" w:sz="4" w:space="0" w:color="auto"/>
            </w:tcBorders>
            <w:shd w:val="clear" w:color="auto" w:fill="auto"/>
            <w:vAlign w:val="center"/>
            <w:hideMark/>
          </w:tcPr>
          <w:p w14:paraId="0B18C7D4" w14:textId="77777777" w:rsidR="000E5744" w:rsidRPr="0014266E" w:rsidRDefault="000E5744" w:rsidP="00811D7F">
            <w:pPr>
              <w:ind w:left="142"/>
              <w:jc w:val="center"/>
              <w:rPr>
                <w:rFonts w:ascii="Calibri" w:eastAsia="Times New Roman" w:hAnsi="Calibri" w:cs="Times New Roman"/>
                <w:bCs/>
                <w:sz w:val="18"/>
                <w:szCs w:val="18"/>
                <w:lang w:val="en-GB" w:eastAsia="en-GB"/>
              </w:rPr>
            </w:pPr>
          </w:p>
        </w:tc>
        <w:tc>
          <w:tcPr>
            <w:tcW w:w="1226" w:type="pct"/>
            <w:tcBorders>
              <w:top w:val="single" w:sz="4" w:space="0" w:color="auto"/>
              <w:bottom w:val="single" w:sz="4" w:space="0" w:color="auto"/>
            </w:tcBorders>
            <w:shd w:val="clear" w:color="auto" w:fill="8DB3E2" w:themeFill="text2" w:themeFillTint="66"/>
            <w:vAlign w:val="center"/>
            <w:hideMark/>
          </w:tcPr>
          <w:p w14:paraId="50B6CCC8" w14:textId="7D432FB8" w:rsidR="000E5744" w:rsidRPr="0014266E" w:rsidRDefault="000E5744" w:rsidP="00811D7F">
            <w:pPr>
              <w:ind w:left="142"/>
              <w:jc w:val="center"/>
              <w:rPr>
                <w:rFonts w:ascii="Calibri" w:eastAsia="Times New Roman" w:hAnsi="Calibri" w:cs="Times New Roman"/>
                <w:bCs/>
                <w:sz w:val="18"/>
                <w:szCs w:val="18"/>
                <w:lang w:val="en-GB" w:eastAsia="en-GB"/>
              </w:rPr>
            </w:pPr>
            <w:r w:rsidRPr="000E5744">
              <w:rPr>
                <w:rFonts w:ascii="Calibri" w:eastAsia="Times New Roman" w:hAnsi="Calibri" w:cs="Times New Roman"/>
                <w:bCs/>
                <w:sz w:val="18"/>
                <w:szCs w:val="18"/>
                <w:lang w:val="en-GB" w:eastAsia="en-GB"/>
              </w:rPr>
              <w:t>on 1 January 2020</w:t>
            </w:r>
          </w:p>
        </w:tc>
        <w:tc>
          <w:tcPr>
            <w:tcW w:w="1490" w:type="pct"/>
            <w:tcBorders>
              <w:top w:val="single" w:sz="4" w:space="0" w:color="auto"/>
              <w:bottom w:val="single" w:sz="4" w:space="0" w:color="auto"/>
            </w:tcBorders>
            <w:shd w:val="clear" w:color="auto" w:fill="8DB3E2" w:themeFill="text2" w:themeFillTint="66"/>
            <w:vAlign w:val="center"/>
            <w:hideMark/>
          </w:tcPr>
          <w:p w14:paraId="0FDAFA6A" w14:textId="310282EC" w:rsidR="000E5744" w:rsidRPr="0014266E" w:rsidRDefault="000E5744" w:rsidP="00811D7F">
            <w:pPr>
              <w:ind w:left="142"/>
              <w:jc w:val="center"/>
              <w:rPr>
                <w:rFonts w:ascii="Calibri" w:eastAsia="Times New Roman" w:hAnsi="Calibri" w:cs="Times New Roman"/>
                <w:bCs/>
                <w:sz w:val="18"/>
                <w:szCs w:val="18"/>
                <w:lang w:val="en-GB" w:eastAsia="en-GB"/>
              </w:rPr>
            </w:pPr>
            <w:r w:rsidRPr="000E5744">
              <w:rPr>
                <w:rFonts w:ascii="Calibri" w:eastAsia="Times New Roman" w:hAnsi="Calibri" w:cs="Times New Roman"/>
                <w:bCs/>
                <w:sz w:val="18"/>
                <w:szCs w:val="18"/>
                <w:lang w:val="en-GB" w:eastAsia="en-GB"/>
              </w:rPr>
              <w:t>on 1 January 2021</w:t>
            </w:r>
          </w:p>
        </w:tc>
      </w:tr>
      <w:tr w:rsidR="000E5744" w:rsidRPr="00277F01" w14:paraId="230592B4" w14:textId="77777777" w:rsidTr="00B81907">
        <w:trPr>
          <w:trHeight w:val="600"/>
        </w:trPr>
        <w:tc>
          <w:tcPr>
            <w:tcW w:w="2284" w:type="pct"/>
            <w:tcBorders>
              <w:top w:val="single" w:sz="4" w:space="0" w:color="auto"/>
              <w:left w:val="single" w:sz="4" w:space="0" w:color="auto"/>
            </w:tcBorders>
            <w:shd w:val="clear" w:color="auto" w:fill="8DB3E2" w:themeFill="text2" w:themeFillTint="66"/>
            <w:vAlign w:val="center"/>
            <w:hideMark/>
          </w:tcPr>
          <w:p w14:paraId="544A5634" w14:textId="39C7FE8F" w:rsidR="000E5744" w:rsidRPr="0014266E" w:rsidRDefault="000E5744" w:rsidP="00B81907">
            <w:pPr>
              <w:ind w:left="142"/>
              <w:jc w:val="both"/>
              <w:rPr>
                <w:rFonts w:ascii="Calibri" w:eastAsia="Times New Roman" w:hAnsi="Calibri" w:cs="Times New Roman"/>
                <w:bCs/>
                <w:sz w:val="18"/>
                <w:szCs w:val="18"/>
                <w:lang w:val="en-GB" w:eastAsia="en-GB"/>
              </w:rPr>
            </w:pPr>
            <w:r w:rsidRPr="000E5744">
              <w:rPr>
                <w:rFonts w:ascii="Calibri" w:eastAsia="Times New Roman" w:hAnsi="Calibri" w:cs="Times New Roman"/>
                <w:bCs/>
                <w:sz w:val="18"/>
                <w:szCs w:val="18"/>
                <w:lang w:val="en-GB" w:eastAsia="en-GB"/>
              </w:rPr>
              <w:t>Total building floor area [m</w:t>
            </w:r>
            <w:r w:rsidRPr="00B81907">
              <w:rPr>
                <w:rFonts w:ascii="Calibri" w:eastAsia="Times New Roman" w:hAnsi="Calibri" w:cs="Times New Roman"/>
                <w:bCs/>
                <w:sz w:val="18"/>
                <w:szCs w:val="18"/>
                <w:vertAlign w:val="superscript"/>
                <w:lang w:val="en-GB" w:eastAsia="en-GB"/>
              </w:rPr>
              <w:t>2</w:t>
            </w:r>
            <w:r w:rsidRPr="000E5744">
              <w:rPr>
                <w:rFonts w:ascii="Calibri" w:eastAsia="Times New Roman" w:hAnsi="Calibri" w:cs="Times New Roman"/>
                <w:bCs/>
                <w:sz w:val="18"/>
                <w:szCs w:val="18"/>
                <w:lang w:val="en-GB" w:eastAsia="en-GB"/>
              </w:rPr>
              <w:t>] of the buildings with a total useful floor area over 250 m</w:t>
            </w:r>
            <w:r w:rsidRPr="00B81907">
              <w:rPr>
                <w:rFonts w:ascii="Calibri" w:eastAsia="Times New Roman" w:hAnsi="Calibri" w:cs="Times New Roman"/>
                <w:bCs/>
                <w:sz w:val="18"/>
                <w:szCs w:val="18"/>
                <w:vertAlign w:val="superscript"/>
                <w:lang w:val="en-GB" w:eastAsia="en-GB"/>
              </w:rPr>
              <w:t>2</w:t>
            </w:r>
            <w:r w:rsidRPr="000E5744">
              <w:rPr>
                <w:rFonts w:ascii="Calibri" w:eastAsia="Times New Roman" w:hAnsi="Calibri" w:cs="Times New Roman"/>
                <w:bCs/>
                <w:sz w:val="18"/>
                <w:szCs w:val="18"/>
                <w:lang w:val="en-GB" w:eastAsia="en-GB"/>
              </w:rPr>
              <w:t xml:space="preserve"> owned and occupied by the Contracting Parties’ central government</w:t>
            </w:r>
          </w:p>
        </w:tc>
        <w:tc>
          <w:tcPr>
            <w:tcW w:w="1226" w:type="pct"/>
            <w:tcBorders>
              <w:top w:val="single" w:sz="4" w:space="0" w:color="auto"/>
            </w:tcBorders>
            <w:vAlign w:val="center"/>
            <w:hideMark/>
          </w:tcPr>
          <w:p w14:paraId="42D9EC52" w14:textId="58951A83" w:rsidR="000E5744"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c>
          <w:tcPr>
            <w:tcW w:w="1490" w:type="pct"/>
            <w:tcBorders>
              <w:top w:val="single" w:sz="4" w:space="0" w:color="auto"/>
            </w:tcBorders>
            <w:vAlign w:val="center"/>
            <w:hideMark/>
          </w:tcPr>
          <w:p w14:paraId="3D4BE10D" w14:textId="6B270AA6" w:rsidR="000E5744"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r>
      <w:tr w:rsidR="000E5744" w:rsidRPr="00277F01" w14:paraId="14D9306E" w14:textId="77777777" w:rsidTr="00B81907">
        <w:trPr>
          <w:trHeight w:val="699"/>
        </w:trPr>
        <w:tc>
          <w:tcPr>
            <w:tcW w:w="2284" w:type="pct"/>
            <w:tcBorders>
              <w:top w:val="single" w:sz="4" w:space="0" w:color="auto"/>
              <w:left w:val="single" w:sz="4" w:space="0" w:color="auto"/>
              <w:bottom w:val="single" w:sz="4" w:space="0" w:color="auto"/>
            </w:tcBorders>
            <w:shd w:val="clear" w:color="auto" w:fill="8DB3E2" w:themeFill="text2" w:themeFillTint="66"/>
            <w:vAlign w:val="center"/>
            <w:hideMark/>
          </w:tcPr>
          <w:p w14:paraId="27D9DB35" w14:textId="3715CB55" w:rsidR="000E5744" w:rsidRPr="0014266E" w:rsidRDefault="00B81907" w:rsidP="00B81907">
            <w:pPr>
              <w:ind w:left="142"/>
              <w:jc w:val="both"/>
              <w:rPr>
                <w:rFonts w:ascii="Calibri" w:eastAsia="Times New Roman" w:hAnsi="Calibri" w:cs="Times New Roman"/>
                <w:bCs/>
                <w:sz w:val="18"/>
                <w:szCs w:val="18"/>
                <w:lang w:val="en-GB" w:eastAsia="en-GB"/>
              </w:rPr>
            </w:pPr>
            <w:r w:rsidRPr="00B81907">
              <w:rPr>
                <w:rFonts w:ascii="Calibri" w:eastAsia="Times New Roman" w:hAnsi="Calibri" w:cs="Times New Roman"/>
                <w:bCs/>
                <w:sz w:val="18"/>
                <w:szCs w:val="18"/>
                <w:lang w:val="en-GB" w:eastAsia="en-GB"/>
              </w:rPr>
              <w:t>Total building floor area [m</w:t>
            </w:r>
            <w:r w:rsidRPr="00B81907">
              <w:rPr>
                <w:rFonts w:ascii="Calibri" w:eastAsia="Times New Roman" w:hAnsi="Calibri" w:cs="Times New Roman"/>
                <w:bCs/>
                <w:sz w:val="18"/>
                <w:szCs w:val="18"/>
                <w:vertAlign w:val="superscript"/>
                <w:lang w:val="en-GB" w:eastAsia="en-GB"/>
              </w:rPr>
              <w:t>2</w:t>
            </w:r>
            <w:r w:rsidRPr="00B81907">
              <w:rPr>
                <w:rFonts w:ascii="Calibri" w:eastAsia="Times New Roman" w:hAnsi="Calibri" w:cs="Times New Roman"/>
                <w:bCs/>
                <w:sz w:val="18"/>
                <w:szCs w:val="18"/>
                <w:lang w:val="en-GB" w:eastAsia="en-GB"/>
              </w:rPr>
              <w:t>] of the buildings which did not meet the energy performance requirements referred to in Article 5(1)</w:t>
            </w:r>
          </w:p>
        </w:tc>
        <w:tc>
          <w:tcPr>
            <w:tcW w:w="1226" w:type="pct"/>
            <w:tcBorders>
              <w:top w:val="single" w:sz="4" w:space="0" w:color="auto"/>
              <w:bottom w:val="single" w:sz="4" w:space="0" w:color="auto"/>
            </w:tcBorders>
            <w:vAlign w:val="center"/>
            <w:hideMark/>
          </w:tcPr>
          <w:p w14:paraId="6BBB5598" w14:textId="04562852" w:rsidR="000E5744" w:rsidRPr="0014266E" w:rsidRDefault="003E7655"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NA</w:t>
            </w:r>
          </w:p>
        </w:tc>
        <w:tc>
          <w:tcPr>
            <w:tcW w:w="1490" w:type="pct"/>
            <w:tcBorders>
              <w:top w:val="single" w:sz="4" w:space="0" w:color="auto"/>
              <w:bottom w:val="single" w:sz="4" w:space="0" w:color="auto"/>
            </w:tcBorders>
            <w:vAlign w:val="center"/>
            <w:hideMark/>
          </w:tcPr>
          <w:p w14:paraId="0CCFA427" w14:textId="0259A53A" w:rsidR="000E5744" w:rsidRPr="0014266E" w:rsidRDefault="003E7655"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NA</w:t>
            </w:r>
          </w:p>
        </w:tc>
      </w:tr>
      <w:tr w:rsidR="00B81907" w:rsidRPr="0014266E" w14:paraId="7CD8A278" w14:textId="77777777" w:rsidTr="00B81907">
        <w:trPr>
          <w:trHeight w:val="171"/>
        </w:trPr>
        <w:tc>
          <w:tcPr>
            <w:tcW w:w="2284" w:type="pct"/>
            <w:tcBorders>
              <w:top w:val="single" w:sz="4" w:space="0" w:color="auto"/>
              <w:left w:val="single" w:sz="4" w:space="0" w:color="auto"/>
            </w:tcBorders>
            <w:shd w:val="clear" w:color="auto" w:fill="8DB3E2" w:themeFill="text2" w:themeFillTint="66"/>
            <w:vAlign w:val="center"/>
          </w:tcPr>
          <w:p w14:paraId="201A6A01" w14:textId="77777777" w:rsidR="00B81907" w:rsidRPr="00B81907" w:rsidRDefault="00B81907" w:rsidP="00811D7F">
            <w:pPr>
              <w:ind w:left="142"/>
              <w:jc w:val="center"/>
              <w:rPr>
                <w:rFonts w:ascii="Calibri" w:eastAsia="Times New Roman" w:hAnsi="Calibri" w:cs="Times New Roman"/>
                <w:bCs/>
                <w:sz w:val="18"/>
                <w:szCs w:val="18"/>
                <w:lang w:val="en-GB" w:eastAsia="en-GB"/>
              </w:rPr>
            </w:pPr>
          </w:p>
        </w:tc>
        <w:tc>
          <w:tcPr>
            <w:tcW w:w="1226" w:type="pct"/>
            <w:tcBorders>
              <w:top w:val="single" w:sz="4" w:space="0" w:color="auto"/>
            </w:tcBorders>
            <w:shd w:val="clear" w:color="auto" w:fill="8DB3E2" w:themeFill="text2" w:themeFillTint="66"/>
            <w:vAlign w:val="center"/>
          </w:tcPr>
          <w:p w14:paraId="30616A60" w14:textId="2F970EB0" w:rsidR="00B81907" w:rsidRPr="0014266E" w:rsidRDefault="00B81907"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20</w:t>
            </w:r>
            <w:r w:rsidR="00E001B3">
              <w:rPr>
                <w:rFonts w:ascii="Calibri" w:eastAsia="Times New Roman" w:hAnsi="Calibri" w:cs="Times New Roman"/>
                <w:bCs/>
                <w:sz w:val="18"/>
                <w:szCs w:val="18"/>
                <w:lang w:val="en-GB" w:eastAsia="en-GB"/>
              </w:rPr>
              <w:t>20</w:t>
            </w:r>
          </w:p>
        </w:tc>
        <w:tc>
          <w:tcPr>
            <w:tcW w:w="1490" w:type="pct"/>
            <w:tcBorders>
              <w:top w:val="single" w:sz="4" w:space="0" w:color="auto"/>
            </w:tcBorders>
            <w:shd w:val="clear" w:color="auto" w:fill="8DB3E2" w:themeFill="text2" w:themeFillTint="66"/>
            <w:vAlign w:val="center"/>
          </w:tcPr>
          <w:p w14:paraId="243ABFB1" w14:textId="1F7CFAB8" w:rsidR="00B81907" w:rsidRPr="0014266E" w:rsidRDefault="00B81907"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202</w:t>
            </w:r>
            <w:r w:rsidR="00E001B3">
              <w:rPr>
                <w:rFonts w:ascii="Calibri" w:eastAsia="Times New Roman" w:hAnsi="Calibri" w:cs="Times New Roman"/>
                <w:bCs/>
                <w:sz w:val="18"/>
                <w:szCs w:val="18"/>
                <w:lang w:val="en-GB" w:eastAsia="en-GB"/>
              </w:rPr>
              <w:t>1</w:t>
            </w:r>
          </w:p>
        </w:tc>
      </w:tr>
      <w:tr w:rsidR="00B81907" w:rsidRPr="00277F01" w14:paraId="361BD3EC" w14:textId="77777777" w:rsidTr="00B81907">
        <w:trPr>
          <w:trHeight w:val="614"/>
        </w:trPr>
        <w:tc>
          <w:tcPr>
            <w:tcW w:w="2284" w:type="pct"/>
            <w:tcBorders>
              <w:top w:val="single" w:sz="4" w:space="0" w:color="auto"/>
              <w:left w:val="single" w:sz="4" w:space="0" w:color="auto"/>
            </w:tcBorders>
            <w:shd w:val="clear" w:color="auto" w:fill="8DB3E2" w:themeFill="text2" w:themeFillTint="66"/>
            <w:vAlign w:val="center"/>
          </w:tcPr>
          <w:p w14:paraId="3059ADA1" w14:textId="393BC239" w:rsidR="00B81907" w:rsidRPr="00B81907" w:rsidRDefault="00B81907" w:rsidP="00B81907">
            <w:pPr>
              <w:ind w:left="142"/>
              <w:jc w:val="both"/>
              <w:rPr>
                <w:rFonts w:ascii="Calibri" w:eastAsia="Times New Roman" w:hAnsi="Calibri" w:cs="Times New Roman"/>
                <w:bCs/>
                <w:sz w:val="18"/>
                <w:szCs w:val="18"/>
                <w:lang w:val="en-GB" w:eastAsia="en-GB"/>
              </w:rPr>
            </w:pPr>
            <w:r w:rsidRPr="00B81907">
              <w:rPr>
                <w:rFonts w:ascii="Calibri" w:eastAsia="Times New Roman" w:hAnsi="Calibri" w:cs="Times New Roman"/>
                <w:bCs/>
                <w:sz w:val="18"/>
                <w:szCs w:val="18"/>
                <w:lang w:val="en-GB" w:eastAsia="en-GB"/>
              </w:rPr>
              <w:t>Total building floor area [m2] of buildings renovated as referred to in Article 5(1)</w:t>
            </w:r>
          </w:p>
        </w:tc>
        <w:tc>
          <w:tcPr>
            <w:tcW w:w="1226" w:type="pct"/>
            <w:tcBorders>
              <w:top w:val="single" w:sz="4" w:space="0" w:color="auto"/>
            </w:tcBorders>
            <w:vAlign w:val="center"/>
          </w:tcPr>
          <w:p w14:paraId="7B66D75F" w14:textId="53D07432" w:rsidR="00B81907"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c>
          <w:tcPr>
            <w:tcW w:w="1490" w:type="pct"/>
            <w:tcBorders>
              <w:top w:val="single" w:sz="4" w:space="0" w:color="auto"/>
            </w:tcBorders>
            <w:vAlign w:val="center"/>
          </w:tcPr>
          <w:p w14:paraId="33614834" w14:textId="7F067F99" w:rsidR="00B81907"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r>
      <w:tr w:rsidR="00B81907" w:rsidRPr="00277F01" w14:paraId="28927948" w14:textId="77777777" w:rsidTr="0029765F">
        <w:trPr>
          <w:trHeight w:val="551"/>
        </w:trPr>
        <w:tc>
          <w:tcPr>
            <w:tcW w:w="2284" w:type="pct"/>
            <w:tcBorders>
              <w:top w:val="single" w:sz="4" w:space="0" w:color="auto"/>
              <w:left w:val="single" w:sz="4" w:space="0" w:color="auto"/>
              <w:bottom w:val="single" w:sz="4" w:space="0" w:color="auto"/>
            </w:tcBorders>
            <w:shd w:val="clear" w:color="auto" w:fill="8DB3E2" w:themeFill="text2" w:themeFillTint="66"/>
            <w:vAlign w:val="center"/>
          </w:tcPr>
          <w:p w14:paraId="4AB5FA02" w14:textId="35A50943" w:rsidR="00B81907" w:rsidRPr="00B81907" w:rsidRDefault="00B81907" w:rsidP="00B81907">
            <w:pPr>
              <w:ind w:left="142"/>
              <w:rPr>
                <w:rFonts w:ascii="Calibri" w:eastAsia="Times New Roman" w:hAnsi="Calibri" w:cs="Times New Roman"/>
                <w:bCs/>
                <w:sz w:val="18"/>
                <w:szCs w:val="18"/>
                <w:lang w:val="en-GB" w:eastAsia="en-GB"/>
              </w:rPr>
            </w:pPr>
            <w:r w:rsidRPr="00B81907">
              <w:rPr>
                <w:rFonts w:ascii="Calibri" w:eastAsia="Times New Roman" w:hAnsi="Calibri" w:cs="Times New Roman"/>
                <w:bCs/>
                <w:sz w:val="18"/>
                <w:szCs w:val="18"/>
                <w:lang w:val="en-GB" w:eastAsia="en-GB"/>
              </w:rPr>
              <w:t>Amount of energy savings [</w:t>
            </w:r>
            <w:proofErr w:type="spellStart"/>
            <w:r w:rsidRPr="00B81907">
              <w:rPr>
                <w:rFonts w:ascii="Calibri" w:eastAsia="Times New Roman" w:hAnsi="Calibri" w:cs="Times New Roman"/>
                <w:bCs/>
                <w:sz w:val="18"/>
                <w:szCs w:val="18"/>
                <w:lang w:val="en-GB" w:eastAsia="en-GB"/>
              </w:rPr>
              <w:t>ktoe</w:t>
            </w:r>
            <w:proofErr w:type="spellEnd"/>
            <w:r w:rsidRPr="00B81907">
              <w:rPr>
                <w:rFonts w:ascii="Calibri" w:eastAsia="Times New Roman" w:hAnsi="Calibri" w:cs="Times New Roman"/>
                <w:bCs/>
                <w:sz w:val="18"/>
                <w:szCs w:val="18"/>
                <w:lang w:val="en-GB" w:eastAsia="en-GB"/>
              </w:rPr>
              <w:t xml:space="preserve">] achieved in the given year in eligible buildings owned and occupied by their central government due to renovation of </w:t>
            </w:r>
            <w:r w:rsidR="003E7655" w:rsidRPr="00B81907">
              <w:rPr>
                <w:rFonts w:ascii="Calibri" w:eastAsia="Times New Roman" w:hAnsi="Calibri" w:cs="Times New Roman"/>
                <w:bCs/>
                <w:sz w:val="18"/>
                <w:szCs w:val="18"/>
                <w:lang w:val="en-GB" w:eastAsia="en-GB"/>
              </w:rPr>
              <w:t>buildings</w:t>
            </w:r>
            <w:r w:rsidRPr="00B81907">
              <w:rPr>
                <w:rFonts w:ascii="Calibri" w:eastAsia="Times New Roman" w:hAnsi="Calibri" w:cs="Times New Roman"/>
                <w:bCs/>
                <w:sz w:val="18"/>
                <w:szCs w:val="18"/>
                <w:lang w:val="en-GB" w:eastAsia="en-GB"/>
              </w:rPr>
              <w:t xml:space="preserve"> as set out in Article 5(1), expressed in primary or final energy</w:t>
            </w:r>
          </w:p>
        </w:tc>
        <w:tc>
          <w:tcPr>
            <w:tcW w:w="1226" w:type="pct"/>
            <w:tcBorders>
              <w:top w:val="single" w:sz="4" w:space="0" w:color="auto"/>
              <w:bottom w:val="single" w:sz="4" w:space="0" w:color="auto"/>
            </w:tcBorders>
            <w:vAlign w:val="center"/>
          </w:tcPr>
          <w:p w14:paraId="4244EF46" w14:textId="3759FDD4" w:rsidR="00B81907"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c>
          <w:tcPr>
            <w:tcW w:w="1490" w:type="pct"/>
            <w:tcBorders>
              <w:top w:val="single" w:sz="4" w:space="0" w:color="auto"/>
              <w:bottom w:val="single" w:sz="4" w:space="0" w:color="auto"/>
            </w:tcBorders>
            <w:vAlign w:val="center"/>
          </w:tcPr>
          <w:p w14:paraId="699C3462" w14:textId="126B8190" w:rsidR="00B81907"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r>
      <w:tr w:rsidR="0029765F" w:rsidRPr="00277F01" w14:paraId="17916775" w14:textId="77777777" w:rsidTr="00B81907">
        <w:trPr>
          <w:trHeight w:val="551"/>
        </w:trPr>
        <w:tc>
          <w:tcPr>
            <w:tcW w:w="2284" w:type="pct"/>
            <w:tcBorders>
              <w:top w:val="single" w:sz="4" w:space="0" w:color="auto"/>
              <w:left w:val="single" w:sz="4" w:space="0" w:color="auto"/>
            </w:tcBorders>
            <w:shd w:val="clear" w:color="auto" w:fill="8DB3E2" w:themeFill="text2" w:themeFillTint="66"/>
            <w:vAlign w:val="center"/>
          </w:tcPr>
          <w:p w14:paraId="2BC56C4E" w14:textId="6A277D4A" w:rsidR="0029765F" w:rsidRPr="00B81907" w:rsidRDefault="0029765F" w:rsidP="00B81907">
            <w:pPr>
              <w:ind w:left="142"/>
              <w:rPr>
                <w:rFonts w:ascii="Calibri" w:eastAsia="Times New Roman" w:hAnsi="Calibri" w:cs="Times New Roman"/>
                <w:bCs/>
                <w:sz w:val="18"/>
                <w:szCs w:val="18"/>
                <w:lang w:val="en-GB" w:eastAsia="en-GB"/>
              </w:rPr>
            </w:pPr>
            <w:r w:rsidRPr="0029765F">
              <w:rPr>
                <w:rFonts w:ascii="Calibri" w:eastAsia="Times New Roman" w:hAnsi="Calibri" w:cs="Times New Roman"/>
                <w:bCs/>
                <w:sz w:val="18"/>
                <w:szCs w:val="18"/>
                <w:lang w:val="en-GB" w:eastAsia="en-GB"/>
              </w:rPr>
              <w:t xml:space="preserve">Number and floor area </w:t>
            </w:r>
            <w:r>
              <w:rPr>
                <w:rFonts w:ascii="Calibri" w:eastAsia="Times New Roman" w:hAnsi="Calibri" w:cs="Times New Roman"/>
                <w:bCs/>
                <w:sz w:val="18"/>
                <w:szCs w:val="18"/>
                <w:lang w:val="en-GB" w:eastAsia="en-GB"/>
              </w:rPr>
              <w:t>[m</w:t>
            </w:r>
            <w:r w:rsidRPr="0029765F">
              <w:rPr>
                <w:rFonts w:ascii="Calibri" w:eastAsia="Times New Roman" w:hAnsi="Calibri" w:cs="Times New Roman"/>
                <w:bCs/>
                <w:sz w:val="18"/>
                <w:szCs w:val="18"/>
                <w:vertAlign w:val="superscript"/>
                <w:lang w:val="en-GB" w:eastAsia="en-GB"/>
              </w:rPr>
              <w:t>2</w:t>
            </w:r>
            <w:r>
              <w:rPr>
                <w:rFonts w:ascii="Calibri" w:eastAsia="Times New Roman" w:hAnsi="Calibri" w:cs="Times New Roman"/>
                <w:bCs/>
                <w:sz w:val="18"/>
                <w:szCs w:val="18"/>
                <w:lang w:val="en-GB" w:eastAsia="en-GB"/>
              </w:rPr>
              <w:t xml:space="preserve">] </w:t>
            </w:r>
            <w:r w:rsidRPr="0029765F">
              <w:rPr>
                <w:rFonts w:ascii="Calibri" w:eastAsia="Times New Roman" w:hAnsi="Calibri" w:cs="Times New Roman"/>
                <w:bCs/>
                <w:sz w:val="18"/>
                <w:szCs w:val="18"/>
                <w:lang w:val="en-GB" w:eastAsia="en-GB"/>
              </w:rPr>
              <w:t>of new and renovated nearly zero-energy buildings</w:t>
            </w:r>
          </w:p>
        </w:tc>
        <w:tc>
          <w:tcPr>
            <w:tcW w:w="1226" w:type="pct"/>
            <w:tcBorders>
              <w:top w:val="single" w:sz="4" w:space="0" w:color="auto"/>
            </w:tcBorders>
            <w:vAlign w:val="center"/>
          </w:tcPr>
          <w:p w14:paraId="4FD8A67B" w14:textId="41563918" w:rsidR="0029765F"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c>
          <w:tcPr>
            <w:tcW w:w="1490" w:type="pct"/>
            <w:tcBorders>
              <w:top w:val="single" w:sz="4" w:space="0" w:color="auto"/>
            </w:tcBorders>
            <w:vAlign w:val="center"/>
          </w:tcPr>
          <w:p w14:paraId="457794B9" w14:textId="23D92802" w:rsidR="0029765F" w:rsidRPr="0014266E" w:rsidRDefault="00984850"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r>
    </w:tbl>
    <w:p w14:paraId="0EE9D02F" w14:textId="77777777" w:rsidR="00900C3A" w:rsidRPr="009309D2" w:rsidRDefault="00327909" w:rsidP="00F576C2">
      <w:pPr>
        <w:pStyle w:val="Heading1"/>
      </w:pPr>
      <w:r w:rsidRPr="009309D2">
        <w:t>Energy efficiency obligations</w:t>
      </w:r>
      <w:r w:rsidR="00D96966" w:rsidRPr="009309D2">
        <w:t xml:space="preserve"> (Article 7)</w:t>
      </w:r>
    </w:p>
    <w:p w14:paraId="2302B4CE" w14:textId="77777777" w:rsidR="00633E46" w:rsidRPr="009A000F" w:rsidRDefault="00633E46" w:rsidP="00633E46">
      <w:pPr>
        <w:pStyle w:val="ECABodyText"/>
        <w:jc w:val="both"/>
        <w:rPr>
          <w:rFonts w:asciiTheme="minorHAnsi" w:hAnsiTheme="minorHAnsi" w:cstheme="minorHAnsi"/>
        </w:rPr>
      </w:pPr>
      <w:r w:rsidRPr="009A000F">
        <w:rPr>
          <w:rFonts w:asciiTheme="minorHAnsi" w:hAnsiTheme="minorHAnsi" w:cstheme="minorHAnsi"/>
        </w:rPr>
        <w:t xml:space="preserve">The Law on Energy Efficiency foresees combination of EE efficiency obligation scheme and/or alternative measures. Under Western Balkans Regional Energy Efficiency Programme Phase II – Policy Dialogue Window 1(a) (REEP Plus) technical assistance was provided to Ministry of Economic Development in developing its policy position and implement such policies for fulfilling its obligations under Article 7 of Directive 2012/27/EU. The report has outlined three Alternative Measures which are holding the greatest potential for assisting Kosovo to achieve its expected Article 7 obligations under the Article 7: (Energy Efficiency fund, Voluntary Agreements, and Eco-design regulations. </w:t>
      </w:r>
    </w:p>
    <w:p w14:paraId="0F428C49" w14:textId="0497F296" w:rsidR="004A4ABB" w:rsidRPr="00A906C2" w:rsidRDefault="004A4ABB" w:rsidP="004A4ABB">
      <w:pPr>
        <w:spacing w:after="0" w:line="240" w:lineRule="auto"/>
        <w:jc w:val="both"/>
        <w:rPr>
          <w:rFonts w:eastAsia="Times New Roman" w:cstheme="minorHAnsi"/>
          <w:szCs w:val="20"/>
          <w:lang w:val="en-GB"/>
        </w:rPr>
      </w:pPr>
      <w:r w:rsidRPr="00A906C2">
        <w:rPr>
          <w:rFonts w:eastAsia="Times New Roman" w:cstheme="minorHAnsi"/>
          <w:szCs w:val="20"/>
          <w:lang w:val="en-GB"/>
        </w:rPr>
        <w:t>Kosov</w:t>
      </w:r>
      <w:r w:rsidR="000D156F">
        <w:rPr>
          <w:rFonts w:eastAsia="Times New Roman" w:cstheme="minorHAnsi"/>
          <w:szCs w:val="20"/>
          <w:lang w:val="en-GB"/>
        </w:rPr>
        <w:t>o</w:t>
      </w:r>
      <w:r w:rsidRPr="00A906C2">
        <w:rPr>
          <w:rFonts w:eastAsia="Times New Roman" w:cstheme="minorHAnsi"/>
          <w:szCs w:val="20"/>
          <w:lang w:val="en-GB"/>
        </w:rPr>
        <w:t xml:space="preserve"> has decided to implement alternative policy measures aiming to reduce final energy consumption instead of obligation scheme. </w:t>
      </w:r>
    </w:p>
    <w:p w14:paraId="3B612D6B" w14:textId="06C1C086" w:rsidR="004A4ABB" w:rsidRPr="00A906C2" w:rsidRDefault="004A4ABB" w:rsidP="004A4ABB">
      <w:pPr>
        <w:spacing w:after="0" w:line="240" w:lineRule="auto"/>
        <w:jc w:val="both"/>
        <w:rPr>
          <w:rFonts w:eastAsia="Times New Roman" w:cstheme="minorHAnsi"/>
          <w:szCs w:val="20"/>
          <w:lang w:val="en-GB"/>
        </w:rPr>
      </w:pPr>
      <w:r w:rsidRPr="00A906C2">
        <w:rPr>
          <w:rFonts w:eastAsia="Times New Roman" w:cstheme="minorHAnsi"/>
          <w:szCs w:val="20"/>
          <w:lang w:val="en-GB"/>
        </w:rPr>
        <w:t xml:space="preserve">The measures </w:t>
      </w:r>
      <w:r w:rsidR="00A906C2" w:rsidRPr="00A906C2">
        <w:rPr>
          <w:rFonts w:eastAsia="Times New Roman" w:cstheme="minorHAnsi"/>
          <w:szCs w:val="20"/>
          <w:lang w:val="en-GB"/>
        </w:rPr>
        <w:t>include</w:t>
      </w:r>
      <w:r w:rsidRPr="00A906C2">
        <w:rPr>
          <w:rFonts w:eastAsia="Times New Roman" w:cstheme="minorHAnsi"/>
          <w:szCs w:val="20"/>
          <w:lang w:val="en-GB"/>
        </w:rPr>
        <w:t xml:space="preserve"> the establishment of Energy Efficiency Fund </w:t>
      </w:r>
      <w:r w:rsidR="00A906C2" w:rsidRPr="00A906C2">
        <w:rPr>
          <w:rFonts w:eastAsia="Times New Roman" w:cstheme="minorHAnsi"/>
          <w:szCs w:val="20"/>
          <w:lang w:val="en-GB"/>
        </w:rPr>
        <w:t xml:space="preserve">(KEF) </w:t>
      </w:r>
      <w:r w:rsidRPr="00A906C2">
        <w:rPr>
          <w:rFonts w:eastAsia="Times New Roman" w:cstheme="minorHAnsi"/>
          <w:szCs w:val="20"/>
          <w:lang w:val="en-GB"/>
        </w:rPr>
        <w:t>which is operational since 2019.</w:t>
      </w:r>
    </w:p>
    <w:p w14:paraId="751AB9F2" w14:textId="6DBCEB62" w:rsidR="004A4ABB" w:rsidRDefault="00A906C2" w:rsidP="00596D2C">
      <w:pPr>
        <w:spacing w:after="0" w:line="240" w:lineRule="auto"/>
        <w:jc w:val="both"/>
        <w:rPr>
          <w:rFonts w:cstheme="minorHAnsi"/>
          <w:b/>
          <w:bCs/>
          <w:lang w:val="en-US"/>
        </w:rPr>
      </w:pPr>
      <w:r w:rsidRPr="00A906C2">
        <w:rPr>
          <w:rFonts w:eastAsia="Times New Roman" w:cstheme="minorHAnsi"/>
          <w:szCs w:val="20"/>
          <w:lang w:val="en-GB"/>
        </w:rPr>
        <w:t>KEF d</w:t>
      </w:r>
      <w:r w:rsidR="004A4ABB" w:rsidRPr="00A906C2">
        <w:rPr>
          <w:rFonts w:eastAsia="Times New Roman" w:cstheme="minorHAnsi"/>
          <w:szCs w:val="20"/>
          <w:lang w:val="en-GB"/>
        </w:rPr>
        <w:t xml:space="preserve">uring 2021 under “the package 6” for renovation of public building </w:t>
      </w:r>
      <w:r w:rsidRPr="00A906C2">
        <w:rPr>
          <w:rFonts w:eastAsia="Times New Roman" w:cstheme="minorHAnsi"/>
          <w:szCs w:val="20"/>
          <w:lang w:val="en-GB"/>
        </w:rPr>
        <w:t xml:space="preserve">has </w:t>
      </w:r>
      <w:r w:rsidR="004A4ABB" w:rsidRPr="00A906C2">
        <w:rPr>
          <w:rFonts w:eastAsia="Times New Roman" w:cstheme="minorHAnsi"/>
          <w:szCs w:val="20"/>
          <w:lang w:val="en-GB"/>
        </w:rPr>
        <w:t>implement</w:t>
      </w:r>
      <w:r w:rsidRPr="00A906C2">
        <w:rPr>
          <w:rFonts w:eastAsia="Times New Roman" w:cstheme="minorHAnsi"/>
          <w:szCs w:val="20"/>
          <w:lang w:val="en-GB"/>
        </w:rPr>
        <w:t xml:space="preserve">ed </w:t>
      </w:r>
      <w:r w:rsidR="004A4ABB" w:rsidRPr="00A906C2">
        <w:rPr>
          <w:rFonts w:eastAsia="Times New Roman" w:cstheme="minorHAnsi"/>
          <w:szCs w:val="20"/>
          <w:lang w:val="en-GB"/>
        </w:rPr>
        <w:t>EE measures in 17 public buildings</w:t>
      </w:r>
      <w:r w:rsidRPr="00A906C2">
        <w:rPr>
          <w:rFonts w:eastAsia="Times New Roman" w:cstheme="minorHAnsi"/>
          <w:szCs w:val="20"/>
          <w:lang w:val="en-GB"/>
        </w:rPr>
        <w:t xml:space="preserve">. In addition, it is developed and functionalized the mechanism for training and certification of energy auditors and energy assessors with </w:t>
      </w:r>
      <w:proofErr w:type="spellStart"/>
      <w:r w:rsidRPr="00A906C2">
        <w:rPr>
          <w:rFonts w:eastAsia="Times New Roman" w:cstheme="minorHAnsi"/>
          <w:szCs w:val="20"/>
          <w:lang w:val="en-GB"/>
        </w:rPr>
        <w:t>Prishtina</w:t>
      </w:r>
      <w:proofErr w:type="spellEnd"/>
      <w:r w:rsidRPr="00A906C2">
        <w:rPr>
          <w:rFonts w:eastAsia="Times New Roman" w:cstheme="minorHAnsi"/>
          <w:szCs w:val="20"/>
          <w:lang w:val="en-GB"/>
        </w:rPr>
        <w:t xml:space="preserve"> </w:t>
      </w:r>
      <w:proofErr w:type="gramStart"/>
      <w:r w:rsidRPr="00A906C2">
        <w:rPr>
          <w:rFonts w:eastAsia="Times New Roman" w:cstheme="minorHAnsi"/>
          <w:szCs w:val="20"/>
          <w:lang w:val="en-GB"/>
        </w:rPr>
        <w:t>university</w:t>
      </w:r>
      <w:proofErr w:type="gramEnd"/>
      <w:r w:rsidR="009A000F">
        <w:rPr>
          <w:rFonts w:eastAsia="Times New Roman" w:cstheme="minorHAnsi"/>
          <w:szCs w:val="20"/>
          <w:lang w:val="en-GB"/>
        </w:rPr>
        <w:t>.</w:t>
      </w:r>
    </w:p>
    <w:p w14:paraId="3CB21994" w14:textId="0A008EF9" w:rsidR="007A7C7D" w:rsidRPr="007A7C7D" w:rsidRDefault="00A906C2" w:rsidP="007A7C7D">
      <w:pPr>
        <w:pStyle w:val="ECABodyText"/>
        <w:jc w:val="both"/>
        <w:rPr>
          <w:rFonts w:asciiTheme="minorHAnsi" w:hAnsiTheme="minorHAnsi" w:cstheme="minorHAnsi"/>
        </w:rPr>
      </w:pPr>
      <w:r>
        <w:rPr>
          <w:rFonts w:asciiTheme="minorHAnsi" w:hAnsiTheme="minorHAnsi" w:cstheme="minorHAnsi"/>
        </w:rPr>
        <w:t>T</w:t>
      </w:r>
      <w:r w:rsidR="00633E46" w:rsidRPr="007A7C7D">
        <w:rPr>
          <w:rFonts w:asciiTheme="minorHAnsi" w:hAnsiTheme="minorHAnsi" w:cstheme="minorHAnsi"/>
        </w:rPr>
        <w:t xml:space="preserve">he </w:t>
      </w:r>
      <w:r w:rsidR="00633E46" w:rsidRPr="007A7C7D">
        <w:rPr>
          <w:rFonts w:asciiTheme="minorHAnsi" w:hAnsiTheme="minorHAnsi" w:cstheme="minorHAnsi"/>
          <w:b/>
          <w:bCs/>
        </w:rPr>
        <w:t xml:space="preserve">Eco-design regulations, </w:t>
      </w:r>
      <w:r w:rsidR="00633E46" w:rsidRPr="007A7C7D">
        <w:rPr>
          <w:rFonts w:asciiTheme="minorHAnsi" w:hAnsiTheme="minorHAnsi" w:cstheme="minorHAnsi"/>
        </w:rPr>
        <w:t xml:space="preserve">which set minimum performance standards on energy consumption for a variety of common product groups is not yet transposed in the national legislation, its transposition is included by the TWG in </w:t>
      </w:r>
      <w:r>
        <w:rPr>
          <w:rFonts w:asciiTheme="minorHAnsi" w:hAnsiTheme="minorHAnsi" w:cstheme="minorHAnsi"/>
        </w:rPr>
        <w:t xml:space="preserve">parallel with adoption of the </w:t>
      </w:r>
      <w:r w:rsidR="00633E46" w:rsidRPr="007A7C7D">
        <w:rPr>
          <w:rFonts w:asciiTheme="minorHAnsi" w:hAnsiTheme="minorHAnsi" w:cstheme="minorHAnsi"/>
        </w:rPr>
        <w:t>NECP covering the period 202</w:t>
      </w:r>
      <w:r>
        <w:rPr>
          <w:rFonts w:asciiTheme="minorHAnsi" w:hAnsiTheme="minorHAnsi" w:cstheme="minorHAnsi"/>
        </w:rPr>
        <w:t>3</w:t>
      </w:r>
      <w:r w:rsidR="00633E46" w:rsidRPr="007A7C7D">
        <w:rPr>
          <w:rFonts w:asciiTheme="minorHAnsi" w:hAnsiTheme="minorHAnsi" w:cstheme="minorHAnsi"/>
        </w:rPr>
        <w:t xml:space="preserve">/2030. </w:t>
      </w:r>
    </w:p>
    <w:p w14:paraId="3BB95F35" w14:textId="071BB163" w:rsidR="00B979D3" w:rsidRDefault="00B979D3" w:rsidP="00F75966">
      <w:pPr>
        <w:jc w:val="both"/>
        <w:rPr>
          <w:i/>
          <w:color w:val="0070C0"/>
          <w:lang w:val="en-GB"/>
        </w:rPr>
      </w:pPr>
    </w:p>
    <w:tbl>
      <w:tblPr>
        <w:tblW w:w="5000" w:type="pct"/>
        <w:jc w:val="center"/>
        <w:tblLayout w:type="fixed"/>
        <w:tblCellMar>
          <w:left w:w="115" w:type="dxa"/>
          <w:right w:w="115" w:type="dxa"/>
        </w:tblCellMar>
        <w:tblLook w:val="04A0" w:firstRow="1" w:lastRow="0" w:firstColumn="1" w:lastColumn="0" w:noHBand="0" w:noVBand="1"/>
      </w:tblPr>
      <w:tblGrid>
        <w:gridCol w:w="1552"/>
        <w:gridCol w:w="3029"/>
        <w:gridCol w:w="781"/>
        <w:gridCol w:w="796"/>
        <w:gridCol w:w="794"/>
        <w:gridCol w:w="663"/>
        <w:gridCol w:w="1456"/>
        <w:gridCol w:w="999"/>
      </w:tblGrid>
      <w:tr w:rsidR="007851AD" w:rsidRPr="00666537" w14:paraId="5D794181" w14:textId="77777777" w:rsidTr="007851AD">
        <w:trPr>
          <w:trHeight w:val="145"/>
          <w:jc w:val="center"/>
        </w:trPr>
        <w:tc>
          <w:tcPr>
            <w:tcW w:w="770" w:type="pct"/>
            <w:vMerge w:val="restart"/>
            <w:tcBorders>
              <w:top w:val="single" w:sz="4" w:space="0" w:color="auto"/>
              <w:left w:val="single" w:sz="4" w:space="0" w:color="auto"/>
              <w:right w:val="single" w:sz="4" w:space="0" w:color="auto"/>
            </w:tcBorders>
            <w:shd w:val="clear" w:color="auto" w:fill="8DB3E2" w:themeFill="text2" w:themeFillTint="66"/>
            <w:noWrap/>
            <w:vAlign w:val="center"/>
            <w:hideMark/>
          </w:tcPr>
          <w:p w14:paraId="0AD4E721" w14:textId="14216645" w:rsidR="007851AD" w:rsidRPr="004D4C01" w:rsidRDefault="007851AD" w:rsidP="007851AD">
            <w:pPr>
              <w:spacing w:after="0" w:line="240" w:lineRule="auto"/>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TYPE </w:t>
            </w:r>
          </w:p>
        </w:tc>
        <w:tc>
          <w:tcPr>
            <w:tcW w:w="1504" w:type="pct"/>
            <w:tcBorders>
              <w:top w:val="single" w:sz="4" w:space="0" w:color="auto"/>
              <w:left w:val="single" w:sz="4" w:space="0" w:color="auto"/>
              <w:right w:val="single" w:sz="4" w:space="0" w:color="auto"/>
            </w:tcBorders>
            <w:shd w:val="clear" w:color="auto" w:fill="8DB3E2" w:themeFill="text2" w:themeFillTint="66"/>
          </w:tcPr>
          <w:p w14:paraId="6F292321" w14:textId="77777777" w:rsidR="007851AD" w:rsidRDefault="007851AD" w:rsidP="00811D7F">
            <w:pPr>
              <w:spacing w:after="0" w:line="240" w:lineRule="auto"/>
              <w:jc w:val="center"/>
              <w:rPr>
                <w:rFonts w:eastAsia="Times New Roman" w:cstheme="minorHAnsi"/>
                <w:color w:val="000000"/>
                <w:sz w:val="18"/>
                <w:szCs w:val="18"/>
                <w:lang w:val="en-GB" w:eastAsia="en-GB"/>
              </w:rPr>
            </w:pPr>
          </w:p>
        </w:tc>
        <w:tc>
          <w:tcPr>
            <w:tcW w:w="1506"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C54EB4" w14:textId="46881F64" w:rsidR="007851AD" w:rsidRPr="004D4C01" w:rsidRDefault="007851AD" w:rsidP="00811D7F">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ANNUAL SAVINGS (KTOE)</w:t>
            </w:r>
          </w:p>
        </w:tc>
        <w:tc>
          <w:tcPr>
            <w:tcW w:w="723" w:type="pct"/>
            <w:vMerge w:val="restart"/>
            <w:tcBorders>
              <w:top w:val="single" w:sz="4" w:space="0" w:color="auto"/>
              <w:left w:val="single" w:sz="4" w:space="0" w:color="auto"/>
              <w:right w:val="single" w:sz="4" w:space="0" w:color="auto"/>
            </w:tcBorders>
            <w:shd w:val="clear" w:color="auto" w:fill="8DB3E2" w:themeFill="text2" w:themeFillTint="66"/>
            <w:vAlign w:val="center"/>
          </w:tcPr>
          <w:p w14:paraId="119E96E4" w14:textId="2F3F65D2" w:rsidR="007851AD" w:rsidRDefault="007851AD" w:rsidP="007851AD">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CUMULATIVE TOTAL (KTOE)</w:t>
            </w:r>
          </w:p>
        </w:tc>
        <w:tc>
          <w:tcPr>
            <w:tcW w:w="496" w:type="pct"/>
            <w:vMerge w:val="restart"/>
            <w:tcBorders>
              <w:top w:val="single" w:sz="4" w:space="0" w:color="auto"/>
              <w:left w:val="single" w:sz="4" w:space="0" w:color="auto"/>
              <w:right w:val="single" w:sz="4" w:space="0" w:color="auto"/>
            </w:tcBorders>
            <w:shd w:val="clear" w:color="auto" w:fill="8DB3E2" w:themeFill="text2" w:themeFillTint="66"/>
            <w:noWrap/>
            <w:vAlign w:val="center"/>
          </w:tcPr>
          <w:p w14:paraId="0B693093" w14:textId="264C7BF9" w:rsidR="007851AD" w:rsidRPr="004D4C01" w:rsidRDefault="007851AD" w:rsidP="007851AD">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 OF EEO TARGET</w:t>
            </w:r>
          </w:p>
        </w:tc>
      </w:tr>
      <w:tr w:rsidR="007851AD" w:rsidRPr="00666537" w14:paraId="4C307D10" w14:textId="77777777" w:rsidTr="007851AD">
        <w:trPr>
          <w:trHeight w:val="50"/>
          <w:jc w:val="center"/>
        </w:trPr>
        <w:tc>
          <w:tcPr>
            <w:tcW w:w="770" w:type="pct"/>
            <w:vMerge/>
            <w:tcBorders>
              <w:left w:val="single" w:sz="4" w:space="0" w:color="auto"/>
              <w:bottom w:val="single" w:sz="4" w:space="0" w:color="auto"/>
              <w:right w:val="single" w:sz="4" w:space="0" w:color="auto"/>
            </w:tcBorders>
            <w:shd w:val="clear" w:color="auto" w:fill="8DB3E2" w:themeFill="text2" w:themeFillTint="66"/>
            <w:noWrap/>
            <w:vAlign w:val="center"/>
          </w:tcPr>
          <w:p w14:paraId="3D3E4272" w14:textId="77777777" w:rsidR="007851AD" w:rsidRDefault="007851AD" w:rsidP="00811D7F">
            <w:pPr>
              <w:spacing w:after="0" w:line="240" w:lineRule="auto"/>
              <w:ind w:left="142"/>
              <w:jc w:val="center"/>
              <w:rPr>
                <w:rFonts w:ascii="Calibri" w:eastAsia="Times New Roman" w:hAnsi="Calibri" w:cs="Times New Roman"/>
                <w:bCs/>
                <w:sz w:val="18"/>
                <w:szCs w:val="18"/>
                <w:lang w:val="en-GB" w:eastAsia="en-GB"/>
              </w:rPr>
            </w:pPr>
          </w:p>
        </w:tc>
        <w:tc>
          <w:tcPr>
            <w:tcW w:w="1504" w:type="pct"/>
            <w:tcBorders>
              <w:left w:val="single" w:sz="4" w:space="0" w:color="auto"/>
              <w:bottom w:val="single" w:sz="4" w:space="0" w:color="auto"/>
              <w:right w:val="single" w:sz="4" w:space="0" w:color="auto"/>
            </w:tcBorders>
            <w:shd w:val="clear" w:color="auto" w:fill="8DB3E2" w:themeFill="text2" w:themeFillTint="66"/>
          </w:tcPr>
          <w:p w14:paraId="5D58122B" w14:textId="63FF6E24" w:rsidR="007851AD" w:rsidRDefault="007851AD" w:rsidP="00811D7F">
            <w:pPr>
              <w:spacing w:after="0" w:line="240" w:lineRule="auto"/>
              <w:jc w:val="center"/>
              <w:rPr>
                <w:rFonts w:eastAsia="Times New Roman" w:cstheme="minorHAnsi"/>
                <w:color w:val="000000"/>
                <w:sz w:val="18"/>
                <w:szCs w:val="18"/>
                <w:lang w:val="en-GB" w:eastAsia="en-GB"/>
              </w:rPr>
            </w:pPr>
            <w:r>
              <w:rPr>
                <w:rFonts w:ascii="Calibri" w:eastAsia="Times New Roman" w:hAnsi="Calibri" w:cs="Times New Roman"/>
                <w:bCs/>
                <w:sz w:val="18"/>
                <w:szCs w:val="18"/>
                <w:lang w:val="en-GB" w:eastAsia="en-GB"/>
              </w:rPr>
              <w:t>NAME OF MEASURE</w:t>
            </w:r>
          </w:p>
        </w:tc>
        <w:tc>
          <w:tcPr>
            <w:tcW w:w="388"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87F265" w14:textId="1835A718" w:rsidR="007851AD" w:rsidRDefault="007851AD" w:rsidP="00811D7F">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2017</w:t>
            </w:r>
          </w:p>
        </w:tc>
        <w:tc>
          <w:tcPr>
            <w:tcW w:w="39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6B08A0" w14:textId="79000635" w:rsidR="007851AD" w:rsidRDefault="007851AD" w:rsidP="00811D7F">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2018</w:t>
            </w:r>
          </w:p>
        </w:tc>
        <w:tc>
          <w:tcPr>
            <w:tcW w:w="394"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D36A63D" w14:textId="0CBF093D" w:rsidR="007851AD" w:rsidRDefault="007851AD" w:rsidP="00811D7F">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2019</w:t>
            </w:r>
          </w:p>
        </w:tc>
        <w:tc>
          <w:tcPr>
            <w:tcW w:w="329"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87E19D" w14:textId="45910422" w:rsidR="007851AD" w:rsidRDefault="007851AD" w:rsidP="00811D7F">
            <w:pPr>
              <w:spacing w:after="0" w:line="240" w:lineRule="auto"/>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2020</w:t>
            </w:r>
          </w:p>
        </w:tc>
        <w:tc>
          <w:tcPr>
            <w:tcW w:w="723" w:type="pct"/>
            <w:vMerge/>
            <w:tcBorders>
              <w:left w:val="single" w:sz="4" w:space="0" w:color="auto"/>
              <w:bottom w:val="single" w:sz="4" w:space="0" w:color="auto"/>
              <w:right w:val="single" w:sz="4" w:space="0" w:color="auto"/>
            </w:tcBorders>
            <w:shd w:val="clear" w:color="auto" w:fill="8DB3E2" w:themeFill="text2" w:themeFillTint="66"/>
          </w:tcPr>
          <w:p w14:paraId="433B3AAF" w14:textId="77777777" w:rsidR="007851AD" w:rsidRPr="004D4C01" w:rsidRDefault="007851AD" w:rsidP="007851AD">
            <w:pPr>
              <w:spacing w:after="0" w:line="240" w:lineRule="auto"/>
              <w:rPr>
                <w:rFonts w:eastAsia="Times New Roman" w:cstheme="minorHAnsi"/>
                <w:color w:val="000000"/>
                <w:sz w:val="18"/>
                <w:szCs w:val="18"/>
                <w:lang w:val="en-GB" w:eastAsia="en-GB"/>
              </w:rPr>
            </w:pPr>
          </w:p>
        </w:tc>
        <w:tc>
          <w:tcPr>
            <w:tcW w:w="496" w:type="pct"/>
            <w:vMerge/>
            <w:tcBorders>
              <w:left w:val="single" w:sz="4" w:space="0" w:color="auto"/>
              <w:bottom w:val="single" w:sz="4" w:space="0" w:color="auto"/>
              <w:right w:val="single" w:sz="4" w:space="0" w:color="auto"/>
            </w:tcBorders>
            <w:shd w:val="clear" w:color="auto" w:fill="8DB3E2" w:themeFill="text2" w:themeFillTint="66"/>
            <w:noWrap/>
            <w:vAlign w:val="center"/>
          </w:tcPr>
          <w:p w14:paraId="2FE7017A" w14:textId="0C0F54F7" w:rsidR="007851AD" w:rsidRPr="004D4C01" w:rsidRDefault="007851AD" w:rsidP="00811D7F">
            <w:pPr>
              <w:spacing w:after="0" w:line="240" w:lineRule="auto"/>
              <w:jc w:val="center"/>
              <w:rPr>
                <w:rFonts w:eastAsia="Times New Roman" w:cstheme="minorHAnsi"/>
                <w:color w:val="000000"/>
                <w:sz w:val="18"/>
                <w:szCs w:val="18"/>
                <w:lang w:val="en-GB" w:eastAsia="en-GB"/>
              </w:rPr>
            </w:pPr>
          </w:p>
        </w:tc>
      </w:tr>
      <w:tr w:rsidR="007851AD" w:rsidRPr="008631BE" w14:paraId="04DEB6DE"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D2E45B" w14:textId="32F24AF6" w:rsidR="007851AD" w:rsidRPr="004D4C01" w:rsidRDefault="007851AD" w:rsidP="0008676B">
            <w:pPr>
              <w:spacing w:after="0" w:line="240" w:lineRule="auto"/>
              <w:ind w:left="142"/>
              <w:rPr>
                <w:rFonts w:ascii="Calibri" w:eastAsia="Times New Roman" w:hAnsi="Calibri" w:cs="Times New Roman"/>
                <w:bCs/>
                <w:sz w:val="18"/>
                <w:szCs w:val="18"/>
                <w:lang w:val="en-GB" w:eastAsia="en-GB"/>
              </w:rPr>
            </w:pPr>
            <w:r w:rsidRPr="0008676B">
              <w:rPr>
                <w:rFonts w:ascii="Calibri" w:eastAsia="Times New Roman" w:hAnsi="Calibri" w:cs="Times New Roman"/>
                <w:bCs/>
                <w:sz w:val="18"/>
                <w:szCs w:val="18"/>
                <w:lang w:val="en-GB" w:eastAsia="en-GB"/>
              </w:rPr>
              <w:lastRenderedPageBreak/>
              <w:t>EEOS</w:t>
            </w:r>
          </w:p>
        </w:tc>
        <w:tc>
          <w:tcPr>
            <w:tcW w:w="1504" w:type="pct"/>
            <w:tcBorders>
              <w:top w:val="single" w:sz="4" w:space="0" w:color="auto"/>
              <w:left w:val="single" w:sz="4" w:space="0" w:color="auto"/>
              <w:bottom w:val="single" w:sz="4" w:space="0" w:color="auto"/>
              <w:right w:val="single" w:sz="4" w:space="0" w:color="auto"/>
            </w:tcBorders>
          </w:tcPr>
          <w:p w14:paraId="0CB875C6"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288F3F84" w14:textId="16BDDC48"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3AE3C4AD"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1A84773C" w14:textId="4DD68CC8"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66DEE8D3"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BAA4542"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6D10E" w14:textId="524712D5"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788971F2"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A1FA3" w14:textId="0F2F1FF0" w:rsidR="007851AD" w:rsidRPr="004D4C01" w:rsidRDefault="007851AD" w:rsidP="00811D7F">
            <w:pPr>
              <w:spacing w:after="0" w:line="240" w:lineRule="auto"/>
              <w:ind w:left="142"/>
              <w:rPr>
                <w:rFonts w:ascii="Calibri" w:eastAsia="Times New Roman" w:hAnsi="Calibri" w:cs="Times New Roman"/>
                <w:bCs/>
                <w:sz w:val="18"/>
                <w:szCs w:val="18"/>
                <w:lang w:val="en-GB" w:eastAsia="en-GB"/>
              </w:rPr>
            </w:pPr>
            <w:r w:rsidRPr="0008676B">
              <w:rPr>
                <w:rFonts w:ascii="Calibri" w:eastAsia="Times New Roman" w:hAnsi="Calibri" w:cs="Times New Roman"/>
                <w:bCs/>
                <w:sz w:val="18"/>
                <w:szCs w:val="18"/>
                <w:lang w:val="en-GB" w:eastAsia="en-GB"/>
              </w:rPr>
              <w:t>Alternative measure 1</w:t>
            </w:r>
            <w:r>
              <w:rPr>
                <w:rFonts w:ascii="Calibri" w:eastAsia="Times New Roman" w:hAnsi="Calibri" w:cs="Times New Roman"/>
                <w:bCs/>
                <w:sz w:val="18"/>
                <w:szCs w:val="18"/>
                <w:lang w:val="en-GB" w:eastAsia="en-GB"/>
              </w:rPr>
              <w:t xml:space="preserve">: </w:t>
            </w:r>
          </w:p>
        </w:tc>
        <w:tc>
          <w:tcPr>
            <w:tcW w:w="1504" w:type="pct"/>
            <w:tcBorders>
              <w:top w:val="single" w:sz="4" w:space="0" w:color="auto"/>
              <w:left w:val="single" w:sz="4" w:space="0" w:color="auto"/>
              <w:bottom w:val="single" w:sz="4" w:space="0" w:color="auto"/>
              <w:right w:val="single" w:sz="4" w:space="0" w:color="auto"/>
            </w:tcBorders>
          </w:tcPr>
          <w:p w14:paraId="3B09195B" w14:textId="43706E12"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583CAADF" w14:textId="1B8AE893"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5797C139"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2A741431" w14:textId="4EFCE98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423753D9"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233C1463"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88093" w14:textId="1E2F9A38"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3B2D00FC"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55C5B" w14:textId="0F6531E6" w:rsidR="007851AD" w:rsidRPr="004D4C01" w:rsidRDefault="007851AD" w:rsidP="00811D7F">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Alternative measure 2:</w:t>
            </w:r>
          </w:p>
        </w:tc>
        <w:tc>
          <w:tcPr>
            <w:tcW w:w="1504" w:type="pct"/>
            <w:tcBorders>
              <w:top w:val="single" w:sz="4" w:space="0" w:color="auto"/>
              <w:left w:val="single" w:sz="4" w:space="0" w:color="auto"/>
              <w:bottom w:val="single" w:sz="4" w:space="0" w:color="auto"/>
              <w:right w:val="single" w:sz="4" w:space="0" w:color="auto"/>
            </w:tcBorders>
          </w:tcPr>
          <w:p w14:paraId="1C6B03BC" w14:textId="4B3B7AF6"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3914EA3F" w14:textId="671E9C9C"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70C3E29A"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726B4EE5" w14:textId="73DC9819"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19BEA97F"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7DAE9F56"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91BD1" w14:textId="52E6DCBA"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5E851234"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B9824" w14:textId="19D6A792" w:rsidR="007851AD" w:rsidRPr="004D4C01" w:rsidRDefault="007851AD" w:rsidP="00811D7F">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Alternative measure 3:</w:t>
            </w:r>
          </w:p>
        </w:tc>
        <w:tc>
          <w:tcPr>
            <w:tcW w:w="1504" w:type="pct"/>
            <w:tcBorders>
              <w:top w:val="single" w:sz="4" w:space="0" w:color="auto"/>
              <w:left w:val="single" w:sz="4" w:space="0" w:color="auto"/>
              <w:bottom w:val="single" w:sz="4" w:space="0" w:color="auto"/>
              <w:right w:val="single" w:sz="4" w:space="0" w:color="auto"/>
            </w:tcBorders>
          </w:tcPr>
          <w:p w14:paraId="1BF49217" w14:textId="43E901B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2E5879B1" w14:textId="507B0ED3"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15D25051"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13414243" w14:textId="25D920F6"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4997B857"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6227040"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7BDB1" w14:textId="2F23A94B"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1AC0FF74"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84C1A" w14:textId="49762149" w:rsidR="007851AD" w:rsidRPr="004D4C01" w:rsidRDefault="007851AD" w:rsidP="00811D7F">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Alternative measure 4:</w:t>
            </w:r>
          </w:p>
        </w:tc>
        <w:tc>
          <w:tcPr>
            <w:tcW w:w="1504" w:type="pct"/>
            <w:tcBorders>
              <w:top w:val="single" w:sz="4" w:space="0" w:color="auto"/>
              <w:left w:val="single" w:sz="4" w:space="0" w:color="auto"/>
              <w:bottom w:val="single" w:sz="4" w:space="0" w:color="auto"/>
              <w:right w:val="single" w:sz="4" w:space="0" w:color="auto"/>
            </w:tcBorders>
          </w:tcPr>
          <w:p w14:paraId="49414E8E" w14:textId="5CF394DB"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692C5AE8" w14:textId="1095433E"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3A9A188C"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65A871D6" w14:textId="405FE9D3"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0A240CBE"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F78DD6D"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097B04" w14:textId="7238FE18"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976830" w14:paraId="38D249BF"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14C50D" w14:textId="56C0AC6B" w:rsidR="007851AD" w:rsidRPr="004D4C01" w:rsidRDefault="007851AD" w:rsidP="00811D7F">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Alternative measure 5:</w:t>
            </w:r>
          </w:p>
        </w:tc>
        <w:tc>
          <w:tcPr>
            <w:tcW w:w="1504" w:type="pct"/>
            <w:tcBorders>
              <w:top w:val="single" w:sz="4" w:space="0" w:color="auto"/>
              <w:left w:val="single" w:sz="4" w:space="0" w:color="auto"/>
              <w:bottom w:val="single" w:sz="4" w:space="0" w:color="auto"/>
              <w:right w:val="single" w:sz="4" w:space="0" w:color="auto"/>
            </w:tcBorders>
          </w:tcPr>
          <w:p w14:paraId="7539B746" w14:textId="07A28B6D"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vAlign w:val="center"/>
          </w:tcPr>
          <w:p w14:paraId="2CD8819B" w14:textId="696F7DCB"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vAlign w:val="center"/>
          </w:tcPr>
          <w:p w14:paraId="29766E05"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vAlign w:val="center"/>
          </w:tcPr>
          <w:p w14:paraId="08F0D0C8" w14:textId="44AC84FB"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vAlign w:val="center"/>
          </w:tcPr>
          <w:p w14:paraId="19864859"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08E66A3B" w14:textId="77777777" w:rsidR="007851AD" w:rsidRPr="004D4C01" w:rsidRDefault="007851AD" w:rsidP="0008676B">
            <w:pPr>
              <w:spacing w:after="0" w:line="240" w:lineRule="auto"/>
              <w:jc w:val="center"/>
              <w:rPr>
                <w:rFonts w:eastAsia="Times New Roman" w:cstheme="minorHAns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240F1" w14:textId="2AD35812" w:rsidR="007851AD" w:rsidRPr="004D4C01" w:rsidRDefault="007851AD" w:rsidP="0008676B">
            <w:pPr>
              <w:spacing w:after="0" w:line="240" w:lineRule="auto"/>
              <w:jc w:val="center"/>
              <w:rPr>
                <w:rFonts w:eastAsia="Times New Roman" w:cstheme="minorHAnsi"/>
                <w:color w:val="000000"/>
                <w:sz w:val="18"/>
                <w:szCs w:val="18"/>
                <w:lang w:val="en-GB" w:eastAsia="en-GB"/>
              </w:rPr>
            </w:pPr>
          </w:p>
        </w:tc>
      </w:tr>
      <w:tr w:rsidR="007851AD" w:rsidRPr="008631BE" w14:paraId="3C0AA14D" w14:textId="77777777" w:rsidTr="007851AD">
        <w:trPr>
          <w:trHeight w:val="458"/>
          <w:jc w:val="center"/>
        </w:trPr>
        <w:tc>
          <w:tcPr>
            <w:tcW w:w="770"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76640950" w14:textId="178DE16F" w:rsidR="007851AD" w:rsidRPr="004D4C01" w:rsidRDefault="007851AD" w:rsidP="007851AD">
            <w:pPr>
              <w:spacing w:after="0" w:line="240" w:lineRule="auto"/>
              <w:ind w:left="142"/>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TOTAL </w:t>
            </w:r>
          </w:p>
        </w:tc>
        <w:tc>
          <w:tcPr>
            <w:tcW w:w="1504" w:type="pct"/>
            <w:tcBorders>
              <w:top w:val="single" w:sz="4" w:space="0" w:color="auto"/>
              <w:left w:val="single" w:sz="4" w:space="0" w:color="auto"/>
              <w:bottom w:val="single" w:sz="4" w:space="0" w:color="auto"/>
              <w:right w:val="single" w:sz="4" w:space="0" w:color="auto"/>
            </w:tcBorders>
          </w:tcPr>
          <w:p w14:paraId="1DD55A1E"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tcPr>
          <w:p w14:paraId="76C63599" w14:textId="4238F32A"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034C8E37"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D033262" w14:textId="3F6791AE"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EB0A08E"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723" w:type="pct"/>
            <w:tcBorders>
              <w:top w:val="single" w:sz="4" w:space="0" w:color="auto"/>
              <w:left w:val="single" w:sz="4" w:space="0" w:color="auto"/>
              <w:bottom w:val="single" w:sz="4" w:space="0" w:color="auto"/>
              <w:right w:val="single" w:sz="4" w:space="0" w:color="auto"/>
            </w:tcBorders>
          </w:tcPr>
          <w:p w14:paraId="55EEBE31" w14:textId="77777777"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C6851" w14:textId="0A861C0C" w:rsidR="007851AD" w:rsidRPr="004D4C01" w:rsidRDefault="007851AD" w:rsidP="0008676B">
            <w:pPr>
              <w:spacing w:after="0" w:line="240" w:lineRule="auto"/>
              <w:jc w:val="center"/>
              <w:rPr>
                <w:rFonts w:eastAsia="Times New Roman" w:cstheme="minorHAnsi"/>
                <w:i/>
                <w:color w:val="000000"/>
                <w:sz w:val="18"/>
                <w:szCs w:val="18"/>
                <w:lang w:val="en-GB" w:eastAsia="en-GB"/>
              </w:rPr>
            </w:pPr>
          </w:p>
        </w:tc>
      </w:tr>
    </w:tbl>
    <w:p w14:paraId="07DD318B" w14:textId="77777777" w:rsidR="00FD7C2F" w:rsidRDefault="00FD7C2F" w:rsidP="00F1229B">
      <w:pPr>
        <w:jc w:val="both"/>
        <w:rPr>
          <w:b/>
          <w:i/>
          <w:color w:val="0070C0"/>
          <w:lang w:val="en-GB"/>
        </w:rPr>
      </w:pPr>
    </w:p>
    <w:p w14:paraId="3D9D33C9" w14:textId="3F08BAC7" w:rsidR="0014266E" w:rsidRPr="009309D2" w:rsidRDefault="0014266E" w:rsidP="00B81907">
      <w:pPr>
        <w:pStyle w:val="Heading1"/>
      </w:pPr>
      <w:r w:rsidRPr="009309D2">
        <w:t xml:space="preserve">Energy </w:t>
      </w:r>
      <w:r w:rsidR="00B81907">
        <w:t>a</w:t>
      </w:r>
      <w:r>
        <w:t xml:space="preserve">udits </w:t>
      </w:r>
      <w:r w:rsidR="0029765F">
        <w:t xml:space="preserve">(Article 8) </w:t>
      </w:r>
      <w:r w:rsidR="00B81907">
        <w:t xml:space="preserve">and </w:t>
      </w:r>
      <w:r w:rsidR="00B81907" w:rsidRPr="00B81907">
        <w:t>energy service</w:t>
      </w:r>
      <w:r w:rsidR="00B81907">
        <w:t>s</w:t>
      </w:r>
      <w:r w:rsidR="0029765F">
        <w:t xml:space="preserve"> (Article 18)</w:t>
      </w:r>
    </w:p>
    <w:p w14:paraId="61B1A867" w14:textId="2477D579" w:rsidR="00FC5256" w:rsidRDefault="00FC5256" w:rsidP="00B81907">
      <w:pPr>
        <w:jc w:val="both"/>
        <w:rPr>
          <w:rFonts w:ascii="Times New Roman" w:hAnsi="Times New Roman" w:cs="Times New Roman"/>
          <w:i/>
          <w:sz w:val="24"/>
          <w:szCs w:val="24"/>
          <w:lang w:val="en-US"/>
        </w:rPr>
      </w:pPr>
      <w:r>
        <w:rPr>
          <w:rFonts w:cstheme="minorHAnsi"/>
          <w:lang w:val="en-US"/>
        </w:rPr>
        <w:t>During 2020 and 2021 has been launched a tender for preparing the Energy Audit for municipality level. There have been carried out 77 Energy Audits and is estimated saving on CO</w:t>
      </w:r>
      <w:r w:rsidRPr="006268EE">
        <w:rPr>
          <w:rFonts w:cstheme="minorHAnsi"/>
          <w:vertAlign w:val="subscript"/>
          <w:lang w:val="en-US"/>
        </w:rPr>
        <w:t xml:space="preserve">2 </w:t>
      </w:r>
      <w:r>
        <w:rPr>
          <w:rFonts w:cstheme="minorHAnsi"/>
          <w:lang w:val="en-US"/>
        </w:rPr>
        <w:t xml:space="preserve">emissions 3237.18 tons/year.  </w:t>
      </w:r>
      <w:r w:rsidR="00B673BC">
        <w:rPr>
          <w:rFonts w:cstheme="minorHAnsi"/>
          <w:lang w:val="en-US"/>
        </w:rPr>
        <w:t xml:space="preserve">During 2021 the center for sustainability, University of </w:t>
      </w:r>
      <w:proofErr w:type="spellStart"/>
      <w:r w:rsidR="00B673BC">
        <w:rPr>
          <w:rFonts w:cstheme="minorHAnsi"/>
          <w:lang w:val="en-US"/>
        </w:rPr>
        <w:t>Prishtina</w:t>
      </w:r>
      <w:proofErr w:type="spellEnd"/>
      <w:r w:rsidR="00B673BC">
        <w:rPr>
          <w:rFonts w:cstheme="minorHAnsi"/>
          <w:lang w:val="en-US"/>
        </w:rPr>
        <w:t xml:space="preserve"> “Hasan </w:t>
      </w:r>
      <w:proofErr w:type="spellStart"/>
      <w:r w:rsidR="00B673BC">
        <w:rPr>
          <w:rFonts w:cstheme="minorHAnsi"/>
          <w:lang w:val="en-US"/>
        </w:rPr>
        <w:t>Prishtina</w:t>
      </w:r>
      <w:proofErr w:type="spellEnd"/>
      <w:r w:rsidR="00B673BC">
        <w:rPr>
          <w:rFonts w:cstheme="minorHAnsi"/>
          <w:lang w:val="en-US"/>
        </w:rPr>
        <w:t xml:space="preserve">”, trained and certified </w:t>
      </w:r>
      <w:r w:rsidR="009E5CF7">
        <w:rPr>
          <w:rFonts w:cstheme="minorHAnsi"/>
          <w:lang w:val="en-US"/>
        </w:rPr>
        <w:t xml:space="preserve">in addition </w:t>
      </w:r>
      <w:r w:rsidR="00B673BC">
        <w:rPr>
          <w:rFonts w:cstheme="minorHAnsi"/>
          <w:lang w:val="en-US"/>
        </w:rPr>
        <w:t>59 energy auditors</w:t>
      </w:r>
      <w:r w:rsidR="009E5CF7">
        <w:rPr>
          <w:rFonts w:cstheme="minorHAnsi"/>
          <w:lang w:val="en-US"/>
        </w:rPr>
        <w:t xml:space="preserve"> ( </w:t>
      </w:r>
      <w:hyperlink r:id="rId19" w:history="1">
        <w:r w:rsidRPr="0070321E">
          <w:rPr>
            <w:rStyle w:val="Hyperlink"/>
            <w:rFonts w:ascii="Times New Roman" w:hAnsi="Times New Roman" w:cs="Times New Roman"/>
            <w:i/>
            <w:sz w:val="24"/>
            <w:szCs w:val="24"/>
            <w:lang w:val="en-US"/>
          </w:rPr>
          <w:t>https://fkee-rks.net/en/</w:t>
        </w:r>
      </w:hyperlink>
      <w:r w:rsidR="009E5CF7">
        <w:rPr>
          <w:rFonts w:ascii="Times New Roman" w:hAnsi="Times New Roman" w:cs="Times New Roman"/>
          <w:i/>
          <w:sz w:val="24"/>
          <w:szCs w:val="24"/>
          <w:lang w:val="en-US"/>
        </w:rPr>
        <w:t>)</w:t>
      </w:r>
    </w:p>
    <w:p w14:paraId="7F255A56" w14:textId="4274FC84" w:rsidR="00E3153F" w:rsidRPr="00E3153F" w:rsidRDefault="00B673BC" w:rsidP="00E3153F">
      <w:pPr>
        <w:jc w:val="both"/>
        <w:rPr>
          <w:rFonts w:ascii="Calibri" w:eastAsia="Times New Roman" w:hAnsi="Calibri" w:cs="Calibri"/>
          <w:color w:val="000000"/>
          <w:lang w:val="sq-AL" w:eastAsia="sq-AL"/>
        </w:rPr>
      </w:pPr>
      <w:r w:rsidRPr="00B673BC">
        <w:rPr>
          <w:iCs/>
          <w:lang w:val="en-GB"/>
        </w:rPr>
        <w:t xml:space="preserve">Notes: </w:t>
      </w:r>
      <w:r w:rsidR="00E3153F">
        <w:rPr>
          <w:iCs/>
          <w:lang w:val="en-GB"/>
        </w:rPr>
        <w:t>I</w:t>
      </w:r>
      <w:r>
        <w:rPr>
          <w:iCs/>
          <w:lang w:val="en-GB"/>
        </w:rPr>
        <w:t xml:space="preserve">t is </w:t>
      </w:r>
      <w:r w:rsidR="00E3153F">
        <w:rPr>
          <w:iCs/>
          <w:lang w:val="en-GB"/>
        </w:rPr>
        <w:t xml:space="preserve">imported </w:t>
      </w:r>
      <w:r>
        <w:rPr>
          <w:iCs/>
          <w:lang w:val="en-GB"/>
        </w:rPr>
        <w:t>to list th</w:t>
      </w:r>
      <w:r w:rsidR="00E3153F">
        <w:rPr>
          <w:iCs/>
          <w:lang w:val="en-GB"/>
        </w:rPr>
        <w:t xml:space="preserve">e </w:t>
      </w:r>
      <w:r>
        <w:rPr>
          <w:iCs/>
          <w:lang w:val="en-GB"/>
        </w:rPr>
        <w:t xml:space="preserve">commercial banks </w:t>
      </w:r>
      <w:r w:rsidR="00E3153F">
        <w:rPr>
          <w:iCs/>
          <w:lang w:val="en-GB"/>
        </w:rPr>
        <w:t xml:space="preserve">investment in Green Energy and Energy Efficiency measures and total invest amount is </w:t>
      </w:r>
      <w:r w:rsidR="00E3153F" w:rsidRPr="00E3153F">
        <w:rPr>
          <w:rFonts w:ascii="Calibri" w:eastAsia="Times New Roman" w:hAnsi="Calibri" w:cs="Calibri"/>
          <w:color w:val="000000"/>
          <w:lang w:val="sq-AL" w:eastAsia="sq-AL"/>
        </w:rPr>
        <w:t>17,687,699.69</w:t>
      </w:r>
      <w:r w:rsidR="00E3153F">
        <w:rPr>
          <w:rFonts w:ascii="Calibri" w:eastAsia="Times New Roman" w:hAnsi="Calibri" w:cs="Calibri"/>
          <w:color w:val="000000"/>
          <w:lang w:val="sq-AL" w:eastAsia="sq-AL"/>
        </w:rPr>
        <w:t>Mil. Euro.</w:t>
      </w:r>
    </w:p>
    <w:p w14:paraId="6C5274B7" w14:textId="71CC32F9" w:rsidR="00633A85" w:rsidRDefault="0014266E" w:rsidP="0014266E">
      <w:pPr>
        <w:jc w:val="both"/>
        <w:rPr>
          <w:i/>
          <w:color w:val="0070C0"/>
          <w:lang w:val="en-GB"/>
        </w:rPr>
      </w:pPr>
      <w:r w:rsidRPr="0014266E">
        <w:rPr>
          <w:i/>
          <w:color w:val="0070C0"/>
          <w:lang w:val="en-GB"/>
        </w:rPr>
        <w:t xml:space="preserve">Please provide information in table below: </w:t>
      </w:r>
    </w:p>
    <w:tbl>
      <w:tblPr>
        <w:tblStyle w:val="TableGrid"/>
        <w:tblW w:w="5000" w:type="pct"/>
        <w:tblBorders>
          <w:top w:val="none" w:sz="0" w:space="0" w:color="auto"/>
          <w:left w:val="none" w:sz="0" w:space="0" w:color="auto"/>
        </w:tblBorders>
        <w:tblLook w:val="04A0" w:firstRow="1" w:lastRow="0" w:firstColumn="1" w:lastColumn="0" w:noHBand="0" w:noVBand="1"/>
      </w:tblPr>
      <w:tblGrid>
        <w:gridCol w:w="4600"/>
        <w:gridCol w:w="2469"/>
        <w:gridCol w:w="3001"/>
      </w:tblGrid>
      <w:tr w:rsidR="005B2EDD" w:rsidRPr="0014266E" w14:paraId="15084669" w14:textId="77777777" w:rsidTr="00B81907">
        <w:trPr>
          <w:trHeight w:val="570"/>
        </w:trPr>
        <w:tc>
          <w:tcPr>
            <w:tcW w:w="2284" w:type="pct"/>
            <w:tcBorders>
              <w:bottom w:val="single" w:sz="4" w:space="0" w:color="auto"/>
            </w:tcBorders>
            <w:shd w:val="clear" w:color="auto" w:fill="auto"/>
            <w:vAlign w:val="center"/>
            <w:hideMark/>
          </w:tcPr>
          <w:p w14:paraId="590495DD" w14:textId="77777777" w:rsidR="005B2EDD" w:rsidRPr="0014266E" w:rsidRDefault="005B2EDD" w:rsidP="00811D7F">
            <w:pPr>
              <w:ind w:left="142"/>
              <w:jc w:val="center"/>
              <w:rPr>
                <w:rFonts w:ascii="Calibri" w:eastAsia="Times New Roman" w:hAnsi="Calibri" w:cs="Times New Roman"/>
                <w:bCs/>
                <w:sz w:val="18"/>
                <w:szCs w:val="18"/>
                <w:lang w:val="en-GB" w:eastAsia="en-GB"/>
              </w:rPr>
            </w:pPr>
          </w:p>
        </w:tc>
        <w:tc>
          <w:tcPr>
            <w:tcW w:w="1226" w:type="pct"/>
            <w:tcBorders>
              <w:top w:val="single" w:sz="4" w:space="0" w:color="auto"/>
              <w:bottom w:val="single" w:sz="4" w:space="0" w:color="auto"/>
            </w:tcBorders>
            <w:shd w:val="clear" w:color="auto" w:fill="8DB3E2" w:themeFill="text2" w:themeFillTint="66"/>
            <w:vAlign w:val="center"/>
            <w:hideMark/>
          </w:tcPr>
          <w:p w14:paraId="1FF61C46" w14:textId="2AF75B7B" w:rsidR="005B2EDD" w:rsidRPr="0014266E" w:rsidRDefault="005B2EDD" w:rsidP="00811D7F">
            <w:pPr>
              <w:ind w:left="142"/>
              <w:jc w:val="center"/>
              <w:rPr>
                <w:rFonts w:ascii="Calibri" w:eastAsia="Times New Roman" w:hAnsi="Calibri" w:cs="Times New Roman"/>
                <w:bCs/>
                <w:sz w:val="18"/>
                <w:szCs w:val="18"/>
                <w:lang w:val="en-GB" w:eastAsia="en-GB"/>
              </w:rPr>
            </w:pPr>
            <w:r w:rsidRPr="0014266E">
              <w:rPr>
                <w:rFonts w:ascii="Calibri" w:eastAsia="Times New Roman" w:hAnsi="Calibri" w:cs="Times New Roman"/>
                <w:bCs/>
                <w:sz w:val="18"/>
                <w:szCs w:val="18"/>
                <w:lang w:val="en-GB" w:eastAsia="en-GB"/>
              </w:rPr>
              <w:t>20</w:t>
            </w:r>
            <w:r w:rsidR="00A968F1">
              <w:rPr>
                <w:rFonts w:ascii="Calibri" w:eastAsia="Times New Roman" w:hAnsi="Calibri" w:cs="Times New Roman"/>
                <w:bCs/>
                <w:sz w:val="18"/>
                <w:szCs w:val="18"/>
                <w:lang w:val="en-GB" w:eastAsia="en-GB"/>
              </w:rPr>
              <w:t>20</w:t>
            </w:r>
          </w:p>
        </w:tc>
        <w:tc>
          <w:tcPr>
            <w:tcW w:w="1490" w:type="pct"/>
            <w:tcBorders>
              <w:top w:val="single" w:sz="4" w:space="0" w:color="auto"/>
              <w:bottom w:val="single" w:sz="4" w:space="0" w:color="auto"/>
            </w:tcBorders>
            <w:shd w:val="clear" w:color="auto" w:fill="8DB3E2" w:themeFill="text2" w:themeFillTint="66"/>
            <w:vAlign w:val="center"/>
            <w:hideMark/>
          </w:tcPr>
          <w:p w14:paraId="3FA76CDE" w14:textId="56044A59" w:rsidR="005B2EDD" w:rsidRPr="0014266E" w:rsidRDefault="005B2EDD" w:rsidP="00811D7F">
            <w:pPr>
              <w:ind w:left="142"/>
              <w:jc w:val="center"/>
              <w:rPr>
                <w:rFonts w:ascii="Calibri" w:eastAsia="Times New Roman" w:hAnsi="Calibri" w:cs="Times New Roman"/>
                <w:bCs/>
                <w:sz w:val="18"/>
                <w:szCs w:val="18"/>
                <w:lang w:val="en-GB" w:eastAsia="en-GB"/>
              </w:rPr>
            </w:pPr>
            <w:r w:rsidRPr="0014266E">
              <w:rPr>
                <w:rFonts w:ascii="Calibri" w:eastAsia="Times New Roman" w:hAnsi="Calibri" w:cs="Times New Roman"/>
                <w:bCs/>
                <w:sz w:val="18"/>
                <w:szCs w:val="18"/>
                <w:lang w:val="en-GB" w:eastAsia="en-GB"/>
              </w:rPr>
              <w:t>202</w:t>
            </w:r>
            <w:r w:rsidR="00A968F1">
              <w:rPr>
                <w:rFonts w:ascii="Calibri" w:eastAsia="Times New Roman" w:hAnsi="Calibri" w:cs="Times New Roman"/>
                <w:bCs/>
                <w:sz w:val="18"/>
                <w:szCs w:val="18"/>
                <w:lang w:val="en-GB" w:eastAsia="en-GB"/>
              </w:rPr>
              <w:t>1</w:t>
            </w:r>
          </w:p>
        </w:tc>
      </w:tr>
      <w:tr w:rsidR="005B2EDD" w:rsidRPr="00277F01" w14:paraId="7E4FE2BA" w14:textId="77777777" w:rsidTr="00B81907">
        <w:trPr>
          <w:trHeight w:val="600"/>
        </w:trPr>
        <w:tc>
          <w:tcPr>
            <w:tcW w:w="2284" w:type="pct"/>
            <w:tcBorders>
              <w:top w:val="single" w:sz="4" w:space="0" w:color="auto"/>
              <w:left w:val="single" w:sz="4" w:space="0" w:color="auto"/>
            </w:tcBorders>
            <w:shd w:val="clear" w:color="auto" w:fill="8DB3E2" w:themeFill="text2" w:themeFillTint="66"/>
            <w:vAlign w:val="center"/>
            <w:hideMark/>
          </w:tcPr>
          <w:p w14:paraId="7981E1BD" w14:textId="77777777" w:rsidR="005B2EDD" w:rsidRPr="0014266E" w:rsidRDefault="005B2EDD" w:rsidP="00811D7F">
            <w:pPr>
              <w:ind w:left="142"/>
              <w:jc w:val="center"/>
              <w:rPr>
                <w:rFonts w:ascii="Calibri" w:eastAsia="Times New Roman" w:hAnsi="Calibri" w:cs="Times New Roman"/>
                <w:bCs/>
                <w:sz w:val="18"/>
                <w:szCs w:val="18"/>
                <w:lang w:val="en-GB" w:eastAsia="en-GB"/>
              </w:rPr>
            </w:pPr>
            <w:r w:rsidRPr="0014266E">
              <w:rPr>
                <w:rFonts w:ascii="Calibri" w:eastAsia="Times New Roman" w:hAnsi="Calibri" w:cs="Times New Roman"/>
                <w:bCs/>
                <w:sz w:val="18"/>
                <w:szCs w:val="18"/>
                <w:lang w:val="en-GB" w:eastAsia="en-GB"/>
              </w:rPr>
              <w:t>Number of energy audits carried out</w:t>
            </w:r>
            <w:r>
              <w:rPr>
                <w:rFonts w:ascii="Calibri" w:eastAsia="Times New Roman" w:hAnsi="Calibri" w:cs="Times New Roman"/>
                <w:bCs/>
                <w:sz w:val="18"/>
                <w:szCs w:val="18"/>
                <w:lang w:val="en-GB" w:eastAsia="en-GB"/>
              </w:rPr>
              <w:t>.</w:t>
            </w:r>
          </w:p>
        </w:tc>
        <w:tc>
          <w:tcPr>
            <w:tcW w:w="1226" w:type="pct"/>
            <w:tcBorders>
              <w:top w:val="single" w:sz="4" w:space="0" w:color="auto"/>
            </w:tcBorders>
            <w:vAlign w:val="center"/>
            <w:hideMark/>
          </w:tcPr>
          <w:p w14:paraId="06BE0753" w14:textId="0A58FE97" w:rsidR="005B2EDD" w:rsidRPr="0014266E" w:rsidRDefault="00633A85"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c>
          <w:tcPr>
            <w:tcW w:w="1490" w:type="pct"/>
            <w:tcBorders>
              <w:top w:val="single" w:sz="4" w:space="0" w:color="auto"/>
            </w:tcBorders>
            <w:vAlign w:val="center"/>
            <w:hideMark/>
          </w:tcPr>
          <w:p w14:paraId="432BB1C6" w14:textId="0A4B2660" w:rsidR="005B2EDD" w:rsidRPr="0014266E" w:rsidRDefault="00633A85"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77</w:t>
            </w:r>
          </w:p>
        </w:tc>
      </w:tr>
      <w:tr w:rsidR="005B2EDD" w:rsidRPr="00277F01" w14:paraId="02864005" w14:textId="77777777" w:rsidTr="00B81907">
        <w:trPr>
          <w:trHeight w:val="1800"/>
        </w:trPr>
        <w:tc>
          <w:tcPr>
            <w:tcW w:w="2284" w:type="pct"/>
            <w:tcBorders>
              <w:top w:val="single" w:sz="4" w:space="0" w:color="auto"/>
              <w:left w:val="single" w:sz="4" w:space="0" w:color="auto"/>
            </w:tcBorders>
            <w:shd w:val="clear" w:color="auto" w:fill="8DB3E2" w:themeFill="text2" w:themeFillTint="66"/>
            <w:vAlign w:val="center"/>
            <w:hideMark/>
          </w:tcPr>
          <w:p w14:paraId="59B9E5B1" w14:textId="31F33298" w:rsidR="005B2EDD" w:rsidRPr="0014266E" w:rsidRDefault="005B2EDD" w:rsidP="00811D7F">
            <w:pPr>
              <w:ind w:left="142"/>
              <w:jc w:val="center"/>
              <w:rPr>
                <w:rFonts w:ascii="Calibri" w:eastAsia="Times New Roman" w:hAnsi="Calibri" w:cs="Times New Roman"/>
                <w:bCs/>
                <w:sz w:val="18"/>
                <w:szCs w:val="18"/>
                <w:lang w:val="en-GB" w:eastAsia="en-GB"/>
              </w:rPr>
            </w:pPr>
            <w:r w:rsidRPr="0014266E">
              <w:rPr>
                <w:rFonts w:ascii="Calibri" w:eastAsia="Times New Roman" w:hAnsi="Calibri" w:cs="Times New Roman"/>
                <w:bCs/>
                <w:sz w:val="18"/>
                <w:szCs w:val="18"/>
                <w:lang w:val="en-GB" w:eastAsia="en-GB"/>
              </w:rPr>
              <w:t xml:space="preserve">The total estimated number of large companies in territory </w:t>
            </w:r>
            <w:r>
              <w:rPr>
                <w:rFonts w:ascii="Calibri" w:eastAsia="Times New Roman" w:hAnsi="Calibri" w:cs="Times New Roman"/>
                <w:bCs/>
                <w:sz w:val="18"/>
                <w:szCs w:val="18"/>
                <w:lang w:val="en-GB" w:eastAsia="en-GB"/>
              </w:rPr>
              <w:t xml:space="preserve">of CP </w:t>
            </w:r>
            <w:r w:rsidRPr="0014266E">
              <w:rPr>
                <w:rFonts w:ascii="Calibri" w:eastAsia="Times New Roman" w:hAnsi="Calibri" w:cs="Times New Roman"/>
                <w:bCs/>
                <w:sz w:val="18"/>
                <w:szCs w:val="18"/>
                <w:lang w:val="en-GB" w:eastAsia="en-GB"/>
              </w:rPr>
              <w:t>to which Article 8(4) of Directive 2012/27/EU is applicable</w:t>
            </w:r>
          </w:p>
        </w:tc>
        <w:tc>
          <w:tcPr>
            <w:tcW w:w="1226" w:type="pct"/>
            <w:tcBorders>
              <w:top w:val="single" w:sz="4" w:space="0" w:color="auto"/>
            </w:tcBorders>
            <w:vAlign w:val="center"/>
            <w:hideMark/>
          </w:tcPr>
          <w:p w14:paraId="4BAD9556" w14:textId="5A38EFA0" w:rsidR="005B2EDD" w:rsidRPr="0014266E" w:rsidRDefault="00A906C2"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c>
          <w:tcPr>
            <w:tcW w:w="1490" w:type="pct"/>
            <w:tcBorders>
              <w:top w:val="single" w:sz="4" w:space="0" w:color="auto"/>
            </w:tcBorders>
            <w:vAlign w:val="center"/>
            <w:hideMark/>
          </w:tcPr>
          <w:p w14:paraId="5D46DC82" w14:textId="43C6F66C" w:rsidR="005B2EDD" w:rsidRPr="0014266E" w:rsidRDefault="00B02406"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r>
      <w:tr w:rsidR="005B2EDD" w:rsidRPr="00277F01" w14:paraId="1D63F5B6" w14:textId="77777777" w:rsidTr="00B81907">
        <w:trPr>
          <w:trHeight w:val="900"/>
        </w:trPr>
        <w:tc>
          <w:tcPr>
            <w:tcW w:w="2284" w:type="pct"/>
            <w:tcBorders>
              <w:top w:val="single" w:sz="4" w:space="0" w:color="auto"/>
              <w:left w:val="single" w:sz="4" w:space="0" w:color="auto"/>
              <w:bottom w:val="single" w:sz="4" w:space="0" w:color="auto"/>
            </w:tcBorders>
            <w:shd w:val="clear" w:color="auto" w:fill="8DB3E2" w:themeFill="text2" w:themeFillTint="66"/>
            <w:vAlign w:val="center"/>
            <w:hideMark/>
          </w:tcPr>
          <w:p w14:paraId="7352BCA8" w14:textId="3C9C8949" w:rsidR="005B2EDD" w:rsidRPr="0014266E" w:rsidRDefault="005B2EDD" w:rsidP="00811D7F">
            <w:pPr>
              <w:ind w:left="142"/>
              <w:jc w:val="center"/>
              <w:rPr>
                <w:rFonts w:ascii="Calibri" w:eastAsia="Times New Roman" w:hAnsi="Calibri" w:cs="Times New Roman"/>
                <w:bCs/>
                <w:sz w:val="18"/>
                <w:szCs w:val="18"/>
                <w:lang w:val="en-GB" w:eastAsia="en-GB"/>
              </w:rPr>
            </w:pPr>
            <w:r w:rsidRPr="0014266E">
              <w:rPr>
                <w:rFonts w:ascii="Calibri" w:eastAsia="Times New Roman" w:hAnsi="Calibri" w:cs="Times New Roman"/>
                <w:bCs/>
                <w:sz w:val="18"/>
                <w:szCs w:val="18"/>
                <w:lang w:val="en-GB" w:eastAsia="en-GB"/>
              </w:rPr>
              <w:t>The number of energy audits c</w:t>
            </w:r>
            <w:r>
              <w:rPr>
                <w:rFonts w:ascii="Calibri" w:eastAsia="Times New Roman" w:hAnsi="Calibri" w:cs="Times New Roman"/>
                <w:bCs/>
                <w:sz w:val="18"/>
                <w:szCs w:val="18"/>
                <w:lang w:val="en-GB" w:eastAsia="en-GB"/>
              </w:rPr>
              <w:t>arried out in those enterprises</w:t>
            </w:r>
          </w:p>
        </w:tc>
        <w:tc>
          <w:tcPr>
            <w:tcW w:w="1226" w:type="pct"/>
            <w:tcBorders>
              <w:top w:val="single" w:sz="4" w:space="0" w:color="auto"/>
              <w:bottom w:val="single" w:sz="4" w:space="0" w:color="auto"/>
            </w:tcBorders>
            <w:vAlign w:val="center"/>
            <w:hideMark/>
          </w:tcPr>
          <w:p w14:paraId="481C65C1" w14:textId="42E85A1C" w:rsidR="005B2EDD" w:rsidRPr="0014266E" w:rsidRDefault="00B02406"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c>
          <w:tcPr>
            <w:tcW w:w="1490" w:type="pct"/>
            <w:tcBorders>
              <w:top w:val="single" w:sz="4" w:space="0" w:color="auto"/>
              <w:bottom w:val="single" w:sz="4" w:space="0" w:color="auto"/>
            </w:tcBorders>
            <w:vAlign w:val="center"/>
            <w:hideMark/>
          </w:tcPr>
          <w:p w14:paraId="04787D1A" w14:textId="66D5CBF2" w:rsidR="005B2EDD" w:rsidRPr="0014266E" w:rsidRDefault="00B02406"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w:t>
            </w:r>
          </w:p>
        </w:tc>
      </w:tr>
      <w:tr w:rsidR="00B81907" w:rsidRPr="007C7C8F" w14:paraId="4BDBD77E" w14:textId="77777777" w:rsidTr="00B81907">
        <w:trPr>
          <w:trHeight w:val="900"/>
        </w:trPr>
        <w:tc>
          <w:tcPr>
            <w:tcW w:w="2284" w:type="pct"/>
            <w:tcBorders>
              <w:top w:val="single" w:sz="4" w:space="0" w:color="auto"/>
              <w:left w:val="single" w:sz="4" w:space="0" w:color="auto"/>
            </w:tcBorders>
            <w:shd w:val="clear" w:color="auto" w:fill="8DB3E2" w:themeFill="text2" w:themeFillTint="66"/>
            <w:vAlign w:val="center"/>
          </w:tcPr>
          <w:p w14:paraId="2C8E785A" w14:textId="71BDCA2A" w:rsidR="00B81907" w:rsidRPr="0014266E" w:rsidRDefault="00B81907" w:rsidP="00B81907">
            <w:pPr>
              <w:ind w:left="142"/>
              <w:jc w:val="center"/>
              <w:rPr>
                <w:rFonts w:ascii="Calibri" w:eastAsia="Times New Roman" w:hAnsi="Calibri" w:cs="Times New Roman"/>
                <w:bCs/>
                <w:sz w:val="18"/>
                <w:szCs w:val="18"/>
                <w:lang w:val="en-GB" w:eastAsia="en-GB"/>
              </w:rPr>
            </w:pPr>
            <w:r w:rsidRPr="00B81907">
              <w:rPr>
                <w:rFonts w:ascii="Calibri" w:eastAsia="Times New Roman" w:hAnsi="Calibri" w:cs="Times New Roman"/>
                <w:bCs/>
                <w:sz w:val="18"/>
                <w:szCs w:val="18"/>
                <w:lang w:val="en-GB" w:eastAsia="en-GB"/>
              </w:rPr>
              <w:t>The internet link to the website where the list or the interfa</w:t>
            </w:r>
            <w:r w:rsidR="008E55BF">
              <w:rPr>
                <w:rFonts w:ascii="Calibri" w:eastAsia="Times New Roman" w:hAnsi="Calibri" w:cs="Times New Roman"/>
                <w:bCs/>
                <w:sz w:val="18"/>
                <w:szCs w:val="18"/>
                <w:lang w:val="en-GB" w:eastAsia="en-GB"/>
              </w:rPr>
              <w:t>ce of energy services providers</w:t>
            </w:r>
          </w:p>
        </w:tc>
        <w:tc>
          <w:tcPr>
            <w:tcW w:w="2716" w:type="pct"/>
            <w:gridSpan w:val="2"/>
            <w:tcBorders>
              <w:top w:val="single" w:sz="4" w:space="0" w:color="auto"/>
            </w:tcBorders>
            <w:vAlign w:val="center"/>
          </w:tcPr>
          <w:p w14:paraId="0CA90970" w14:textId="47847917" w:rsidR="00B81907" w:rsidRPr="0014266E" w:rsidRDefault="00B02406" w:rsidP="00811D7F">
            <w:pPr>
              <w:ind w:left="142"/>
              <w:jc w:val="center"/>
              <w:rPr>
                <w:rFonts w:ascii="Calibri" w:eastAsia="Times New Roman" w:hAnsi="Calibri" w:cs="Times New Roman"/>
                <w:bCs/>
                <w:sz w:val="18"/>
                <w:szCs w:val="18"/>
                <w:lang w:val="en-GB" w:eastAsia="en-GB"/>
              </w:rPr>
            </w:pPr>
            <w:r>
              <w:rPr>
                <w:rFonts w:ascii="Calibri" w:eastAsia="Times New Roman" w:hAnsi="Calibri" w:cs="Times New Roman"/>
                <w:bCs/>
                <w:sz w:val="18"/>
                <w:szCs w:val="18"/>
                <w:lang w:val="en-GB" w:eastAsia="en-GB"/>
              </w:rPr>
              <w:t xml:space="preserve">No ESCO company </w:t>
            </w:r>
            <w:r w:rsidR="00A906C2">
              <w:rPr>
                <w:rFonts w:ascii="Calibri" w:eastAsia="Times New Roman" w:hAnsi="Calibri" w:cs="Times New Roman"/>
                <w:bCs/>
                <w:sz w:val="18"/>
                <w:szCs w:val="18"/>
                <w:lang w:val="en-GB" w:eastAsia="en-GB"/>
              </w:rPr>
              <w:t>are</w:t>
            </w:r>
            <w:r>
              <w:rPr>
                <w:rFonts w:ascii="Calibri" w:eastAsia="Times New Roman" w:hAnsi="Calibri" w:cs="Times New Roman"/>
                <w:bCs/>
                <w:sz w:val="18"/>
                <w:szCs w:val="18"/>
                <w:lang w:val="en-GB" w:eastAsia="en-GB"/>
              </w:rPr>
              <w:t xml:space="preserve"> established </w:t>
            </w:r>
            <w:r w:rsidR="00A906C2">
              <w:rPr>
                <w:rFonts w:ascii="Calibri" w:eastAsia="Times New Roman" w:hAnsi="Calibri" w:cs="Times New Roman"/>
                <w:bCs/>
                <w:sz w:val="18"/>
                <w:szCs w:val="18"/>
                <w:lang w:val="en-GB" w:eastAsia="en-GB"/>
              </w:rPr>
              <w:t>during reporting period</w:t>
            </w:r>
          </w:p>
        </w:tc>
      </w:tr>
    </w:tbl>
    <w:p w14:paraId="33218657" w14:textId="6C02B38F" w:rsidR="005B2EDD" w:rsidRPr="009309D2" w:rsidRDefault="005B2EDD" w:rsidP="005B2EDD">
      <w:pPr>
        <w:pStyle w:val="Heading1"/>
        <w:ind w:left="714" w:hanging="357"/>
      </w:pPr>
      <w:r>
        <w:lastRenderedPageBreak/>
        <w:t>Conversion Factors (EED Annex IV</w:t>
      </w:r>
      <w:r w:rsidRPr="009309D2">
        <w:t>)</w:t>
      </w:r>
    </w:p>
    <w:p w14:paraId="58618CCC" w14:textId="00850B33" w:rsidR="005B2EDD" w:rsidRPr="00B02406" w:rsidRDefault="00B02406" w:rsidP="005B2EDD">
      <w:pPr>
        <w:jc w:val="both"/>
        <w:rPr>
          <w:rFonts w:ascii="Times New Roman" w:hAnsi="Times New Roman" w:cs="Times New Roman"/>
          <w:iCs/>
          <w:sz w:val="24"/>
          <w:szCs w:val="24"/>
          <w:lang w:val="en-US"/>
        </w:rPr>
      </w:pPr>
      <w:r w:rsidRPr="00B02406">
        <w:rPr>
          <w:rFonts w:ascii="Times New Roman" w:hAnsi="Times New Roman" w:cs="Times New Roman"/>
          <w:iCs/>
          <w:sz w:val="24"/>
          <w:szCs w:val="24"/>
          <w:lang w:val="en-US"/>
        </w:rPr>
        <w:t xml:space="preserve">We </w:t>
      </w:r>
      <w:r w:rsidR="001E3896" w:rsidRPr="00B02406">
        <w:rPr>
          <w:rFonts w:ascii="Times New Roman" w:hAnsi="Times New Roman" w:cs="Times New Roman"/>
          <w:iCs/>
          <w:sz w:val="24"/>
          <w:szCs w:val="24"/>
          <w:lang w:val="en-US"/>
        </w:rPr>
        <w:t xml:space="preserve">confirm that national primary energy factor for electricity </w:t>
      </w:r>
      <w:r>
        <w:rPr>
          <w:rFonts w:ascii="Times New Roman" w:hAnsi="Times New Roman" w:cs="Times New Roman"/>
          <w:iCs/>
          <w:sz w:val="24"/>
          <w:szCs w:val="24"/>
          <w:lang w:val="en-US"/>
        </w:rPr>
        <w:t xml:space="preserve">have been applied as in </w:t>
      </w:r>
      <w:r w:rsidR="005B2EDD" w:rsidRPr="00B02406">
        <w:rPr>
          <w:rFonts w:ascii="Times New Roman" w:hAnsi="Times New Roman" w:cs="Times New Roman"/>
          <w:iCs/>
          <w:sz w:val="24"/>
          <w:szCs w:val="24"/>
          <w:lang w:val="en-US"/>
        </w:rPr>
        <w:t>Annex IV to Directive 2012/27/EU</w:t>
      </w:r>
      <w:r>
        <w:rPr>
          <w:rFonts w:ascii="Times New Roman" w:hAnsi="Times New Roman" w:cs="Times New Roman"/>
          <w:iCs/>
          <w:sz w:val="24"/>
          <w:szCs w:val="24"/>
          <w:lang w:val="en-US"/>
        </w:rPr>
        <w:t xml:space="preserve">. </w:t>
      </w:r>
    </w:p>
    <w:p w14:paraId="5312F920" w14:textId="35147C9F" w:rsidR="00FD7C2F" w:rsidRDefault="00F1229B" w:rsidP="00F1229B">
      <w:pPr>
        <w:jc w:val="both"/>
        <w:rPr>
          <w:b/>
          <w:i/>
          <w:color w:val="0070C0"/>
          <w:lang w:val="en-GB"/>
        </w:rPr>
      </w:pPr>
      <w:r>
        <w:rPr>
          <w:b/>
          <w:i/>
          <w:color w:val="0070C0"/>
          <w:lang w:val="en-GB"/>
        </w:rPr>
        <w:t xml:space="preserve">NOTE: </w:t>
      </w:r>
    </w:p>
    <w:p w14:paraId="4453C1FB" w14:textId="7C2965C5" w:rsidR="00F1229B" w:rsidRDefault="00F1229B" w:rsidP="00F1229B">
      <w:pPr>
        <w:jc w:val="both"/>
        <w:rPr>
          <w:b/>
          <w:i/>
          <w:color w:val="0070C0"/>
          <w:lang w:val="en-GB"/>
        </w:rPr>
      </w:pPr>
      <w:r w:rsidRPr="00F1229B">
        <w:rPr>
          <w:b/>
          <w:i/>
          <w:color w:val="0070C0"/>
          <w:lang w:val="en-GB"/>
        </w:rPr>
        <w:t xml:space="preserve">Data on primary and final energy consumption </w:t>
      </w:r>
      <w:r w:rsidR="00E76030">
        <w:rPr>
          <w:b/>
          <w:i/>
          <w:color w:val="0070C0"/>
          <w:lang w:val="en-GB"/>
        </w:rPr>
        <w:t xml:space="preserve">in </w:t>
      </w:r>
      <w:r w:rsidR="00A30315">
        <w:rPr>
          <w:b/>
          <w:i/>
          <w:color w:val="0070C0"/>
          <w:lang w:val="en-GB"/>
        </w:rPr>
        <w:t>2020</w:t>
      </w:r>
      <w:r w:rsidR="00E76030">
        <w:rPr>
          <w:b/>
          <w:i/>
          <w:color w:val="0070C0"/>
          <w:lang w:val="en-GB"/>
        </w:rPr>
        <w:t xml:space="preserve"> </w:t>
      </w:r>
      <w:r w:rsidRPr="00F1229B">
        <w:rPr>
          <w:b/>
          <w:i/>
          <w:color w:val="0070C0"/>
          <w:lang w:val="en-GB"/>
        </w:rPr>
        <w:t>should be inserted in MS Excel Table (see Part 2 Report)!</w:t>
      </w:r>
    </w:p>
    <w:p w14:paraId="6D440E25" w14:textId="77777777" w:rsidR="00900C3A" w:rsidRPr="009309D2" w:rsidRDefault="00900C3A" w:rsidP="00DA4990">
      <w:pPr>
        <w:jc w:val="both"/>
        <w:rPr>
          <w:lang w:val="en-GB"/>
        </w:rPr>
      </w:pPr>
    </w:p>
    <w:sectPr w:rsidR="00900C3A" w:rsidRPr="009309D2" w:rsidSect="00211444">
      <w:headerReference w:type="default" r:id="rId20"/>
      <w:footerReference w:type="default" r:id="rId21"/>
      <w:pgSz w:w="11906" w:h="16838" w:code="9"/>
      <w:pgMar w:top="1440" w:right="926" w:bottom="1440" w:left="900" w:header="706" w:footer="70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392FC6" w16cid:durableId="27FE4668"/>
  <w16cid:commentId w16cid:paraId="72387388" w16cid:durableId="27FE4669"/>
  <w16cid:commentId w16cid:paraId="6B4A1AF4" w16cid:durableId="27FE46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C61B7" w14:textId="77777777" w:rsidR="00F8521D" w:rsidRDefault="00F8521D" w:rsidP="009255C9">
      <w:pPr>
        <w:spacing w:after="0" w:line="240" w:lineRule="auto"/>
      </w:pPr>
      <w:r>
        <w:separator/>
      </w:r>
    </w:p>
  </w:endnote>
  <w:endnote w:type="continuationSeparator" w:id="0">
    <w:p w14:paraId="2FEF3C59" w14:textId="77777777" w:rsidR="00F8521D" w:rsidRDefault="00F8521D" w:rsidP="0092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689500"/>
      <w:docPartObj>
        <w:docPartGallery w:val="Page Numbers (Bottom of Page)"/>
        <w:docPartUnique/>
      </w:docPartObj>
    </w:sdtPr>
    <w:sdtEndPr>
      <w:rPr>
        <w:noProof/>
      </w:rPr>
    </w:sdtEndPr>
    <w:sdtContent>
      <w:p w14:paraId="071A1F0F" w14:textId="4DE80324" w:rsidR="00CB2F4B" w:rsidRDefault="00CB2F4B">
        <w:pPr>
          <w:pStyle w:val="Footer"/>
          <w:jc w:val="right"/>
        </w:pPr>
        <w:r>
          <w:fldChar w:fldCharType="begin"/>
        </w:r>
        <w:r>
          <w:instrText xml:space="preserve"> PAGE   \* MERGEFORMAT </w:instrText>
        </w:r>
        <w:r>
          <w:fldChar w:fldCharType="separate"/>
        </w:r>
        <w:r w:rsidR="009D0A82">
          <w:rPr>
            <w:noProof/>
          </w:rPr>
          <w:t>10</w:t>
        </w:r>
        <w:r>
          <w:rPr>
            <w:noProof/>
          </w:rPr>
          <w:fldChar w:fldCharType="end"/>
        </w:r>
      </w:p>
    </w:sdtContent>
  </w:sdt>
  <w:p w14:paraId="724184B3" w14:textId="77777777" w:rsidR="00CB2F4B" w:rsidRDefault="00CB2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03637" w14:textId="77777777" w:rsidR="00F8521D" w:rsidRDefault="00F8521D" w:rsidP="009255C9">
      <w:pPr>
        <w:spacing w:after="0" w:line="240" w:lineRule="auto"/>
      </w:pPr>
      <w:r>
        <w:separator/>
      </w:r>
    </w:p>
  </w:footnote>
  <w:footnote w:type="continuationSeparator" w:id="0">
    <w:p w14:paraId="33C5F230" w14:textId="77777777" w:rsidR="00F8521D" w:rsidRDefault="00F8521D" w:rsidP="0092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87C5" w14:textId="77777777" w:rsidR="0060796F" w:rsidRDefault="0060796F">
    <w:pPr>
      <w:pStyle w:val="Header"/>
    </w:pPr>
  </w:p>
  <w:p w14:paraId="05168113" w14:textId="77777777" w:rsidR="009255C9" w:rsidRDefault="00925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2237"/>
    <w:multiLevelType w:val="hybridMultilevel"/>
    <w:tmpl w:val="F0300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6516A"/>
    <w:multiLevelType w:val="hybridMultilevel"/>
    <w:tmpl w:val="2D824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E27D06"/>
    <w:multiLevelType w:val="hybridMultilevel"/>
    <w:tmpl w:val="4CCC8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1932F9"/>
    <w:multiLevelType w:val="hybridMultilevel"/>
    <w:tmpl w:val="19ECB4BA"/>
    <w:lvl w:ilvl="0" w:tplc="FB767BC8">
      <w:start w:val="1"/>
      <w:numFmt w:val="upperLetter"/>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0E3940"/>
    <w:multiLevelType w:val="hybridMultilevel"/>
    <w:tmpl w:val="16946D20"/>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853749"/>
    <w:multiLevelType w:val="hybridMultilevel"/>
    <w:tmpl w:val="3AC8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8F4524"/>
    <w:multiLevelType w:val="hybridMultilevel"/>
    <w:tmpl w:val="8EBC3F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AD2E5E"/>
    <w:multiLevelType w:val="hybridMultilevel"/>
    <w:tmpl w:val="646AA420"/>
    <w:lvl w:ilvl="0" w:tplc="D104091A">
      <w:start w:val="9"/>
      <w:numFmt w:val="bullet"/>
      <w:lvlText w:val="-"/>
      <w:lvlJc w:val="left"/>
      <w:pPr>
        <w:ind w:left="720" w:hanging="360"/>
      </w:pPr>
      <w:rPr>
        <w:rFonts w:ascii="Calibri" w:eastAsia="Times New Roman" w:hAnsi="Calibri" w:cs="Calibri" w:hint="default"/>
        <w:color w:val="FF0000"/>
        <w:sz w:val="18"/>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69D85752"/>
    <w:multiLevelType w:val="hybridMultilevel"/>
    <w:tmpl w:val="ABE894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620FD0"/>
    <w:multiLevelType w:val="multilevel"/>
    <w:tmpl w:val="924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7DDE"/>
    <w:multiLevelType w:val="hybridMultilevel"/>
    <w:tmpl w:val="115E8E48"/>
    <w:lvl w:ilvl="0" w:tplc="8EA6DB58">
      <w:numFmt w:val="bullet"/>
      <w:lvlText w:val="-"/>
      <w:lvlJc w:val="left"/>
      <w:pPr>
        <w:ind w:left="1080" w:hanging="360"/>
      </w:pPr>
      <w:rPr>
        <w:rFonts w:ascii="Calibri" w:eastAsiaTheme="minorHAnsi" w:hAnsi="Calibri" w:cs="Calibr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1">
    <w:nsid w:val="6E574D2E"/>
    <w:multiLevelType w:val="multilevel"/>
    <w:tmpl w:val="3B3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DF70BD"/>
    <w:multiLevelType w:val="hybridMultilevel"/>
    <w:tmpl w:val="8A70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12"/>
  </w:num>
  <w:num w:numId="8">
    <w:abstractNumId w:val="8"/>
  </w:num>
  <w:num w:numId="9">
    <w:abstractNumId w:val="3"/>
    <w:lvlOverride w:ilvl="0">
      <w:startOverride w:val="1"/>
    </w:lvlOverride>
  </w:num>
  <w:num w:numId="10">
    <w:abstractNumId w:val="3"/>
  </w:num>
  <w:num w:numId="11">
    <w:abstractNumId w:val="3"/>
    <w:lvlOverride w:ilvl="0">
      <w:startOverride w:val="1"/>
    </w:lvlOverride>
  </w:num>
  <w:num w:numId="12">
    <w:abstractNumId w:val="3"/>
  </w:num>
  <w:num w:numId="13">
    <w:abstractNumId w:val="7"/>
  </w:num>
  <w:num w:numId="14">
    <w:abstractNumId w:val="10"/>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E0MDewNLU0N7BQ0lEKTi0uzszPAykwrwUAEyuhOSwAAAA="/>
  </w:docVars>
  <w:rsids>
    <w:rsidRoot w:val="000921C1"/>
    <w:rsid w:val="0000117E"/>
    <w:rsid w:val="00007AC4"/>
    <w:rsid w:val="0001306E"/>
    <w:rsid w:val="00031460"/>
    <w:rsid w:val="00035929"/>
    <w:rsid w:val="00043139"/>
    <w:rsid w:val="0004431A"/>
    <w:rsid w:val="00046F85"/>
    <w:rsid w:val="00050237"/>
    <w:rsid w:val="00057709"/>
    <w:rsid w:val="000631CF"/>
    <w:rsid w:val="00071E80"/>
    <w:rsid w:val="00073CA6"/>
    <w:rsid w:val="0008676B"/>
    <w:rsid w:val="000921C1"/>
    <w:rsid w:val="000A11CB"/>
    <w:rsid w:val="000A3E46"/>
    <w:rsid w:val="000B2A31"/>
    <w:rsid w:val="000B319A"/>
    <w:rsid w:val="000B3BAC"/>
    <w:rsid w:val="000B7F7A"/>
    <w:rsid w:val="000D156F"/>
    <w:rsid w:val="000D6B97"/>
    <w:rsid w:val="000E2C87"/>
    <w:rsid w:val="000E5744"/>
    <w:rsid w:val="000E649D"/>
    <w:rsid w:val="000E7DAB"/>
    <w:rsid w:val="000F7E87"/>
    <w:rsid w:val="00122CFD"/>
    <w:rsid w:val="00124F62"/>
    <w:rsid w:val="0012652E"/>
    <w:rsid w:val="00131602"/>
    <w:rsid w:val="0014266E"/>
    <w:rsid w:val="00173C4F"/>
    <w:rsid w:val="00184F4F"/>
    <w:rsid w:val="00185EAD"/>
    <w:rsid w:val="00193F14"/>
    <w:rsid w:val="001C1C34"/>
    <w:rsid w:val="001C49E1"/>
    <w:rsid w:val="001D6B04"/>
    <w:rsid w:val="001E3896"/>
    <w:rsid w:val="001F0C24"/>
    <w:rsid w:val="001F1370"/>
    <w:rsid w:val="001F3275"/>
    <w:rsid w:val="001F7C1A"/>
    <w:rsid w:val="00205F0A"/>
    <w:rsid w:val="002110FE"/>
    <w:rsid w:val="00211444"/>
    <w:rsid w:val="002126A1"/>
    <w:rsid w:val="00213B9F"/>
    <w:rsid w:val="00215526"/>
    <w:rsid w:val="00216FCF"/>
    <w:rsid w:val="00254C35"/>
    <w:rsid w:val="00266D38"/>
    <w:rsid w:val="002702D4"/>
    <w:rsid w:val="002740F4"/>
    <w:rsid w:val="00277F01"/>
    <w:rsid w:val="002804EC"/>
    <w:rsid w:val="00292868"/>
    <w:rsid w:val="0029765F"/>
    <w:rsid w:val="002A46DC"/>
    <w:rsid w:val="002A4BE4"/>
    <w:rsid w:val="002D5129"/>
    <w:rsid w:val="002D7EC0"/>
    <w:rsid w:val="002F0CEC"/>
    <w:rsid w:val="002F2AC5"/>
    <w:rsid w:val="002F41BB"/>
    <w:rsid w:val="002F6954"/>
    <w:rsid w:val="0030167C"/>
    <w:rsid w:val="00324063"/>
    <w:rsid w:val="00327909"/>
    <w:rsid w:val="00327B8A"/>
    <w:rsid w:val="003406ED"/>
    <w:rsid w:val="00354DD9"/>
    <w:rsid w:val="0038674C"/>
    <w:rsid w:val="0039090F"/>
    <w:rsid w:val="003A3C80"/>
    <w:rsid w:val="003A564A"/>
    <w:rsid w:val="003C1F04"/>
    <w:rsid w:val="003D2A8A"/>
    <w:rsid w:val="003E1BF7"/>
    <w:rsid w:val="003E3F20"/>
    <w:rsid w:val="003E7655"/>
    <w:rsid w:val="003F4559"/>
    <w:rsid w:val="00426C40"/>
    <w:rsid w:val="0043755B"/>
    <w:rsid w:val="00474150"/>
    <w:rsid w:val="00490845"/>
    <w:rsid w:val="004920AE"/>
    <w:rsid w:val="00495BEC"/>
    <w:rsid w:val="004964E2"/>
    <w:rsid w:val="004A300C"/>
    <w:rsid w:val="004A4ABB"/>
    <w:rsid w:val="004A6432"/>
    <w:rsid w:val="004D4C01"/>
    <w:rsid w:val="004E5454"/>
    <w:rsid w:val="004F400F"/>
    <w:rsid w:val="00500421"/>
    <w:rsid w:val="00522376"/>
    <w:rsid w:val="005331FC"/>
    <w:rsid w:val="00544622"/>
    <w:rsid w:val="005474C7"/>
    <w:rsid w:val="005733A6"/>
    <w:rsid w:val="00587739"/>
    <w:rsid w:val="00594EC2"/>
    <w:rsid w:val="00596D2C"/>
    <w:rsid w:val="0059719E"/>
    <w:rsid w:val="005A4CF9"/>
    <w:rsid w:val="005B02B8"/>
    <w:rsid w:val="005B2EDD"/>
    <w:rsid w:val="005B3D17"/>
    <w:rsid w:val="005B64D3"/>
    <w:rsid w:val="005D67FB"/>
    <w:rsid w:val="005E4A94"/>
    <w:rsid w:val="005F50D0"/>
    <w:rsid w:val="005F534E"/>
    <w:rsid w:val="005F57F0"/>
    <w:rsid w:val="005F60A4"/>
    <w:rsid w:val="006015D4"/>
    <w:rsid w:val="0060436C"/>
    <w:rsid w:val="0060796F"/>
    <w:rsid w:val="00607C72"/>
    <w:rsid w:val="00617E10"/>
    <w:rsid w:val="00620A8B"/>
    <w:rsid w:val="00625403"/>
    <w:rsid w:val="00625D5A"/>
    <w:rsid w:val="006268EE"/>
    <w:rsid w:val="0063148A"/>
    <w:rsid w:val="00633A85"/>
    <w:rsid w:val="00633E46"/>
    <w:rsid w:val="0063527B"/>
    <w:rsid w:val="00640A5B"/>
    <w:rsid w:val="00647014"/>
    <w:rsid w:val="00652854"/>
    <w:rsid w:val="00655A51"/>
    <w:rsid w:val="00666537"/>
    <w:rsid w:val="00667FA4"/>
    <w:rsid w:val="00672651"/>
    <w:rsid w:val="00676542"/>
    <w:rsid w:val="00692B67"/>
    <w:rsid w:val="00695880"/>
    <w:rsid w:val="0069608C"/>
    <w:rsid w:val="00697FD2"/>
    <w:rsid w:val="006A3130"/>
    <w:rsid w:val="006A5E2A"/>
    <w:rsid w:val="006C1AC4"/>
    <w:rsid w:val="006C4256"/>
    <w:rsid w:val="006E2DC3"/>
    <w:rsid w:val="006E3CE8"/>
    <w:rsid w:val="006E3D30"/>
    <w:rsid w:val="006F1FEF"/>
    <w:rsid w:val="00711A9D"/>
    <w:rsid w:val="00712A3F"/>
    <w:rsid w:val="00717B12"/>
    <w:rsid w:val="0073010D"/>
    <w:rsid w:val="00732600"/>
    <w:rsid w:val="00744C32"/>
    <w:rsid w:val="007455BB"/>
    <w:rsid w:val="007533DD"/>
    <w:rsid w:val="007851AD"/>
    <w:rsid w:val="007A4F29"/>
    <w:rsid w:val="007A6339"/>
    <w:rsid w:val="007A7C7D"/>
    <w:rsid w:val="007B1383"/>
    <w:rsid w:val="007B43A4"/>
    <w:rsid w:val="007B6AD3"/>
    <w:rsid w:val="007C0E31"/>
    <w:rsid w:val="007C7C8F"/>
    <w:rsid w:val="007E7026"/>
    <w:rsid w:val="007E7E37"/>
    <w:rsid w:val="007F2F25"/>
    <w:rsid w:val="00800AF2"/>
    <w:rsid w:val="00811D7F"/>
    <w:rsid w:val="00820E27"/>
    <w:rsid w:val="00826186"/>
    <w:rsid w:val="00827F92"/>
    <w:rsid w:val="00830D6F"/>
    <w:rsid w:val="00836D31"/>
    <w:rsid w:val="00842AA3"/>
    <w:rsid w:val="008450CD"/>
    <w:rsid w:val="00860A86"/>
    <w:rsid w:val="00860BAD"/>
    <w:rsid w:val="008631BE"/>
    <w:rsid w:val="00871E59"/>
    <w:rsid w:val="0087662C"/>
    <w:rsid w:val="00877787"/>
    <w:rsid w:val="00897C68"/>
    <w:rsid w:val="008B074D"/>
    <w:rsid w:val="008D4C01"/>
    <w:rsid w:val="008E2687"/>
    <w:rsid w:val="008E55BF"/>
    <w:rsid w:val="00900C3A"/>
    <w:rsid w:val="00900ED0"/>
    <w:rsid w:val="009014F5"/>
    <w:rsid w:val="00912F4C"/>
    <w:rsid w:val="00920973"/>
    <w:rsid w:val="009255C9"/>
    <w:rsid w:val="00926E71"/>
    <w:rsid w:val="009309D2"/>
    <w:rsid w:val="00933A4C"/>
    <w:rsid w:val="00946C32"/>
    <w:rsid w:val="00961F04"/>
    <w:rsid w:val="009649F6"/>
    <w:rsid w:val="00975878"/>
    <w:rsid w:val="00976830"/>
    <w:rsid w:val="0098114D"/>
    <w:rsid w:val="00984850"/>
    <w:rsid w:val="00995CFF"/>
    <w:rsid w:val="009A000F"/>
    <w:rsid w:val="009B05FA"/>
    <w:rsid w:val="009C00A0"/>
    <w:rsid w:val="009C0BC7"/>
    <w:rsid w:val="009C1754"/>
    <w:rsid w:val="009C6105"/>
    <w:rsid w:val="009C6517"/>
    <w:rsid w:val="009D0A82"/>
    <w:rsid w:val="009D36F4"/>
    <w:rsid w:val="009D7414"/>
    <w:rsid w:val="009E1E48"/>
    <w:rsid w:val="009E5CF7"/>
    <w:rsid w:val="009E7207"/>
    <w:rsid w:val="00A02752"/>
    <w:rsid w:val="00A17CEB"/>
    <w:rsid w:val="00A22010"/>
    <w:rsid w:val="00A22EEF"/>
    <w:rsid w:val="00A27642"/>
    <w:rsid w:val="00A30315"/>
    <w:rsid w:val="00A31229"/>
    <w:rsid w:val="00A451E0"/>
    <w:rsid w:val="00A510D5"/>
    <w:rsid w:val="00A56D46"/>
    <w:rsid w:val="00A66E36"/>
    <w:rsid w:val="00A906C2"/>
    <w:rsid w:val="00A96570"/>
    <w:rsid w:val="00A968F1"/>
    <w:rsid w:val="00AA1E97"/>
    <w:rsid w:val="00AA2F6D"/>
    <w:rsid w:val="00AB65AE"/>
    <w:rsid w:val="00AD6BC5"/>
    <w:rsid w:val="00AE18CD"/>
    <w:rsid w:val="00AE2CF3"/>
    <w:rsid w:val="00AE50F6"/>
    <w:rsid w:val="00AE620D"/>
    <w:rsid w:val="00AF16A5"/>
    <w:rsid w:val="00B02406"/>
    <w:rsid w:val="00B07A24"/>
    <w:rsid w:val="00B14C19"/>
    <w:rsid w:val="00B25B64"/>
    <w:rsid w:val="00B356E1"/>
    <w:rsid w:val="00B3759F"/>
    <w:rsid w:val="00B47509"/>
    <w:rsid w:val="00B52AB9"/>
    <w:rsid w:val="00B53024"/>
    <w:rsid w:val="00B61BFB"/>
    <w:rsid w:val="00B6500F"/>
    <w:rsid w:val="00B673BC"/>
    <w:rsid w:val="00B81907"/>
    <w:rsid w:val="00B94C65"/>
    <w:rsid w:val="00B96EFC"/>
    <w:rsid w:val="00B979D3"/>
    <w:rsid w:val="00BA0A38"/>
    <w:rsid w:val="00BA43D6"/>
    <w:rsid w:val="00BA65FA"/>
    <w:rsid w:val="00BB167C"/>
    <w:rsid w:val="00BC108F"/>
    <w:rsid w:val="00BC4B04"/>
    <w:rsid w:val="00BD3BB0"/>
    <w:rsid w:val="00BD5CB8"/>
    <w:rsid w:val="00C02E2C"/>
    <w:rsid w:val="00C1292A"/>
    <w:rsid w:val="00C12AC2"/>
    <w:rsid w:val="00C20B22"/>
    <w:rsid w:val="00C21FF0"/>
    <w:rsid w:val="00C40467"/>
    <w:rsid w:val="00C448BB"/>
    <w:rsid w:val="00C61EAA"/>
    <w:rsid w:val="00C65082"/>
    <w:rsid w:val="00C6730B"/>
    <w:rsid w:val="00C80613"/>
    <w:rsid w:val="00C8073E"/>
    <w:rsid w:val="00C81B54"/>
    <w:rsid w:val="00C8286D"/>
    <w:rsid w:val="00C8537E"/>
    <w:rsid w:val="00CA05D7"/>
    <w:rsid w:val="00CA11FF"/>
    <w:rsid w:val="00CA3F9D"/>
    <w:rsid w:val="00CA5689"/>
    <w:rsid w:val="00CA7C01"/>
    <w:rsid w:val="00CB0D01"/>
    <w:rsid w:val="00CB2F4B"/>
    <w:rsid w:val="00CB3B62"/>
    <w:rsid w:val="00CB400D"/>
    <w:rsid w:val="00CB4513"/>
    <w:rsid w:val="00CC30BB"/>
    <w:rsid w:val="00CC6160"/>
    <w:rsid w:val="00CD0E8C"/>
    <w:rsid w:val="00CE4FE4"/>
    <w:rsid w:val="00CF7B31"/>
    <w:rsid w:val="00D151C9"/>
    <w:rsid w:val="00D27EE2"/>
    <w:rsid w:val="00D33770"/>
    <w:rsid w:val="00D421E4"/>
    <w:rsid w:val="00D54271"/>
    <w:rsid w:val="00D57DA6"/>
    <w:rsid w:val="00D75DB3"/>
    <w:rsid w:val="00D96966"/>
    <w:rsid w:val="00DA2C60"/>
    <w:rsid w:val="00DA4990"/>
    <w:rsid w:val="00DB119A"/>
    <w:rsid w:val="00DC036E"/>
    <w:rsid w:val="00DC21FF"/>
    <w:rsid w:val="00DD4D48"/>
    <w:rsid w:val="00DE1402"/>
    <w:rsid w:val="00DE2C85"/>
    <w:rsid w:val="00E001B3"/>
    <w:rsid w:val="00E05527"/>
    <w:rsid w:val="00E140AD"/>
    <w:rsid w:val="00E24320"/>
    <w:rsid w:val="00E246A9"/>
    <w:rsid w:val="00E3153F"/>
    <w:rsid w:val="00E37DB3"/>
    <w:rsid w:val="00E40F9B"/>
    <w:rsid w:val="00E51027"/>
    <w:rsid w:val="00E6431D"/>
    <w:rsid w:val="00E74F54"/>
    <w:rsid w:val="00E751A5"/>
    <w:rsid w:val="00E76030"/>
    <w:rsid w:val="00E84D14"/>
    <w:rsid w:val="00EC59C1"/>
    <w:rsid w:val="00ED7A74"/>
    <w:rsid w:val="00EF1451"/>
    <w:rsid w:val="00F04CA1"/>
    <w:rsid w:val="00F1229B"/>
    <w:rsid w:val="00F2028B"/>
    <w:rsid w:val="00F204E4"/>
    <w:rsid w:val="00F20F7A"/>
    <w:rsid w:val="00F21B85"/>
    <w:rsid w:val="00F3037D"/>
    <w:rsid w:val="00F31884"/>
    <w:rsid w:val="00F31EB8"/>
    <w:rsid w:val="00F43422"/>
    <w:rsid w:val="00F538CB"/>
    <w:rsid w:val="00F555B7"/>
    <w:rsid w:val="00F576C2"/>
    <w:rsid w:val="00F63068"/>
    <w:rsid w:val="00F74E68"/>
    <w:rsid w:val="00F75966"/>
    <w:rsid w:val="00F8521D"/>
    <w:rsid w:val="00F90BB7"/>
    <w:rsid w:val="00FA24F5"/>
    <w:rsid w:val="00FA684B"/>
    <w:rsid w:val="00FA7E12"/>
    <w:rsid w:val="00FC5256"/>
    <w:rsid w:val="00FD7C2F"/>
    <w:rsid w:val="00FE36A0"/>
    <w:rsid w:val="00FE512F"/>
    <w:rsid w:val="00FF04AF"/>
    <w:rsid w:val="00FF7C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AF1D"/>
  <w15:docId w15:val="{7BAFB7F1-875D-4C1F-BE0F-1ED0404B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744"/>
    <w:rPr>
      <w:lang w:val="de-AT"/>
    </w:rPr>
  </w:style>
  <w:style w:type="paragraph" w:styleId="Heading1">
    <w:name w:val="heading 1"/>
    <w:basedOn w:val="Normal"/>
    <w:next w:val="Normal"/>
    <w:link w:val="Heading1Char"/>
    <w:uiPriority w:val="9"/>
    <w:qFormat/>
    <w:rsid w:val="00F576C2"/>
    <w:pPr>
      <w:keepNext/>
      <w:keepLines/>
      <w:numPr>
        <w:numId w:val="2"/>
      </w:numPr>
      <w:spacing w:before="480" w:after="24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327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0921C1"/>
    <w:pPr>
      <w:spacing w:before="120" w:after="0" w:line="312" w:lineRule="atLeast"/>
      <w:jc w:val="both"/>
    </w:pPr>
    <w:rPr>
      <w:rFonts w:ascii="Times New Roman" w:eastAsia="Times New Roman" w:hAnsi="Times New Roman" w:cs="Times New Roman"/>
      <w:sz w:val="24"/>
      <w:szCs w:val="24"/>
      <w:lang w:eastAsia="de-AT"/>
    </w:rPr>
  </w:style>
  <w:style w:type="paragraph" w:customStyle="1" w:styleId="sti-art2">
    <w:name w:val="sti-art2"/>
    <w:basedOn w:val="Normal"/>
    <w:rsid w:val="000921C1"/>
    <w:pPr>
      <w:spacing w:before="60" w:after="120" w:line="312" w:lineRule="atLeast"/>
      <w:jc w:val="center"/>
    </w:pPr>
    <w:rPr>
      <w:rFonts w:ascii="Times New Roman" w:eastAsia="Times New Roman" w:hAnsi="Times New Roman" w:cs="Times New Roman"/>
      <w:b/>
      <w:bCs/>
      <w:sz w:val="24"/>
      <w:szCs w:val="24"/>
      <w:lang w:eastAsia="de-AT"/>
    </w:rPr>
  </w:style>
  <w:style w:type="paragraph" w:customStyle="1" w:styleId="ti-art2">
    <w:name w:val="ti-art2"/>
    <w:basedOn w:val="Normal"/>
    <w:rsid w:val="000921C1"/>
    <w:pPr>
      <w:spacing w:before="360" w:after="120" w:line="312" w:lineRule="atLeast"/>
      <w:jc w:val="center"/>
    </w:pPr>
    <w:rPr>
      <w:rFonts w:ascii="Times New Roman" w:eastAsia="Times New Roman" w:hAnsi="Times New Roman" w:cs="Times New Roman"/>
      <w:i/>
      <w:iCs/>
      <w:sz w:val="24"/>
      <w:szCs w:val="24"/>
      <w:lang w:eastAsia="de-AT"/>
    </w:rPr>
  </w:style>
  <w:style w:type="paragraph" w:styleId="BalloonText">
    <w:name w:val="Balloon Text"/>
    <w:basedOn w:val="Normal"/>
    <w:link w:val="BalloonTextChar"/>
    <w:uiPriority w:val="99"/>
    <w:semiHidden/>
    <w:unhideWhenUsed/>
    <w:rsid w:val="00900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C3A"/>
    <w:rPr>
      <w:rFonts w:ascii="Tahoma" w:hAnsi="Tahoma" w:cs="Tahoma"/>
      <w:sz w:val="16"/>
      <w:szCs w:val="16"/>
      <w:lang w:val="de-AT"/>
    </w:rPr>
  </w:style>
  <w:style w:type="table" w:styleId="TableGrid">
    <w:name w:val="Table Grid"/>
    <w:basedOn w:val="TableNormal"/>
    <w:uiPriority w:val="59"/>
    <w:rsid w:val="0090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References,Bullet Points,Indent Paragraph,Numbered Para 1,Dot pt,No Spacing1,List Paragraph Char Char Char,Indicator Text,List Paragraph1,MAIN CONTENT,List Paragraph12,F5 List Paragraph,List Paragraph11,OBC Bullet,Normal numbered,L,lp1"/>
    <w:basedOn w:val="Normal"/>
    <w:link w:val="ListParagraphChar"/>
    <w:uiPriority w:val="34"/>
    <w:qFormat/>
    <w:rsid w:val="00620A8B"/>
    <w:pPr>
      <w:ind w:left="720"/>
      <w:contextualSpacing/>
    </w:pPr>
  </w:style>
  <w:style w:type="paragraph" w:customStyle="1" w:styleId="BodyText1">
    <w:name w:val="Body Text1"/>
    <w:rsid w:val="00620A8B"/>
    <w:pPr>
      <w:spacing w:after="120" w:line="360" w:lineRule="auto"/>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F576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7909"/>
    <w:rPr>
      <w:rFonts w:asciiTheme="majorHAnsi" w:eastAsiaTheme="majorEastAsia" w:hAnsiTheme="majorHAnsi" w:cstheme="majorBidi"/>
      <w:b/>
      <w:bCs/>
      <w:color w:val="4F81BD" w:themeColor="accent1"/>
      <w:sz w:val="26"/>
      <w:szCs w:val="26"/>
      <w:lang w:val="de-AT"/>
    </w:rPr>
  </w:style>
  <w:style w:type="character" w:styleId="Hyperlink">
    <w:name w:val="Hyperlink"/>
    <w:basedOn w:val="DefaultParagraphFont"/>
    <w:uiPriority w:val="99"/>
    <w:unhideWhenUsed/>
    <w:rsid w:val="00C6730B"/>
    <w:rPr>
      <w:color w:val="0000FF" w:themeColor="hyperlink"/>
      <w:u w:val="single"/>
    </w:rPr>
  </w:style>
  <w:style w:type="character" w:styleId="FollowedHyperlink">
    <w:name w:val="FollowedHyperlink"/>
    <w:basedOn w:val="DefaultParagraphFont"/>
    <w:uiPriority w:val="99"/>
    <w:semiHidden/>
    <w:unhideWhenUsed/>
    <w:rsid w:val="00C6730B"/>
    <w:rPr>
      <w:color w:val="800080" w:themeColor="followedHyperlink"/>
      <w:u w:val="single"/>
    </w:rPr>
  </w:style>
  <w:style w:type="paragraph" w:styleId="Header">
    <w:name w:val="header"/>
    <w:basedOn w:val="Normal"/>
    <w:link w:val="HeaderChar"/>
    <w:uiPriority w:val="99"/>
    <w:unhideWhenUsed/>
    <w:rsid w:val="009255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5C9"/>
    <w:rPr>
      <w:lang w:val="de-AT"/>
    </w:rPr>
  </w:style>
  <w:style w:type="paragraph" w:styleId="Footer">
    <w:name w:val="footer"/>
    <w:basedOn w:val="Normal"/>
    <w:link w:val="FooterChar"/>
    <w:uiPriority w:val="99"/>
    <w:unhideWhenUsed/>
    <w:rsid w:val="009255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55C9"/>
    <w:rPr>
      <w:lang w:val="de-AT"/>
    </w:rPr>
  </w:style>
  <w:style w:type="paragraph" w:styleId="FootnoteText">
    <w:name w:val="footnote text"/>
    <w:basedOn w:val="Normal"/>
    <w:link w:val="FootnoteTextChar"/>
    <w:uiPriority w:val="99"/>
    <w:semiHidden/>
    <w:unhideWhenUsed/>
    <w:rsid w:val="00925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5C9"/>
    <w:rPr>
      <w:sz w:val="20"/>
      <w:szCs w:val="20"/>
      <w:lang w:val="de-AT"/>
    </w:rPr>
  </w:style>
  <w:style w:type="character" w:styleId="FootnoteReference">
    <w:name w:val="footnote reference"/>
    <w:basedOn w:val="DefaultParagraphFont"/>
    <w:uiPriority w:val="99"/>
    <w:semiHidden/>
    <w:unhideWhenUsed/>
    <w:rsid w:val="009255C9"/>
    <w:rPr>
      <w:vertAlign w:val="superscript"/>
    </w:rPr>
  </w:style>
  <w:style w:type="character" w:styleId="CommentReference">
    <w:name w:val="annotation reference"/>
    <w:basedOn w:val="DefaultParagraphFont"/>
    <w:uiPriority w:val="99"/>
    <w:semiHidden/>
    <w:unhideWhenUsed/>
    <w:rsid w:val="00697FD2"/>
    <w:rPr>
      <w:sz w:val="16"/>
      <w:szCs w:val="16"/>
    </w:rPr>
  </w:style>
  <w:style w:type="paragraph" w:styleId="CommentText">
    <w:name w:val="annotation text"/>
    <w:basedOn w:val="Normal"/>
    <w:link w:val="CommentTextChar"/>
    <w:uiPriority w:val="99"/>
    <w:semiHidden/>
    <w:unhideWhenUsed/>
    <w:rsid w:val="00697FD2"/>
    <w:pPr>
      <w:spacing w:line="240" w:lineRule="auto"/>
    </w:pPr>
    <w:rPr>
      <w:sz w:val="20"/>
      <w:szCs w:val="20"/>
    </w:rPr>
  </w:style>
  <w:style w:type="character" w:customStyle="1" w:styleId="CommentTextChar">
    <w:name w:val="Comment Text Char"/>
    <w:basedOn w:val="DefaultParagraphFont"/>
    <w:link w:val="CommentText"/>
    <w:uiPriority w:val="99"/>
    <w:semiHidden/>
    <w:rsid w:val="00697FD2"/>
    <w:rPr>
      <w:sz w:val="20"/>
      <w:szCs w:val="20"/>
      <w:lang w:val="de-AT"/>
    </w:rPr>
  </w:style>
  <w:style w:type="paragraph" w:styleId="CommentSubject">
    <w:name w:val="annotation subject"/>
    <w:basedOn w:val="CommentText"/>
    <w:next w:val="CommentText"/>
    <w:link w:val="CommentSubjectChar"/>
    <w:uiPriority w:val="99"/>
    <w:semiHidden/>
    <w:unhideWhenUsed/>
    <w:rsid w:val="00697FD2"/>
    <w:rPr>
      <w:b/>
      <w:bCs/>
    </w:rPr>
  </w:style>
  <w:style w:type="character" w:customStyle="1" w:styleId="CommentSubjectChar">
    <w:name w:val="Comment Subject Char"/>
    <w:basedOn w:val="CommentTextChar"/>
    <w:link w:val="CommentSubject"/>
    <w:uiPriority w:val="99"/>
    <w:semiHidden/>
    <w:rsid w:val="00697FD2"/>
    <w:rPr>
      <w:b/>
      <w:bCs/>
      <w:sz w:val="20"/>
      <w:szCs w:val="20"/>
      <w:lang w:val="de-AT"/>
    </w:rPr>
  </w:style>
  <w:style w:type="character" w:customStyle="1" w:styleId="UnresolvedMention1">
    <w:name w:val="Unresolved Mention1"/>
    <w:basedOn w:val="DefaultParagraphFont"/>
    <w:uiPriority w:val="99"/>
    <w:semiHidden/>
    <w:unhideWhenUsed/>
    <w:rsid w:val="00071E80"/>
    <w:rPr>
      <w:color w:val="605E5C"/>
      <w:shd w:val="clear" w:color="auto" w:fill="E1DFDD"/>
    </w:rPr>
  </w:style>
  <w:style w:type="paragraph" w:customStyle="1" w:styleId="ECABodyText">
    <w:name w:val="ECA Body Text"/>
    <w:link w:val="ECABodyTextChar"/>
    <w:qFormat/>
    <w:rsid w:val="00633E46"/>
    <w:pPr>
      <w:spacing w:after="240" w:line="240" w:lineRule="auto"/>
    </w:pPr>
    <w:rPr>
      <w:rFonts w:ascii="Book Antiqua" w:eastAsia="Times New Roman" w:hAnsi="Book Antiqua" w:cs="Times New Roman"/>
      <w:szCs w:val="20"/>
    </w:rPr>
  </w:style>
  <w:style w:type="character" w:customStyle="1" w:styleId="ECABodyTextChar">
    <w:name w:val="ECA Body Text Char"/>
    <w:basedOn w:val="DefaultParagraphFont"/>
    <w:link w:val="ECABodyText"/>
    <w:rsid w:val="00633E46"/>
    <w:rPr>
      <w:rFonts w:ascii="Book Antiqua" w:eastAsia="Times New Roman" w:hAnsi="Book Antiqua" w:cs="Times New Roman"/>
      <w:szCs w:val="20"/>
    </w:rPr>
  </w:style>
  <w:style w:type="character" w:customStyle="1" w:styleId="ListParagraphChar">
    <w:name w:val="List Paragraph Char"/>
    <w:aliases w:val="Ha Char,References Char,Bullet Points Char,Indent Paragraph Char,Numbered Para 1 Char,Dot pt Char,No Spacing1 Char,List Paragraph Char Char Char Char,Indicator Text Char,List Paragraph1 Char,MAIN CONTENT Char,List Paragraph12 Char"/>
    <w:basedOn w:val="DefaultParagraphFont"/>
    <w:link w:val="ListParagraph"/>
    <w:uiPriority w:val="34"/>
    <w:qFormat/>
    <w:rsid w:val="00826186"/>
    <w:rPr>
      <w:lang w:val="de-AT"/>
    </w:rPr>
  </w:style>
  <w:style w:type="paragraph" w:styleId="Caption">
    <w:name w:val="caption"/>
    <w:aliases w:val="Tabellen"/>
    <w:basedOn w:val="Normal"/>
    <w:next w:val="Normal"/>
    <w:qFormat/>
    <w:rsid w:val="00F538CB"/>
    <w:pPr>
      <w:spacing w:after="0"/>
      <w:ind w:left="357"/>
    </w:pPr>
    <w:rPr>
      <w:rFonts w:ascii="Calibri" w:eastAsia="Times New Roman" w:hAnsi="Calibri" w:cs="Times New Roman"/>
      <w:b/>
      <w:bCs/>
      <w:sz w:val="20"/>
      <w:szCs w:val="20"/>
      <w:lang w:val="en-GB"/>
    </w:rPr>
  </w:style>
  <w:style w:type="paragraph" w:styleId="Revision">
    <w:name w:val="Revision"/>
    <w:hidden/>
    <w:uiPriority w:val="99"/>
    <w:semiHidden/>
    <w:rsid w:val="007C7C8F"/>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607">
      <w:bodyDiv w:val="1"/>
      <w:marLeft w:val="0"/>
      <w:marRight w:val="0"/>
      <w:marTop w:val="0"/>
      <w:marBottom w:val="0"/>
      <w:divBdr>
        <w:top w:val="none" w:sz="0" w:space="0" w:color="auto"/>
        <w:left w:val="none" w:sz="0" w:space="0" w:color="auto"/>
        <w:bottom w:val="none" w:sz="0" w:space="0" w:color="auto"/>
        <w:right w:val="none" w:sz="0" w:space="0" w:color="auto"/>
      </w:divBdr>
    </w:div>
    <w:div w:id="422532985">
      <w:bodyDiv w:val="1"/>
      <w:marLeft w:val="0"/>
      <w:marRight w:val="0"/>
      <w:marTop w:val="0"/>
      <w:marBottom w:val="0"/>
      <w:divBdr>
        <w:top w:val="none" w:sz="0" w:space="0" w:color="auto"/>
        <w:left w:val="none" w:sz="0" w:space="0" w:color="auto"/>
        <w:bottom w:val="none" w:sz="0" w:space="0" w:color="auto"/>
        <w:right w:val="none" w:sz="0" w:space="0" w:color="auto"/>
      </w:divBdr>
    </w:div>
    <w:div w:id="610555302">
      <w:bodyDiv w:val="1"/>
      <w:marLeft w:val="0"/>
      <w:marRight w:val="0"/>
      <w:marTop w:val="0"/>
      <w:marBottom w:val="0"/>
      <w:divBdr>
        <w:top w:val="none" w:sz="0" w:space="0" w:color="auto"/>
        <w:left w:val="none" w:sz="0" w:space="0" w:color="auto"/>
        <w:bottom w:val="none" w:sz="0" w:space="0" w:color="auto"/>
        <w:right w:val="none" w:sz="0" w:space="0" w:color="auto"/>
      </w:divBdr>
    </w:div>
    <w:div w:id="635186417">
      <w:bodyDiv w:val="1"/>
      <w:marLeft w:val="0"/>
      <w:marRight w:val="0"/>
      <w:marTop w:val="0"/>
      <w:marBottom w:val="0"/>
      <w:divBdr>
        <w:top w:val="none" w:sz="0" w:space="0" w:color="auto"/>
        <w:left w:val="none" w:sz="0" w:space="0" w:color="auto"/>
        <w:bottom w:val="none" w:sz="0" w:space="0" w:color="auto"/>
        <w:right w:val="none" w:sz="0" w:space="0" w:color="auto"/>
      </w:divBdr>
    </w:div>
    <w:div w:id="662047025">
      <w:bodyDiv w:val="1"/>
      <w:marLeft w:val="0"/>
      <w:marRight w:val="0"/>
      <w:marTop w:val="0"/>
      <w:marBottom w:val="0"/>
      <w:divBdr>
        <w:top w:val="none" w:sz="0" w:space="0" w:color="auto"/>
        <w:left w:val="none" w:sz="0" w:space="0" w:color="auto"/>
        <w:bottom w:val="none" w:sz="0" w:space="0" w:color="auto"/>
        <w:right w:val="none" w:sz="0" w:space="0" w:color="auto"/>
      </w:divBdr>
    </w:div>
    <w:div w:id="824056286">
      <w:bodyDiv w:val="1"/>
      <w:marLeft w:val="0"/>
      <w:marRight w:val="0"/>
      <w:marTop w:val="0"/>
      <w:marBottom w:val="0"/>
      <w:divBdr>
        <w:top w:val="none" w:sz="0" w:space="0" w:color="auto"/>
        <w:left w:val="none" w:sz="0" w:space="0" w:color="auto"/>
        <w:bottom w:val="none" w:sz="0" w:space="0" w:color="auto"/>
        <w:right w:val="none" w:sz="0" w:space="0" w:color="auto"/>
      </w:divBdr>
    </w:div>
    <w:div w:id="890729849">
      <w:bodyDiv w:val="1"/>
      <w:marLeft w:val="0"/>
      <w:marRight w:val="0"/>
      <w:marTop w:val="0"/>
      <w:marBottom w:val="0"/>
      <w:divBdr>
        <w:top w:val="none" w:sz="0" w:space="0" w:color="auto"/>
        <w:left w:val="none" w:sz="0" w:space="0" w:color="auto"/>
        <w:bottom w:val="none" w:sz="0" w:space="0" w:color="auto"/>
        <w:right w:val="none" w:sz="0" w:space="0" w:color="auto"/>
      </w:divBdr>
    </w:div>
    <w:div w:id="1412196397">
      <w:bodyDiv w:val="1"/>
      <w:marLeft w:val="0"/>
      <w:marRight w:val="0"/>
      <w:marTop w:val="0"/>
      <w:marBottom w:val="0"/>
      <w:divBdr>
        <w:top w:val="none" w:sz="0" w:space="0" w:color="auto"/>
        <w:left w:val="none" w:sz="0" w:space="0" w:color="auto"/>
        <w:bottom w:val="none" w:sz="0" w:space="0" w:color="auto"/>
        <w:right w:val="none" w:sz="0" w:space="0" w:color="auto"/>
      </w:divBdr>
    </w:div>
    <w:div w:id="1721054637">
      <w:bodyDiv w:val="1"/>
      <w:marLeft w:val="0"/>
      <w:marRight w:val="0"/>
      <w:marTop w:val="0"/>
      <w:marBottom w:val="0"/>
      <w:divBdr>
        <w:top w:val="none" w:sz="0" w:space="0" w:color="auto"/>
        <w:left w:val="none" w:sz="0" w:space="0" w:color="auto"/>
        <w:bottom w:val="none" w:sz="0" w:space="0" w:color="auto"/>
        <w:right w:val="none" w:sz="0" w:space="0" w:color="auto"/>
      </w:divBdr>
    </w:div>
    <w:div w:id="1906522056">
      <w:bodyDiv w:val="1"/>
      <w:marLeft w:val="0"/>
      <w:marRight w:val="0"/>
      <w:marTop w:val="0"/>
      <w:marBottom w:val="0"/>
      <w:divBdr>
        <w:top w:val="none" w:sz="0" w:space="0" w:color="auto"/>
        <w:left w:val="none" w:sz="0" w:space="0" w:color="auto"/>
        <w:bottom w:val="none" w:sz="0" w:space="0" w:color="auto"/>
        <w:right w:val="none" w:sz="0" w:space="0" w:color="auto"/>
      </w:divBdr>
    </w:div>
    <w:div w:id="1940719562">
      <w:bodyDiv w:val="1"/>
      <w:marLeft w:val="0"/>
      <w:marRight w:val="0"/>
      <w:marTop w:val="0"/>
      <w:marBottom w:val="0"/>
      <w:divBdr>
        <w:top w:val="none" w:sz="0" w:space="0" w:color="auto"/>
        <w:left w:val="none" w:sz="0" w:space="0" w:color="auto"/>
        <w:bottom w:val="none" w:sz="0" w:space="0" w:color="auto"/>
        <w:right w:val="none" w:sz="0" w:space="0" w:color="auto"/>
      </w:divBdr>
    </w:div>
    <w:div w:id="2087073470">
      <w:bodyDiv w:val="1"/>
      <w:marLeft w:val="0"/>
      <w:marRight w:val="0"/>
      <w:marTop w:val="0"/>
      <w:marBottom w:val="0"/>
      <w:divBdr>
        <w:top w:val="none" w:sz="0" w:space="0" w:color="auto"/>
        <w:left w:val="none" w:sz="0" w:space="0" w:color="auto"/>
        <w:bottom w:val="none" w:sz="0" w:space="0" w:color="auto"/>
        <w:right w:val="none" w:sz="0" w:space="0" w:color="auto"/>
      </w:divBdr>
    </w:div>
    <w:div w:id="2100366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e.rks-gov.net/repository/docs/3_UDHEZIM_ADMINISTRATIV_(ME)_NR.04_2021_PER_NDRYSHIMIN_DHE_PLOTESIMIN_E_UDHEZIMIT_ADMINISTRATIV__(MZHE)_NR._03_2019_PER_PERMBAJTJEN_ENERGJISE_SE_LENDEVE___.pdf" TargetMode="External"/><Relationship Id="rId18" Type="http://schemas.openxmlformats.org/officeDocument/2006/relationships/hyperlink" Target="https://ksdw.rks-gov.net/storage/app/media/KSDW2021_Report_ENG-min.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rks-gov.net/repository/docs/2_UDHEZIM_ADMINISTRATIV_(ME)_NR.02_2021_PER_KRITERET_E_EFI%C3%87IENCES_SE_ENERGJISE_PER_RREGULLIMIN_E_RRJETIT_TE_ENERGJISE_DHE_PER_TARIFAT_E_RRJETIT_TE_ENERG___.pdf" TargetMode="External"/><Relationship Id="rId17" Type="http://schemas.openxmlformats.org/officeDocument/2006/relationships/hyperlink" Target="https://eur-lex.europa.eu/LexUriServ/LexUriServ.do?uri=OJ:L:2010:153:0013:0035:EN:PDF" TargetMode="External"/><Relationship Id="rId2" Type="http://schemas.openxmlformats.org/officeDocument/2006/relationships/numbering" Target="numbering.xml"/><Relationship Id="rId16" Type="http://schemas.openxmlformats.org/officeDocument/2006/relationships/hyperlink" Target="https://konsultimet.rks-gov.net/viewConsult.php?ConsultationID=414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ks-gov.net/repository/docs/UDHeZIM_ADMINISTRATIV_(ME)_NR._01_2021_PeR_KeRKESAT_E_EFI%C3%87IENCeS_Se_ENERGJISe_PeR_OPERATORIN_E_SISTEMIT_Te_TRANSMETIMIT_DHE_OPERATORIN_E_SISTEMIT_Te_S___.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rks-gov.net/repository/docs/5_UDHEZIM_ADMINISTRATIV_(ME)_NR.06_2021_PER_SHERBIMET_E_ENERGJISE_(ESCO).pdf"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fkee-rks.net/e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me.rks-gov.net/repository/docs/4_UDHEZIM_ADMINISTRATIV_(ME)_Nr.05_2021_PER_KORNIZEN_E_PERGJITHSHME_TE_RAPORTIMIT_PER_EFI%C3%87IENCE_TE_ENERGJISE.pdf"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plikimi%20GIZ%20Gusht%202021\Book1(AutoRecove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plikimi%20GIZ%20Gusht%202021\Book1(AutoRecover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di\AppData\Roaming\Microsoft\Excel\Book1(AutoRecovered)%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Sheet1!$E$6</c:f>
              <c:strCache>
                <c:ptCount val="1"/>
                <c:pt idx="0">
                  <c:v>FEC</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Sheet1!$D$7:$D$13</c:f>
              <c:numCache>
                <c:formatCode>General</c:formatCode>
                <c:ptCount val="7"/>
                <c:pt idx="0">
                  <c:v>2015</c:v>
                </c:pt>
                <c:pt idx="1">
                  <c:v>2016</c:v>
                </c:pt>
                <c:pt idx="2">
                  <c:v>2017</c:v>
                </c:pt>
                <c:pt idx="3">
                  <c:v>2018</c:v>
                </c:pt>
                <c:pt idx="4">
                  <c:v>2019</c:v>
                </c:pt>
                <c:pt idx="5">
                  <c:v>2020</c:v>
                </c:pt>
                <c:pt idx="6">
                  <c:v>2021</c:v>
                </c:pt>
              </c:numCache>
            </c:numRef>
          </c:cat>
          <c:val>
            <c:numRef>
              <c:f>Sheet1!$E$7:$E$13</c:f>
              <c:numCache>
                <c:formatCode>General</c:formatCode>
                <c:ptCount val="7"/>
                <c:pt idx="0">
                  <c:v>1328</c:v>
                </c:pt>
                <c:pt idx="1">
                  <c:v>1432</c:v>
                </c:pt>
                <c:pt idx="2">
                  <c:v>1462</c:v>
                </c:pt>
                <c:pt idx="3">
                  <c:v>1442</c:v>
                </c:pt>
                <c:pt idx="4" formatCode="0">
                  <c:v>1508</c:v>
                </c:pt>
                <c:pt idx="5">
                  <c:v>1543</c:v>
                </c:pt>
                <c:pt idx="6">
                  <c:v>1596</c:v>
                </c:pt>
              </c:numCache>
            </c:numRef>
          </c:val>
          <c:extLst xmlns:c16r2="http://schemas.microsoft.com/office/drawing/2015/06/chart">
            <c:ext xmlns:c16="http://schemas.microsoft.com/office/drawing/2014/chart" uri="{C3380CC4-5D6E-409C-BE32-E72D297353CC}">
              <c16:uniqueId val="{00000000-3B52-4894-9A92-17BB2F561F92}"/>
            </c:ext>
          </c:extLst>
        </c:ser>
        <c:ser>
          <c:idx val="1"/>
          <c:order val="1"/>
          <c:tx>
            <c:strRef>
              <c:f>Sheet1!$F$6</c:f>
              <c:strCache>
                <c:ptCount val="1"/>
                <c:pt idx="0">
                  <c:v>PEC</c:v>
                </c:pt>
              </c:strCache>
            </c:strRef>
          </c:tx>
          <c:spPr>
            <a:solidFill>
              <a:schemeClr val="accent5"/>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Sheet1!$D$7:$D$13</c:f>
              <c:numCache>
                <c:formatCode>General</c:formatCode>
                <c:ptCount val="7"/>
                <c:pt idx="0">
                  <c:v>2015</c:v>
                </c:pt>
                <c:pt idx="1">
                  <c:v>2016</c:v>
                </c:pt>
                <c:pt idx="2">
                  <c:v>2017</c:v>
                </c:pt>
                <c:pt idx="3">
                  <c:v>2018</c:v>
                </c:pt>
                <c:pt idx="4">
                  <c:v>2019</c:v>
                </c:pt>
                <c:pt idx="5">
                  <c:v>2020</c:v>
                </c:pt>
                <c:pt idx="6">
                  <c:v>2021</c:v>
                </c:pt>
              </c:numCache>
            </c:numRef>
          </c:cat>
          <c:val>
            <c:numRef>
              <c:f>Sheet1!$F$7:$F$13</c:f>
              <c:numCache>
                <c:formatCode>General</c:formatCode>
                <c:ptCount val="7"/>
                <c:pt idx="0">
                  <c:v>2511</c:v>
                </c:pt>
                <c:pt idx="1">
                  <c:v>2689</c:v>
                </c:pt>
                <c:pt idx="2">
                  <c:v>2534</c:v>
                </c:pt>
                <c:pt idx="3" formatCode="0">
                  <c:v>2524</c:v>
                </c:pt>
                <c:pt idx="4" formatCode="0">
                  <c:v>2707</c:v>
                </c:pt>
                <c:pt idx="5">
                  <c:v>2734</c:v>
                </c:pt>
                <c:pt idx="6">
                  <c:v>2874</c:v>
                </c:pt>
              </c:numCache>
            </c:numRef>
          </c:val>
          <c:extLst xmlns:c16r2="http://schemas.microsoft.com/office/drawing/2015/06/chart">
            <c:ext xmlns:c16="http://schemas.microsoft.com/office/drawing/2014/chart" uri="{C3380CC4-5D6E-409C-BE32-E72D297353CC}">
              <c16:uniqueId val="{00000001-3B52-4894-9A92-17BB2F561F92}"/>
            </c:ext>
          </c:extLst>
        </c:ser>
        <c:dLbls>
          <c:showLegendKey val="0"/>
          <c:showVal val="0"/>
          <c:showCatName val="0"/>
          <c:showSerName val="0"/>
          <c:showPercent val="0"/>
          <c:showBubbleSize val="0"/>
        </c:dLbls>
        <c:gapWidth val="219"/>
        <c:overlap val="-27"/>
        <c:axId val="-357481936"/>
        <c:axId val="-357487376"/>
      </c:barChart>
      <c:catAx>
        <c:axId val="-35748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7376"/>
        <c:crosses val="autoZero"/>
        <c:auto val="1"/>
        <c:lblAlgn val="ctr"/>
        <c:lblOffset val="100"/>
        <c:noMultiLvlLbl val="0"/>
      </c:catAx>
      <c:valAx>
        <c:axId val="-3574873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Ktoe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Sheet1!$E$25</c:f>
              <c:strCache>
                <c:ptCount val="1"/>
                <c:pt idx="0">
                  <c:v>Houshold</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F0"/>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Sheet1!$E$26:$E$32</c:f>
              <c:numCache>
                <c:formatCode>General</c:formatCode>
                <c:ptCount val="7"/>
                <c:pt idx="0">
                  <c:v>477.86</c:v>
                </c:pt>
                <c:pt idx="1">
                  <c:v>552.15</c:v>
                </c:pt>
                <c:pt idx="2">
                  <c:v>557.67999999999995</c:v>
                </c:pt>
                <c:pt idx="3">
                  <c:v>573.4</c:v>
                </c:pt>
                <c:pt idx="4">
                  <c:v>575.38</c:v>
                </c:pt>
                <c:pt idx="5">
                  <c:v>628.09</c:v>
                </c:pt>
                <c:pt idx="6">
                  <c:v>647.42999999999995</c:v>
                </c:pt>
              </c:numCache>
            </c:numRef>
          </c:val>
          <c:extLst xmlns:c16r2="http://schemas.microsoft.com/office/drawing/2015/06/chart">
            <c:ext xmlns:c16="http://schemas.microsoft.com/office/drawing/2014/chart" uri="{C3380CC4-5D6E-409C-BE32-E72D297353CC}">
              <c16:uniqueId val="{00000000-F52F-4F8E-9943-41F305617036}"/>
            </c:ext>
          </c:extLst>
        </c:ser>
        <c:ser>
          <c:idx val="1"/>
          <c:order val="1"/>
          <c:tx>
            <c:strRef>
              <c:f>Sheet1!$F$25</c:f>
              <c:strCache>
                <c:ptCount val="1"/>
                <c:pt idx="0">
                  <c:v>Industry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Sheet1!$F$26:$F$32</c:f>
              <c:numCache>
                <c:formatCode>General</c:formatCode>
                <c:ptCount val="7"/>
                <c:pt idx="0">
                  <c:v>282.12</c:v>
                </c:pt>
                <c:pt idx="1">
                  <c:v>289.19</c:v>
                </c:pt>
                <c:pt idx="2">
                  <c:v>301.24</c:v>
                </c:pt>
                <c:pt idx="3">
                  <c:v>272.47000000000003</c:v>
                </c:pt>
                <c:pt idx="4">
                  <c:v>319.81</c:v>
                </c:pt>
                <c:pt idx="5">
                  <c:v>319.92</c:v>
                </c:pt>
                <c:pt idx="6">
                  <c:v>317.64999999999998</c:v>
                </c:pt>
              </c:numCache>
            </c:numRef>
          </c:val>
          <c:extLst xmlns:c16r2="http://schemas.microsoft.com/office/drawing/2015/06/chart">
            <c:ext xmlns:c16="http://schemas.microsoft.com/office/drawing/2014/chart" uri="{C3380CC4-5D6E-409C-BE32-E72D297353CC}">
              <c16:uniqueId val="{00000001-F52F-4F8E-9943-41F305617036}"/>
            </c:ext>
          </c:extLst>
        </c:ser>
        <c:ser>
          <c:idx val="2"/>
          <c:order val="2"/>
          <c:tx>
            <c:strRef>
              <c:f>Sheet1!$G$25</c:f>
              <c:strCache>
                <c:ptCount val="1"/>
                <c:pt idx="0">
                  <c:v>Transport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Sheet1!$G$26:$G$32</c:f>
              <c:numCache>
                <c:formatCode>General</c:formatCode>
                <c:ptCount val="7"/>
                <c:pt idx="0">
                  <c:v>387.84</c:v>
                </c:pt>
                <c:pt idx="1">
                  <c:v>388.02</c:v>
                </c:pt>
                <c:pt idx="2">
                  <c:v>408.36</c:v>
                </c:pt>
                <c:pt idx="3">
                  <c:v>426.71</c:v>
                </c:pt>
                <c:pt idx="4">
                  <c:v>422.58</c:v>
                </c:pt>
                <c:pt idx="5">
                  <c:v>412.46</c:v>
                </c:pt>
                <c:pt idx="6">
                  <c:v>422.25</c:v>
                </c:pt>
              </c:numCache>
            </c:numRef>
          </c:val>
          <c:extLst xmlns:c16r2="http://schemas.microsoft.com/office/drawing/2015/06/chart">
            <c:ext xmlns:c16="http://schemas.microsoft.com/office/drawing/2014/chart" uri="{C3380CC4-5D6E-409C-BE32-E72D297353CC}">
              <c16:uniqueId val="{00000002-F52F-4F8E-9943-41F305617036}"/>
            </c:ext>
          </c:extLst>
        </c:ser>
        <c:ser>
          <c:idx val="3"/>
          <c:order val="3"/>
          <c:tx>
            <c:strRef>
              <c:f>Sheet1!$H$25</c:f>
              <c:strCache>
                <c:ptCount val="1"/>
                <c:pt idx="0">
                  <c:v>Others</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Sheet1!$D$26:$D$32</c:f>
              <c:numCache>
                <c:formatCode>General</c:formatCode>
                <c:ptCount val="7"/>
                <c:pt idx="0">
                  <c:v>2015</c:v>
                </c:pt>
                <c:pt idx="1">
                  <c:v>2016</c:v>
                </c:pt>
                <c:pt idx="2">
                  <c:v>2017</c:v>
                </c:pt>
                <c:pt idx="3">
                  <c:v>2018</c:v>
                </c:pt>
                <c:pt idx="4">
                  <c:v>2019</c:v>
                </c:pt>
                <c:pt idx="5">
                  <c:v>2020</c:v>
                </c:pt>
                <c:pt idx="6">
                  <c:v>2021</c:v>
                </c:pt>
              </c:numCache>
            </c:numRef>
          </c:cat>
          <c:val>
            <c:numRef>
              <c:f>Sheet1!$H$26:$H$32</c:f>
              <c:numCache>
                <c:formatCode>General</c:formatCode>
                <c:ptCount val="7"/>
                <c:pt idx="0">
                  <c:v>179.68</c:v>
                </c:pt>
                <c:pt idx="1">
                  <c:v>202.94</c:v>
                </c:pt>
                <c:pt idx="2">
                  <c:v>194.12</c:v>
                </c:pt>
                <c:pt idx="3">
                  <c:v>168.92</c:v>
                </c:pt>
                <c:pt idx="4">
                  <c:v>190.23</c:v>
                </c:pt>
                <c:pt idx="5">
                  <c:v>225.23</c:v>
                </c:pt>
                <c:pt idx="6">
                  <c:v>208.79</c:v>
                </c:pt>
              </c:numCache>
            </c:numRef>
          </c:val>
          <c:extLst xmlns:c16r2="http://schemas.microsoft.com/office/drawing/2015/06/chart">
            <c:ext xmlns:c16="http://schemas.microsoft.com/office/drawing/2014/chart" uri="{C3380CC4-5D6E-409C-BE32-E72D297353CC}">
              <c16:uniqueId val="{00000003-F52F-4F8E-9943-41F305617036}"/>
            </c:ext>
          </c:extLst>
        </c:ser>
        <c:dLbls>
          <c:dLblPos val="ctr"/>
          <c:showLegendKey val="0"/>
          <c:showVal val="1"/>
          <c:showCatName val="0"/>
          <c:showSerName val="0"/>
          <c:showPercent val="0"/>
          <c:showBubbleSize val="0"/>
        </c:dLbls>
        <c:gapWidth val="150"/>
        <c:overlap val="100"/>
        <c:axId val="-357486832"/>
        <c:axId val="-357489008"/>
      </c:barChart>
      <c:catAx>
        <c:axId val="-35748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9008"/>
        <c:crosses val="autoZero"/>
        <c:auto val="1"/>
        <c:lblAlgn val="ctr"/>
        <c:lblOffset val="100"/>
        <c:noMultiLvlLbl val="0"/>
      </c:catAx>
      <c:valAx>
        <c:axId val="-357489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Ktoe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q-AL"/>
              <a:t>P</a:t>
            </a:r>
            <a:r>
              <a:rPr lang="en-US"/>
              <a:t>rimary energy consumption (2015-2021)</a:t>
            </a:r>
            <a:endParaRPr lang="sq-AL"/>
          </a:p>
        </c:rich>
      </c:tx>
      <c:overlay val="0"/>
      <c:spPr>
        <a:noFill/>
        <a:ln>
          <a:noFill/>
        </a:ln>
        <a:effectLst/>
      </c:spPr>
    </c:title>
    <c:autoTitleDeleted val="0"/>
    <c:plotArea>
      <c:layout/>
      <c:lineChart>
        <c:grouping val="standard"/>
        <c:varyColors val="0"/>
        <c:ser>
          <c:idx val="1"/>
          <c:order val="0"/>
          <c:tx>
            <c:strRef>
              <c:f>Sheet1!$F$6</c:f>
              <c:strCache>
                <c:ptCount val="1"/>
                <c:pt idx="0">
                  <c:v>PEC</c:v>
                </c:pt>
              </c:strCache>
            </c:strRef>
          </c:tx>
          <c:spPr>
            <a:ln w="28575" cap="rnd">
              <a:solidFill>
                <a:schemeClr val="accent2"/>
              </a:solidFill>
              <a:round/>
            </a:ln>
            <a:effectLst/>
          </c:spPr>
          <c:marker>
            <c:symbol val="none"/>
          </c:marker>
          <c:cat>
            <c:numRef>
              <c:f>Sheet1!$D$7:$D$13</c:f>
              <c:numCache>
                <c:formatCode>General</c:formatCode>
                <c:ptCount val="7"/>
                <c:pt idx="0">
                  <c:v>2015</c:v>
                </c:pt>
                <c:pt idx="1">
                  <c:v>2016</c:v>
                </c:pt>
                <c:pt idx="2">
                  <c:v>2017</c:v>
                </c:pt>
                <c:pt idx="3">
                  <c:v>2018</c:v>
                </c:pt>
                <c:pt idx="4">
                  <c:v>2019</c:v>
                </c:pt>
                <c:pt idx="5">
                  <c:v>2020</c:v>
                </c:pt>
                <c:pt idx="6">
                  <c:v>2021</c:v>
                </c:pt>
              </c:numCache>
            </c:numRef>
          </c:cat>
          <c:val>
            <c:numRef>
              <c:f>Sheet1!$F$7:$F$13</c:f>
              <c:numCache>
                <c:formatCode>General</c:formatCode>
                <c:ptCount val="7"/>
                <c:pt idx="0">
                  <c:v>2511</c:v>
                </c:pt>
                <c:pt idx="1">
                  <c:v>2689</c:v>
                </c:pt>
                <c:pt idx="2">
                  <c:v>2534</c:v>
                </c:pt>
                <c:pt idx="3" formatCode="0">
                  <c:v>2524</c:v>
                </c:pt>
                <c:pt idx="4" formatCode="0">
                  <c:v>2707</c:v>
                </c:pt>
                <c:pt idx="5">
                  <c:v>2734</c:v>
                </c:pt>
                <c:pt idx="6">
                  <c:v>2874</c:v>
                </c:pt>
              </c:numCache>
            </c:numRef>
          </c:val>
          <c:smooth val="0"/>
          <c:extLst xmlns:c16r2="http://schemas.microsoft.com/office/drawing/2015/06/chart">
            <c:ext xmlns:c16="http://schemas.microsoft.com/office/drawing/2014/chart" uri="{C3380CC4-5D6E-409C-BE32-E72D297353CC}">
              <c16:uniqueId val="{00000000-E9BB-4F2F-8666-1A8BC36E8D78}"/>
            </c:ext>
          </c:extLst>
        </c:ser>
        <c:dLbls>
          <c:showLegendKey val="0"/>
          <c:showVal val="0"/>
          <c:showCatName val="0"/>
          <c:showSerName val="0"/>
          <c:showPercent val="0"/>
          <c:showBubbleSize val="0"/>
        </c:dLbls>
        <c:smooth val="0"/>
        <c:axId val="-357479760"/>
        <c:axId val="-357487920"/>
      </c:lineChart>
      <c:catAx>
        <c:axId val="-3574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87920"/>
        <c:crosses val="autoZero"/>
        <c:auto val="1"/>
        <c:lblAlgn val="ctr"/>
        <c:lblOffset val="100"/>
        <c:noMultiLvlLbl val="0"/>
      </c:catAx>
      <c:valAx>
        <c:axId val="-357487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47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C79C-708C-4013-9B19-B9A93DE7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Teskeredzic</dc:creator>
  <cp:keywords/>
  <dc:description/>
  <cp:lastModifiedBy>Naim R. Zeqiri</cp:lastModifiedBy>
  <cp:revision>3</cp:revision>
  <cp:lastPrinted>2017-05-10T13:36:00Z</cp:lastPrinted>
  <dcterms:created xsi:type="dcterms:W3CDTF">2023-05-16T11:23:00Z</dcterms:created>
  <dcterms:modified xsi:type="dcterms:W3CDTF">2023-05-24T12:47:00Z</dcterms:modified>
</cp:coreProperties>
</file>